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w:r>
        <w:t xml:space="preserve">an</w:t>
      </w:r>
      <w:r>
        <w:t xml:space="preserve"> </w:t>
      </w:r>
      <w:r>
        <w:t xml:space="preserve">American</w:t>
      </w:r>
      <w:r>
        <w:t xml:space="preserve"> </w:t>
      </w:r>
      <w:r>
        <w:t xml:space="preserve">Put</w:t>
      </w:r>
      <w:r>
        <w:t xml:space="preserve"> </w:t>
      </w:r>
      <w:r>
        <w:t xml:space="preserve">Exercise</w:t>
      </w:r>
      <w:r>
        <w:t xml:space="preserve"> </w:t>
      </w:r>
      <w:r>
        <w:t xml:space="preserve">Boundary</w:t>
      </w:r>
    </w:p>
    <w:p>
      <w:pPr>
        <w:pStyle w:val="Subtitle"/>
      </w:pPr>
      <w:r>
        <w:t xml:space="preserve">Baruch</w:t>
      </w:r>
      <w:r>
        <w:t xml:space="preserve"> </w:t>
      </w:r>
      <w:r>
        <w:t xml:space="preserve">MFE</w:t>
      </w:r>
      <w:r>
        <w:t xml:space="preserve"> </w:t>
      </w:r>
      <w:r>
        <w:t xml:space="preserve">—</w:t>
      </w:r>
      <w:r>
        <w:t xml:space="preserve"> </w:t>
      </w:r>
      <w:r>
        <w:t xml:space="preserve">Scientific</w:t>
      </w:r>
      <w:r>
        <w:t xml:space="preserve"> </w:t>
      </w:r>
      <w:r>
        <w:t xml:space="preserve">Computing</w:t>
      </w:r>
      <w:r>
        <w:t xml:space="preserve"> </w:t>
      </w:r>
      <w:r>
        <w:t xml:space="preserve">in</w:t>
      </w:r>
      <w:r>
        <w:t xml:space="preserve"> </w:t>
      </w:r>
      <w:r>
        <w:t xml:space="preserve">Finance,</w:t>
      </w:r>
      <w:r>
        <w:t xml:space="preserve"> </w:t>
      </w:r>
      <w:r>
        <w:t xml:space="preserve">Assignment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Aditi</w:t>
      </w:r>
      <w:r>
        <w:t xml:space="preserve"> </w:t>
      </w:r>
      <w:r>
        <w:t xml:space="preserve">Joshi,</w:t>
      </w:r>
      <w:r>
        <w:t xml:space="preserve"> </w:t>
      </w:r>
      <w:r>
        <w:t xml:space="preserve">Helen</w:t>
      </w:r>
      <w:r>
        <w:t xml:space="preserve"> </w:t>
      </w:r>
      <w:r>
        <w:t xml:space="preserve">Siavelis,</w:t>
      </w:r>
      <w:r>
        <w:t xml:space="preserve"> </w:t>
      </w:r>
      <w:r>
        <w:t xml:space="preserve">Jaskaran</w:t>
      </w:r>
      <w:r>
        <w:t xml:space="preserve"> </w:t>
      </w:r>
      <w:r>
        <w:t xml:space="preserve">Kalra,</w:t>
      </w:r>
      <w:r>
        <w:t xml:space="preserve"> </w:t>
      </w:r>
      <w:r>
        <w:t xml:space="preserve">William</w:t>
      </w:r>
      <w:r>
        <w:t xml:space="preserve"> </w:t>
      </w:r>
      <w:r>
        <w:t xml:space="preserve">McDonnell</w:t>
      </w:r>
    </w:p>
    <w:p>
      <w:pPr>
        <w:pStyle w:val="FirstParagraph"/>
      </w:pPr>
      <w:r>
        <w:rPr>
          <w:iCs/>
          <w:i/>
        </w:rPr>
        <w:t xml:space="preserve">Reference and draw order.</w:t>
      </w:r>
      <w:r>
        <w:t xml:space="preserve"> </w:t>
      </w:r>
      <w:r>
        <w:t xml:space="preserve">The assignment refers to a supplied</w:t>
      </w:r>
      <w:r>
        <w:t xml:space="preserve"> </w:t>
      </w:r>
      <w:r>
        <w:rPr>
          <w:rStyle w:val="VerbatimChar"/>
        </w:rPr>
        <w:t xml:space="preserve">reference_solver.py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reference_results.npz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We did not receive these, so the numerical reference is our own independently validated grid solver (Section 2), and the random-draw order is our own documented choice. Both are isolated in</w:t>
      </w:r>
      <w:r>
        <w:t xml:space="preserve"> </w:t>
      </w:r>
      <w:r>
        <w:rPr>
          <w:rStyle w:val="VerbatimChar"/>
        </w:rPr>
        <w:t xml:space="preserve">reference.py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simulation.py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nn_policy.py</w:t>
      </w:r>
      <w:r>
        <w:t xml:space="preserve">, so the supplied versions can be substituted and</w:t>
      </w:r>
      <w:r>
        <w:t xml:space="preserve"> </w:t>
      </w:r>
      <w:r>
        <w:rPr>
          <w:rStyle w:val="VerbatimChar"/>
        </w:rPr>
        <w:t xml:space="preserve">python run_all.py</w:t>
      </w:r>
      <w:r>
        <w:t xml:space="preserve"> </w:t>
      </w:r>
      <w:r>
        <w:t xml:space="preserve">rerun.</w:t>
      </w:r>
    </w:p>
    <w:bookmarkStart w:id="20" w:name="the-exercise-boundary"/>
    <w:p>
      <w:pPr>
        <w:pStyle w:val="Heading1"/>
      </w:pPr>
      <w:r>
        <w:t xml:space="preserve">1. The exercise boundary</w:t>
      </w:r>
    </w:p>
    <w:p>
      <w:pPr>
        <w:pStyle w:val="FirstParagraph"/>
      </w:pPr>
      <w:r>
        <w:rPr>
          <w:bCs/>
          <w:b/>
        </w:rPr>
        <w:t xml:space="preserve">Axes.</w:t>
      </w:r>
      <w:r>
        <w:t xml:space="preserve"> </w:t>
      </w:r>
      <w:r>
        <w:t xml:space="preserve">The horizontal axis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t</m:t>
        </m:r>
      </m:oMath>
      <w:r>
        <w:t xml:space="preserve">, so</w:t>
      </w:r>
      <w:r>
        <w:t xml:space="preserve"> </w:t>
      </w:r>
      <w:r>
        <w:rPr>
          <w:bCs/>
          <w:b/>
        </w:rPr>
        <w:t xml:space="preserve">calendar time advances right to left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Item 1.</w:t>
      </w:r>
      <w:r>
        <w:t xml:space="preserve"> </w:t>
      </w:r>
      <w:r>
        <w:t xml:space="preserve">Just before a dividend, the put holder can exercise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s</m:t>
        </m:r>
      </m:oMath>
      <w:r>
        <w:t xml:space="preserve"> </w:t>
      </w:r>
      <w:r>
        <w:t xml:space="preserve">or hold through the jump. Nothing random happens between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, and the put receives no dividend.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</m:e>
              </m:d>
              <m:r>
                <m:t>s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Exercising just after the jump is always possible, so</w:t>
      </w:r>
      <w:r>
        <w:t xml:space="preserve"> </w:t>
      </w:r>
      <m:oMath>
        <m:sSub>
          <m:e>
            <m:r>
              <m:t>V</m:t>
            </m:r>
          </m:e>
          <m:sub>
            <m:r>
              <m:t>δ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d</m:t>
                </m:r>
              </m:e>
              <m:sub>
                <m:r>
                  <m:t>k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,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</m:e>
            </m:d>
            <m:r>
              <m:t>s</m:t>
            </m:r>
          </m:e>
        </m:d>
        <m:r>
          <m:rPr>
            <m:sty m:val="p"/>
          </m:rPr>
          <m:t>≥</m:t>
        </m:r>
        <m:r>
          <m:t>K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δ</m:t>
            </m:r>
          </m:e>
        </m:d>
        <m:r>
          <m:t>s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s</m:t>
            </m:r>
          </m:e>
        </m:d>
        <m:r>
          <m:rPr>
            <m:sty m:val="p"/>
          </m:rPr>
          <m:t>+</m:t>
        </m:r>
        <m:r>
          <m:t>δ</m:t>
        </m:r>
        <m:r>
          <m:t>s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−</m:t>
        </m:r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K</m:t>
        </m:r>
      </m:oMath>
      <w:r>
        <w:t xml:space="preserve">. The maximum is therefore always the second term, which gives the identity. Exercising after the jump pays</w:t>
      </w:r>
      <w:r>
        <w:t xml:space="preserve"> </w:t>
      </w:r>
      <m:oMath>
        <m:r>
          <m:t>δ</m:t>
        </m:r>
        <m:r>
          <m:t>s</m:t>
        </m:r>
      </m:oMath>
      <w:r>
        <w:t xml:space="preserve"> </w:t>
      </w:r>
      <w:r>
        <w:t xml:space="preserve">more at no interest cost, so the jump may be applied before the exercise decision.</w:t>
      </w:r>
    </w:p>
    <w:p>
      <w:pPr>
        <w:pStyle w:val="BodyText"/>
      </w:pPr>
      <w:r>
        <w:rPr>
          <w:bCs/>
          <w:b/>
        </w:rPr>
        <w:t xml:space="preserve">Item 2.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ε</m:t>
        </m:r>
      </m:oMath>
      <w:r>
        <w:t xml:space="preserve"> </w:t>
      </w:r>
      <w:r>
        <w:t xml:space="preserve">lie after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 strategy</w:t>
      </w:r>
      <w:r>
        <w:t xml:space="preserve"> </w:t>
      </w:r>
      <w:r>
        <w:t xml:space="preserve">“</w:t>
      </w:r>
      <w:r>
        <w:t xml:space="preserve">wait until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, then exercise</w:t>
      </w:r>
      <w:r>
        <w:t xml:space="preserve">”</w:t>
      </w:r>
      <w:r>
        <w:t xml:space="preserve"> </w:t>
      </w:r>
      <w:r>
        <w:t xml:space="preserve">is feasible, and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S</m:t>
                </m:r>
              </m:e>
              <m:sub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</m:sub>
            </m:sSub>
            <m:r>
              <m:rPr>
                <m:sty m:val="p"/>
              </m:rPr>
              <m:t>∣</m:t>
            </m:r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s</m:t>
            </m:r>
          </m:e>
        </m:d>
        <m:r>
          <m:rPr>
            <m:sty m:val="p"/>
          </m:rPr>
          <m:t>=</m:t>
        </m:r>
        <m:r>
          <m:t>s</m:t>
        </m:r>
        <m:sSup>
          <m:e>
            <m:r>
              <m:t>e</m:t>
            </m:r>
          </m:e>
          <m:sup>
            <m:r>
              <m:t>r</m:t>
            </m:r>
            <m:r>
              <m:t>ε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rPr>
              <m:sty m:val="p"/>
            </m:rPr>
            <m:t>≥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ε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</m:e>
              </m:d>
              <m:r>
                <m:t>s</m:t>
              </m:r>
              <m:sSup>
                <m:e>
                  <m:r>
                    <m:t>e</m:t>
                  </m:r>
                </m:e>
                <m:sup>
                  <m:r>
                    <m:t>r</m:t>
                  </m:r>
                  <m:r>
                    <m:t>ε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ε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δ</m:t>
              </m:r>
            </m:e>
          </m:d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the exercise region,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≥</m:t>
        </m:r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ε</m:t>
            </m:r>
          </m:sup>
        </m:sSup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δ</m:t>
            </m:r>
          </m:e>
        </m:d>
        <m:r>
          <m:t>s</m:t>
        </m:r>
      </m:oMath>
      <w:r>
        <w:t xml:space="preserve">, i.e. </w:t>
      </w:r>
      <m:oMath>
        <m:r>
          <m:t>s</m:t>
        </m:r>
        <m:r>
          <m:rPr>
            <m:sty m:val="p"/>
          </m:rPr>
          <m:t>≤</m:t>
        </m:r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t>ε</m:t>
                </m:r>
              </m:sup>
            </m:sSup>
          </m:e>
        </m:d>
        <m:r>
          <m:rPr>
            <m:sty m:val="p"/>
          </m:rPr>
          <m:t>/</m:t>
        </m:r>
        <m:r>
          <m:t>δ</m:t>
        </m:r>
      </m:oMath>
      <w:r>
        <w:t xml:space="preserve">. Hence</w:t>
      </w:r>
      <w:r>
        <w:t xml:space="preserve"> </w:t>
      </w:r>
      <m:oMath>
        <m:sSub>
          <m:e>
            <m:r>
              <m:t>b</m:t>
            </m:r>
          </m:e>
          <m:sub>
            <m:r>
              <m:t>δ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r>
              <m:t>ε</m:t>
            </m:r>
          </m:e>
        </m:d>
        <m:r>
          <m:rPr>
            <m:sty m:val="p"/>
          </m:rPr>
          <m:t>≤</m:t>
        </m:r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t>ε</m:t>
                </m:r>
              </m:sup>
            </m:sSup>
          </m:e>
        </m:d>
        <m:r>
          <m:rPr>
            <m:sty m:val="p"/>
          </m:rPr>
          <m:t>/</m:t>
        </m:r>
        <m:r>
          <m:t>δ</m:t>
        </m:r>
        <m:r>
          <m:rPr>
            <m:sty m:val="p"/>
          </m:rPr>
          <m:t>≈</m:t>
        </m:r>
        <m:r>
          <m:t>K</m:t>
        </m:r>
        <m:r>
          <m:t>r</m:t>
        </m:r>
        <m:r>
          <m:t>ε</m:t>
        </m:r>
        <m:r>
          <m:rPr>
            <m:sty m:val="p"/>
          </m:rPr>
          <m:t>/</m:t>
        </m:r>
        <m:r>
          <m:t>δ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Grid version.</w:t>
      </w:r>
      <w:r>
        <w:t xml:space="preserve"> </w:t>
      </w:r>
      <w:r>
        <w:t xml:space="preserve">The dividend date is itself an exercise date, so stopping there is an admissible grid stopping time and the same bound holds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j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−</m:t>
            </m:r>
            <m:r>
              <m:t>j</m:t>
            </m:r>
          </m:e>
        </m:d>
        <m:r>
          <m:t>h</m:t>
        </m:r>
      </m:oMath>
      <w:r>
        <w:t xml:space="preserve">. Our solver satisfies the lower bound at every node.</w:t>
      </w:r>
    </w:p>
    <w:p>
      <w:pPr>
        <w:pStyle w:val="BodyText"/>
      </w:pPr>
      <w:r>
        <w:rPr>
          <w:iCs/>
          <w:i/>
        </w:rPr>
        <w:t xml:space="preserve">Proximity depends on</w:t>
      </w:r>
      <w:r>
        <w:rPr>
          <w:iCs/>
          <w:i/>
        </w:rPr>
        <w:t xml:space="preserve"> </w:t>
      </w:r>
      <m:oMath>
        <m:r>
          <m:t>s</m:t>
        </m:r>
      </m:oMath>
      <w:r>
        <w:rPr>
          <w:iCs/>
          <w:i/>
        </w:rPr>
        <w:t xml:space="preserve">.</w:t>
      </w:r>
      <w:r>
        <w:t xml:space="preserve"> </w:t>
      </w:r>
      <w:r>
        <w:t xml:space="preserve">A fixed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never exercised when</w:t>
      </w:r>
      <w:r>
        <w:t xml:space="preserve"> </w:t>
      </w:r>
      <m:oMath>
        <m:r>
          <m:t>ε</m:t>
        </m:r>
        <m:r>
          <m:rPr>
            <m:sty m:val="p"/>
          </m:rPr>
          <m:t>&lt;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log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δ</m:t>
            </m:r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rPr>
            <m:sty m:val="p"/>
          </m:rPr>
          <m:t>≈</m:t>
        </m:r>
        <m:r>
          <m:t>δ</m:t>
        </m:r>
        <m:r>
          <m:t>s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K</m:t>
            </m:r>
          </m:e>
        </m:d>
      </m:oMath>
      <w:r>
        <w:t xml:space="preserve">. That is about 9 days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about 75 days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80</m:t>
        </m:r>
      </m:oMath>
      <w:r>
        <w:t xml:space="preserve">. The bound makes this precise because it compares</w:t>
      </w:r>
      <w:r>
        <w:t xml:space="preserve"> </w:t>
      </w:r>
      <m:oMath>
        <m:r>
          <m:t>δ</m:t>
        </m:r>
        <m:r>
          <m:t>s</m:t>
        </m:r>
      </m:oMath>
      <w:r>
        <w:t xml:space="preserve"> </w:t>
      </w:r>
      <w:r>
        <w:t xml:space="preserve">directly with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t>ε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Positive values on the grid.</w:t>
      </w:r>
      <w:r>
        <w:t xml:space="preserve"> </w:t>
      </w:r>
      <w:r>
        <w:t xml:space="preserve">One grid step before a dividend the bound is still positive: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t>h</m:t>
                </m:r>
              </m:sup>
            </m:sSup>
          </m:e>
        </m:d>
        <m:r>
          <m:rPr>
            <m:sty m:val="p"/>
          </m:rPr>
          <m:t>/</m:t>
        </m:r>
        <m:r>
          <m:t>δ</m:t>
        </m:r>
        <m:r>
          <m:rPr>
            <m:sty m:val="p"/>
          </m:rPr>
          <m:t>=</m:t>
        </m:r>
        <m:r>
          <m:t>1.63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180</m:t>
        </m:r>
      </m:oMath>
      <w:r>
        <w:t xml:space="preserve">) and</w:t>
      </w:r>
      <w:r>
        <w:t xml:space="preserve"> </w:t>
      </w:r>
      <m:oMath>
        <m:r>
          <m:t>0.81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360</m:t>
        </m:r>
      </m:oMath>
      <w:r>
        <w:t xml:space="preserve">). These shrink linearly in</w:t>
      </w:r>
      <w:r>
        <w:t xml:space="preserve"> </w:t>
      </w:r>
      <m:oMath>
        <m:r>
          <m:t>h</m:t>
        </m:r>
      </m:oMath>
      <w:r>
        <w:t xml:space="preserve">, which is consistent with a zero limit as</w:t>
      </w:r>
      <w:r>
        <w:t xml:space="preserve"> </w:t>
      </w:r>
      <m:oMath>
        <m:r>
          <m:t>ε</m:t>
        </m:r>
        <m:r>
          <m:rPr>
            <m:sty m:val="p"/>
          </m:rPr>
          <m:t>↓</m:t>
        </m:r>
        <m:r>
          <m:t>0</m:t>
        </m:r>
      </m:oMath>
      <w:r>
        <w:t xml:space="preserve">. In fact the computed boundary lies</w:t>
      </w:r>
      <w:r>
        <w:t xml:space="preserve"> </w:t>
      </w:r>
      <w:r>
        <w:rPr>
          <w:iCs/>
          <w:i/>
        </w:rPr>
        <w:t xml:space="preserve">on</w:t>
      </w:r>
      <w:r>
        <w:t xml:space="preserve"> </w:t>
      </w:r>
      <w:r>
        <w:t xml:space="preserve">the bound for about 0.13 years before each dividend: for small</w:t>
      </w:r>
      <w:r>
        <w:t xml:space="preserve"> </w:t>
      </w:r>
      <m:oMath>
        <m:r>
          <m:t>s</m:t>
        </m:r>
      </m:oMath>
      <w:r>
        <w:t xml:space="preserve">, exercise at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is almost certain, so the bound is attained. This produces the straight segments with slope</w:t>
      </w:r>
      <w:r>
        <w:t xml:space="preserve"> </w:t>
      </w:r>
      <m:oMath>
        <m:r>
          <m:rPr>
            <m:sty m:val="p"/>
          </m:rPr>
          <m:t>≈</m:t>
        </m:r>
        <m:r>
          <m:t>r</m:t>
        </m:r>
        <m:r>
          <m:t>K</m:t>
        </m:r>
        <m:r>
          <m:rPr>
            <m:sty m:val="p"/>
          </m:rPr>
          <m:t>/</m:t>
        </m:r>
        <m:r>
          <m:t>δ</m:t>
        </m:r>
      </m:oMath>
      <w:r>
        <w:t xml:space="preserve"> </w:t>
      </w:r>
      <w:r>
        <w:t xml:space="preserve">in Cox and Rubinstein’s figure.</w:t>
      </w:r>
    </w:p>
    <w:p>
      <w:pPr>
        <w:pStyle w:val="BodyText"/>
      </w:pPr>
      <w:r>
        <w:rPr>
          <w:iCs/>
          <w:i/>
        </w:rPr>
        <w:t xml:space="preserve">Jump and maturity.</w:t>
      </w:r>
      <w:r>
        <w:t xml:space="preserve"> </w:t>
      </w:r>
      <w:r>
        <w:t xml:space="preserve">In calendar time the boundary jumps</w:t>
      </w:r>
      <w:r>
        <w:t xml:space="preserve"> </w:t>
      </w:r>
      <w:r>
        <w:rPr>
          <w:bCs/>
          <w:b/>
        </w:rPr>
        <w:t xml:space="preserve">up</w:t>
      </w:r>
      <w:r>
        <w:t xml:space="preserve"> </w:t>
      </w:r>
      <w:r>
        <w:t xml:space="preserve">at each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(to</w:t>
      </w:r>
      <w:r>
        <w:t xml:space="preserve"> </w:t>
      </w:r>
      <m:oMath>
        <m:r>
          <m:t>0.69</m:t>
        </m:r>
        <m:r>
          <m:t>K</m:t>
        </m:r>
      </m:oMath>
      <w:r>
        <w:t xml:space="preserve">,</w:t>
      </w:r>
      <w:r>
        <w:t xml:space="preserve"> </w:t>
      </w:r>
      <m:oMath>
        <m:r>
          <m:t>0.75</m:t>
        </m:r>
        <m:r>
          <m:t>K</m:t>
        </m:r>
      </m:oMath>
      <w:r>
        <w:t xml:space="preserve">,</w:t>
      </w:r>
      <w:r>
        <w:t xml:space="preserve"> </w:t>
      </w:r>
      <m:oMath>
        <m:r>
          <m:t>0.89</m:t>
        </m:r>
        <m:r>
          <m:t>K</m:t>
        </m:r>
      </m:oMath>
      <w:r>
        <w:t xml:space="preserve">), because once the dividend is paid there is no reason left to wait for it. After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no dividend remains 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so the boundary tends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maturity, as in the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curve of Cox and Rubinstein’s Fig. 5-37 (Cox and Rubinstein 1985).</w:t>
      </w:r>
    </w:p>
    <w:p>
      <w:pPr>
        <w:pStyle w:val="BodyText"/>
      </w:pPr>
      <w:r>
        <w:rPr>
          <w:bCs/>
          <w:b/>
        </w:rPr>
        <w:t xml:space="preserve">Item 3.</w:t>
      </w:r>
      <w:r>
        <w:t xml:space="preserve"> </w:t>
      </w:r>
      <w:r>
        <w:t xml:space="preserve">Drive both models from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r>
              <m:t>s</m:t>
            </m:r>
          </m:e>
        </m:d>
      </m:oMath>
      <w:r>
        <w:t xml:space="preserve"> </w:t>
      </w:r>
      <w:r>
        <w:t xml:space="preserve">with the same Brownian increments. Then</w:t>
      </w:r>
      <w:r>
        <w:t xml:space="preserve"> </w:t>
      </w:r>
      <m:oMath>
        <m:sSubSup>
          <m:e>
            <m:r>
              <m:t>S</m:t>
            </m:r>
          </m:e>
          <m:sub>
            <m:r>
              <m:t>i</m:t>
            </m:r>
          </m:sub>
          <m:sup>
            <m:r>
              <m:t>δ</m:t>
            </m:r>
          </m:sup>
        </m:sSubSup>
        <m:r>
          <m:rPr>
            <m:sty m:val="p"/>
          </m:rPr>
          <m:t>=</m:t>
        </m:r>
        <m:sSubSup>
          <m:e>
            <m:r>
              <m:t>S</m:t>
            </m:r>
          </m:e>
          <m:sub>
            <m:r>
              <m:t>i</m:t>
            </m:r>
          </m:sub>
          <m:sup>
            <m:r>
              <m:t>0</m:t>
            </m:r>
          </m:sup>
        </m:sSubSup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</m:e>
            </m:d>
          </m:e>
          <m:sup>
            <m:sSub>
              <m:e>
                <m:r>
                  <m:t>n</m:t>
                </m:r>
              </m:e>
              <m:sub>
                <m:r>
                  <m:t>j</m:t>
                </m:r>
                <m:r>
                  <m:t>i</m:t>
                </m:r>
              </m:sub>
            </m:sSub>
          </m:sup>
        </m:sSup>
        <m:r>
          <m:rPr>
            <m:sty m:val="p"/>
          </m:rPr>
          <m:t>≤</m:t>
        </m:r>
        <m:sSubSup>
          <m:e>
            <m:r>
              <m:t>S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, where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counts the dividends in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 Each price path is a one-to-one function of those increments, so both models share one set of stopping times. For any common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K</m:t>
                </m:r>
                <m:r>
                  <m:rPr>
                    <m:sty m:val="p"/>
                  </m:rPr>
                  <m:t>−</m:t>
                </m:r>
                <m:sSubSup>
                  <m:e>
                    <m:r>
                      <m:t>S</m:t>
                    </m:r>
                  </m:e>
                  <m:sub>
                    <m:r>
                      <m:t>τ</m:t>
                    </m:r>
                  </m:sub>
                  <m:sup>
                    <m:r>
                      <m:t>δ</m:t>
                    </m:r>
                  </m:sup>
                </m:sSubSup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≥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K</m:t>
                </m:r>
                <m:r>
                  <m:rPr>
                    <m:sty m:val="p"/>
                  </m:rPr>
                  <m:t>−</m:t>
                </m:r>
                <m:sSubSup>
                  <m:e>
                    <m:r>
                      <m:t>S</m:t>
                    </m:r>
                  </m:e>
                  <m:sub>
                    <m:r>
                      <m:t>τ</m:t>
                    </m:r>
                  </m:sub>
                  <m:sup>
                    <m:r>
                      <m:t>0</m:t>
                    </m:r>
                  </m:sup>
                </m:sSubSup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on every path. Taking discounted expectations and then the supremum over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V</m:t>
            </m:r>
          </m:e>
          <m:sub>
            <m:r>
              <m:t>0.0125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V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δ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r>
              <m:t>s</m:t>
            </m:r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s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δ</m:t>
            </m:r>
          </m:sub>
        </m:sSub>
        <m:r>
          <m:rPr>
            <m:sty m:val="p"/>
          </m:rPr>
          <m:t>≥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K</m:t>
        </m:r>
        <m:r>
          <m:rPr>
            <m:sty m:val="p"/>
          </m:rPr>
          <m:t>−</m:t>
        </m:r>
        <m:r>
          <m:t>s</m:t>
        </m:r>
      </m:oMath>
      <w:r>
        <w:t xml:space="preserve">. So the exercise regions are nested and</w:t>
      </w:r>
      <w:r>
        <w:t xml:space="preserve"> </w:t>
      </w:r>
      <m:oMath>
        <m:sSub>
          <m:e>
            <m:r>
              <m:t>b</m:t>
            </m:r>
          </m:e>
          <m:sub>
            <m:r>
              <m:t>0.0125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≤</m:t>
        </m:r>
        <m:sSub>
          <m:e>
            <m:r>
              <m:t>b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t xml:space="preserve">. For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, including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compared at the same</w:t>
      </w:r>
      <w:r>
        <w:t xml:space="preserve"> </w:t>
      </w:r>
      <w:r>
        <w:rPr>
          <w:iCs/>
          <w:i/>
        </w:rPr>
        <w:t xml:space="preserve">post-jump</w:t>
      </w:r>
      <w:r>
        <w:t xml:space="preserve"> </w:t>
      </w:r>
      <w:r>
        <w:t xml:space="preserve">price, no dividend remains and the two problems coincide.</w:t>
      </w:r>
    </w:p>
    <w:p>
      <w:pPr>
        <w:pStyle w:val="BodyText"/>
      </w:pPr>
      <w:r>
        <w:t xml:space="preserve">A coupled simulation shows why the common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matters. With one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no path violates dominance. When each model uses its own threshold rule, 12.4% of paths do.</w:t>
      </w:r>
    </w:p>
    <w:p>
      <w:pPr>
        <w:pStyle w:val="BodyText"/>
      </w:pPr>
      <w:r>
        <w:rPr>
          <w:bCs/>
          <w:b/>
        </w:rPr>
        <w:t xml:space="preserve">Item 4.</w:t>
      </w:r>
      <w:r>
        <w:t xml:space="preserve"> </w:t>
      </w:r>
      <w:r>
        <w:t xml:space="preserve">The call’s intrinsic value</w:t>
      </w:r>
      <w:r>
        <w:t xml:space="preserve"> </w:t>
      </w:r>
      <w:r>
        <w:rPr>
          <w:iCs/>
          <w:i/>
        </w:rPr>
        <w:t xml:space="preserve">falls</w:t>
      </w:r>
      <w:r>
        <w:t xml:space="preserve"> </w:t>
      </w:r>
      <w:r>
        <w:t xml:space="preserve">at the jump. Exercising first captures the dividend,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</m:e>
              </m:d>
              <m:r>
                <m:t>s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maximum can bind. A call code must therefore test exercise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applying the dividend. For the put this pre-jump test is redundant (item 1). Checked on our grid: the correct call is worth 10.4198 at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. Deciding after the jump gives 10.4029, because the call then exercises one step early. The European call is worth 9.9037.</w:t>
      </w:r>
    </w:p>
    <w:p>
      <w:pPr>
        <w:pStyle w:val="BodyText"/>
      </w:pPr>
      <w:r>
        <w:rPr>
          <w:bCs/>
          <w:b/>
        </w:rPr>
        <w:t xml:space="preserve">Checks using the computed boundaries</w:t>
      </w:r>
      <w:r>
        <w:t xml:space="preserve"> </w:t>
      </w:r>
      <w:r>
        <w:t xml:space="preserve">(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t>0.0125</m:t>
            </m:r>
          </m:sup>
        </m:sSubSup>
        <m:r>
          <m:rPr>
            <m:sty m:val="p"/>
          </m:rPr>
          <m:t>−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t>0</m:t>
            </m:r>
          </m:sup>
        </m:sSubSup>
      </m:oMath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</w:tr>
    </w:tbl>
    <w:p>
      <w:pPr>
        <w:pStyle w:val="BodyText"/>
      </w:pPr>
      <w:r>
        <w:t xml:space="preserve">The reference is exactly ordered: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s</m:t>
            </m:r>
          </m:sub>
        </m:sSub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V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V</m:t>
                    </m:r>
                  </m:e>
                  <m:sub>
                    <m:r>
                      <m:t>0.0125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 Neither fitted method is constrained to respect the ordering, so their diagnostics measure</w:t>
      </w:r>
      <w:r>
        <w:t xml:space="preserve"> </w:t>
      </w:r>
      <w:r>
        <w:rPr>
          <w:bCs/>
          <w:b/>
        </w:rPr>
        <w:t xml:space="preserve">learning error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m:oMath>
        <m:r>
          <m:t>F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, where the two problems are identical. The two fits come from different samples, and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paths sit lower after three dividends.</w:t>
      </w:r>
    </w:p>
    <w:p>
      <w:pPr>
        <w:numPr>
          <w:ilvl w:val="0"/>
          <w:numId w:val="1001"/>
        </w:numPr>
        <w:pStyle w:val="Compact"/>
      </w:pPr>
      <w:r>
        <w:t xml:space="preserve">The NN violations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=</m:t>
        </m:r>
        <m:r>
          <m:t>32</m:t>
        </m:r>
      </m:oMath>
      <w:r>
        <w:t xml:space="preserve">) come from case 0. Its selected checkpoint let the early-date boundary drift down to about</w:t>
      </w:r>
      <w:r>
        <w:t xml:space="preserve"> </w:t>
      </w:r>
      <m:oMath>
        <m:r>
          <m:t>0.49</m:t>
        </m:r>
        <m:r>
          <m:t>K</m:t>
        </m:r>
      </m:oMath>
      <w:r>
        <w:t xml:space="preserve"> </w:t>
      </w:r>
      <w:r>
        <w:t xml:space="preserve">(Section 4).</w:t>
      </w:r>
    </w:p>
    <w:bookmarkEnd w:id="20"/>
    <w:bookmarkStart w:id="21" w:name="reference-simulation-and-the-cap"/>
    <w:p>
      <w:pPr>
        <w:pStyle w:val="Heading1"/>
      </w:pPr>
      <w:r>
        <w:t xml:space="preserve">2. Reference, simulation and the cap</w:t>
      </w:r>
    </w:p>
    <w:p>
      <w:pPr>
        <w:pStyle w:val="FirstParagraph"/>
      </w:pPr>
      <w:r>
        <w:rPr>
          <w:bCs/>
          <w:b/>
        </w:rPr>
        <w:t xml:space="preserve">Reference.</w:t>
      </w:r>
      <w:r>
        <w:t xml:space="preserve"> </w:t>
      </w:r>
      <w:r>
        <w:t xml:space="preserve">Our solver uses a uniform</w:t>
      </w:r>
      <w:r>
        <w:t xml:space="preserve"> </w:t>
      </w:r>
      <m:oMath>
        <m:r>
          <m:rPr>
            <m:sty m:val="p"/>
          </m:rPr>
          <m:t>log</m:t>
        </m:r>
        <m:r>
          <m:t>S</m:t>
        </m:r>
      </m:oMath>
      <w:r>
        <w:t xml:space="preserve"> </w:t>
      </w:r>
      <w:r>
        <w:t xml:space="preserve">grid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on a node:</w:t>
      </w:r>
    </w:p>
    <w:p>
      <w:pPr>
        <w:numPr>
          <w:ilvl w:val="0"/>
          <w:numId w:val="1002"/>
        </w:numPr>
        <w:pStyle w:val="Compact"/>
      </w:pPr>
      <w:r>
        <w:t xml:space="preserve">The Gaussian step is integrated exactly for the piecewise-linear interpolant, with a</w:t>
      </w:r>
      <w:r>
        <w:t xml:space="preserve"> </w:t>
      </w:r>
      <m:oMath>
        <m:r>
          <m:t>d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variance correction. Without it, the European error grew with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dividend is an exact shift of 10 grid nodes.</w:t>
      </w:r>
    </w:p>
    <w:p>
      <w:pPr>
        <w:numPr>
          <w:ilvl w:val="0"/>
          <w:numId w:val="1002"/>
        </w:numPr>
        <w:pStyle w:val="Compact"/>
      </w:pPr>
      <w:r>
        <w:t xml:space="preserve">European prices match the closed form to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price change ($)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boundary change ($)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Spatial (</w:t>
            </w:r>
            <m:oMath>
              <m:r>
                <m:t>d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integration (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/ kernel tails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: 180 → 360 (different problem)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</w:tr>
    </w:tbl>
    <w:p>
      <w:pPr>
        <w:pStyle w:val="BodyText"/>
      </w:pPr>
      <w:r>
        <w:t xml:space="preserve">Refinement approximates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problem more closely. Changing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changes the</w:t>
      </w:r>
      <w:r>
        <w:t xml:space="preserve"> </w:t>
      </w:r>
      <w:r>
        <w:rPr>
          <w:iCs/>
          <w:i/>
        </w:rPr>
        <w:t xml:space="preserve">problem</w:t>
      </w:r>
      <w:r>
        <w:t xml:space="preserve">: more exercise rights raise the value and move the boundary about 100 times more than any refinement. So an accuracy gain smaller than about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$ in price 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$ in boundary cannot be resolved against this reference.</w:t>
      </w:r>
    </w:p>
    <w:p>
      <w:pPr>
        <w:pStyle w:val="BodyText"/>
      </w:pPr>
      <w:r>
        <w:rPr>
          <w:bCs/>
          <w:b/>
        </w:rPr>
        <w:t xml:space="preserve">Simulation.</w:t>
      </w:r>
      <w:r>
        <w:t xml:space="preserve"> </w:t>
      </w:r>
      <w:r>
        <w:t xml:space="preserve">We sample the exact lognormal step and apply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δ</m:t>
            </m:r>
          </m:e>
        </m:d>
      </m:oMath>
      <w:r>
        <w:t xml:space="preserve"> </w:t>
      </w:r>
      <w:r>
        <w:t xml:space="preserve">on arrival at an integer dividend index. A path that starts at a dividend date is already post-jump. On the final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samples,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sSup>
              <m:e>
                <m:r>
                  <m:t>e</m:t>
                </m:r>
              </m:e>
              <m:sup>
                <m:r>
                  <m:t>r</m:t>
                </m:r>
                <m:r>
                  <m:t>T</m:t>
                </m:r>
              </m:sup>
            </m:sSup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</m:oMath>
      <w:r>
        <w:t xml:space="preserve"> </w:t>
      </w:r>
      <w:r>
        <w:t xml:space="preserve">0.12, 0.62, 1.96, 0.23 for cases 0–3.</w:t>
      </w:r>
    </w:p>
    <w:p>
      <w:pPr>
        <w:pStyle w:val="BodyText"/>
      </w:pPr>
      <w:r>
        <w:t xml:space="preserve">The optimal boundary lies on the cap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close to each dividend, which is why both fitted policies are given the cap rather than learning it.</w:t>
      </w:r>
    </w:p>
    <w:bookmarkEnd w:id="21"/>
    <w:bookmarkStart w:id="22" w:name="least-squares-policy"/>
    <w:p>
      <w:pPr>
        <w:pStyle w:val="Heading1"/>
      </w:pPr>
      <w:r>
        <w:t xml:space="preserve">3. Least-squares policy</w:t>
      </w:r>
    </w:p>
    <w:p>
      <w:pPr>
        <w:pStyle w:val="FirstParagraph"/>
      </w:pPr>
      <w:r>
        <w:t xml:space="preserve">We follow the specified recursion: a cubic regression in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on in-the-money rows (SVD least squares), then clipping, the largest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/</m:t>
        </m:r>
        <m:r>
          <m:rPr>
            <m:sty m:val="p"/>
          </m:rPr>
          <m:t>−</m:t>
        </m:r>
      </m:oMath>
      <w:r>
        <w:t xml:space="preserve"> </w:t>
      </w:r>
      <w:r>
        <w:t xml:space="preserve">crossing of</w:t>
      </w:r>
      <w:r>
        <w:t xml:space="preserve"> </w:t>
      </w:r>
      <m:oMath>
        <m:r>
          <m:t>H</m:t>
        </m:r>
      </m:oMath>
      <w:r>
        <w:t xml:space="preserve">, and the cap.</w:t>
      </w:r>
    </w:p>
    <w:p>
      <w:pPr>
        <w:pStyle w:val="BodyText"/>
      </w:pPr>
      <w:r>
        <w:rPr>
          <w:iCs/>
          <w:i/>
        </w:rPr>
        <w:t xml:space="preserve">Clipping.</w:t>
      </w:r>
      <w:r>
        <w:t xml:space="preserve"> </w:t>
      </w:r>
      <w:r>
        <w:t xml:space="preserve">The next possible exercise is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pays at most</w:t>
      </w:r>
      <w:r>
        <w:t xml:space="preserve"> </w:t>
      </w:r>
      <m:oMath>
        <m:r>
          <m:t>K</m:t>
        </m:r>
      </m:oMath>
      <w:r>
        <w:t xml:space="preserve">, so continuation in time-zero dollars lies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r</m:t>
                </m:r>
                <m:sSub>
                  <m:e>
                    <m:r>
                      <m:t>t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 Hence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sSub>
              <m:e>
                <m:r>
                  <m:t>t</m:t>
                </m:r>
              </m:e>
              <m:sub>
                <m:r>
                  <m:t>j</m:t>
                </m:r>
              </m:sub>
            </m:sSub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t>h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: exercise always wins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Replay.</w:t>
      </w:r>
      <w:r>
        <w:t xml:space="preserve"> </w:t>
      </w:r>
      <w:r>
        <w:t xml:space="preserve">Replaying the frozen rule forward reproduces the backward targets exactly.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Fallbacks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Multi-crossing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Replay</w:t>
            </w:r>
            <w:r>
              <w:t xml:space="preserve"> </w:t>
            </w:r>
            <m:oMath>
              <m:r>
                <m:rPr>
                  <m:sty m:val="p"/>
                </m:rPr>
                <m:t>max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iCs/>
          <w:i/>
        </w:rPr>
        <w:t xml:space="preserve">Two crossings on almost every date.</w:t>
      </w:r>
      <w:r>
        <w:t xml:space="preserve"> </w:t>
      </w:r>
      <w:r>
        <w:t xml:space="preserve">A single cubic over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0.001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cannot follow the value function’s curvature. As a result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dips below zero near</w:t>
      </w:r>
      <w:r>
        <w:t xml:space="preserve"> </w:t>
      </w:r>
      <m:oMath>
        <m:r>
          <m:t>s</m:t>
        </m:r>
        <m:r>
          <m:rPr>
            <m:sty m:val="p"/>
          </m:rPr>
          <m:t>≈</m:t>
        </m:r>
        <m:r>
          <m:t>3</m:t>
        </m:r>
      </m:oMath>
      <w:r>
        <w:t xml:space="preserve"> </w:t>
      </w:r>
      <w:r>
        <w:t xml:space="preserve">and turns positive again below the true boundary. The largest-crossing rule keeps one exercise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discarding the spurious continuation pocket in between.</w:t>
      </w:r>
    </w:p>
    <w:p>
      <w:pPr>
        <w:pStyle w:val="BodyText"/>
      </w:pPr>
      <w:r>
        <w:rPr>
          <w:iCs/>
          <w:i/>
        </w:rPr>
        <w:t xml:space="preserve">Low bias, downward spikes and capping.</w:t>
      </w:r>
    </w:p>
    <w:p>
      <w:pPr>
        <w:numPr>
          <w:ilvl w:val="0"/>
          <w:numId w:val="1003"/>
        </w:numPr>
        <w:pStyle w:val="Compact"/>
      </w:pP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fit is biased about</w:t>
      </w:r>
      <w:r>
        <w:t xml:space="preserve"> </w:t>
      </w:r>
      <m:oMath>
        <m:r>
          <m:t>0.03</m:t>
        </m:r>
      </m:oMath>
      <w:r>
        <w:t xml:space="preserve">–</w:t>
      </w:r>
      <m:oMath>
        <m:r>
          <m:t>0.05</m:t>
        </m:r>
        <m:r>
          <m:t>K</m:t>
        </m:r>
      </m:oMath>
      <w:r>
        <w:t xml:space="preserve"> </w:t>
      </w:r>
      <w:r>
        <w:t xml:space="preserve">low and is noisy near maturity, where the value function has a kink.</w:t>
      </w:r>
    </w:p>
    <w:p>
      <w:pPr>
        <w:numPr>
          <w:ilvl w:val="0"/>
          <w:numId w:val="1003"/>
        </w:numPr>
        <w:pStyle w:val="Compact"/>
      </w:pPr>
      <w:r>
        <w:t xml:space="preserve">Further from a dividend, the exercise premium</w:t>
      </w:r>
      <w:r>
        <w:t xml:space="preserve"> </w:t>
      </w:r>
      <m:oMath>
        <m:r>
          <m:t>δ</m:t>
        </m:r>
        <m:r>
          <m:t>s</m:t>
        </m:r>
        <m:r>
          <m:rPr>
            <m:sty m:val="p"/>
          </m:rPr>
          <m:t>−</m:t>
        </m:r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t>ε</m:t>
                </m:r>
              </m:sup>
            </m:sSup>
          </m:e>
        </m:d>
      </m:oMath>
      <w:r>
        <w:t xml:space="preserve"> </w:t>
      </w:r>
      <w:r>
        <w:t xml:space="preserve">is only cents, below the regression’s resolution. There the cubic sometimes returns only the low crossing, which produces the downward spikes in Fig. 1(b).</w:t>
      </w:r>
    </w:p>
    <w:p>
      <w:pPr>
        <w:numPr>
          <w:ilvl w:val="0"/>
          <w:numId w:val="1003"/>
        </w:numPr>
        <w:pStyle w:val="Compact"/>
      </w:pPr>
      <w:r>
        <w:t xml:space="preserve">Close to each dividend the cap takes over. It binds on 85 dates (</w:t>
      </w:r>
      <m:oMath>
        <m:r>
          <m:t>N</m:t>
        </m:r>
        <m:r>
          <m:rPr>
            <m:sty m:val="p"/>
          </m:rPr>
          <m:t>=</m:t>
        </m:r>
        <m:r>
          <m:t>180</m:t>
        </m:r>
      </m:oMath>
      <w:r>
        <w:t xml:space="preserve">) and 149 dates (</w:t>
      </w:r>
      <m:oMath>
        <m:r>
          <m:t>N</m:t>
        </m:r>
        <m:r>
          <m:rPr>
            <m:sty m:val="p"/>
          </m:rPr>
          <m:t>=</m:t>
        </m:r>
        <m:r>
          <m:t>360</m:t>
        </m:r>
      </m:oMath>
      <w:r>
        <w:t xml:space="preserve">).</w:t>
      </w:r>
    </w:p>
    <w:bookmarkEnd w:id="22"/>
    <w:bookmarkStart w:id="23" w:name="neural-policy"/>
    <w:p>
      <w:pPr>
        <w:pStyle w:val="Heading1"/>
      </w:pPr>
      <w:r>
        <w:t xml:space="preserve">4. Neural policy</w:t>
      </w:r>
    </w:p>
    <w:p>
      <w:pPr>
        <w:pStyle w:val="FirstParagraph"/>
      </w:pPr>
      <w:r>
        <w:rPr>
          <w:bCs/>
          <w:b/>
        </w:rPr>
        <w:t xml:space="preserve">Set-up.</w:t>
      </w:r>
      <w:r>
        <w:t xml:space="preserve"> </w:t>
      </w:r>
      <w:r>
        <w:t xml:space="preserve">We follow the specified design: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Networks:</w:t>
      </w:r>
      <w:r>
        <w:t xml:space="preserve"> </w:t>
      </w:r>
      <w:r>
        <w:t xml:space="preserve">one per interval,</w:t>
      </w:r>
      <w:r>
        <w:t xml:space="preserve"> </w:t>
      </w:r>
      <w:r>
        <w:rPr>
          <w:rStyle w:val="VerbatimChar"/>
        </w:rPr>
        <w:t xml:space="preserve">Linear(1,8)</w:t>
      </w:r>
      <w:r>
        <w:t xml:space="preserve">–tanh–</w:t>
      </w:r>
      <w:r>
        <w:rPr>
          <w:rStyle w:val="VerbatimChar"/>
        </w:rPr>
        <w:t xml:space="preserve">Linear(8,1)</w:t>
      </w:r>
      <w:r>
        <w:t xml:space="preserve">, with</w:t>
      </w:r>
      <w:r>
        <w:t xml:space="preserve"> </w:t>
      </w:r>
      <m:oMath>
        <m:sSub>
          <m:e>
            <m:r>
              <m:t>b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g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θ</m:t>
                </m:r>
              </m:sub>
            </m:sSub>
          </m:e>
        </m:d>
      </m:oMath>
      <w:r>
        <w:t xml:space="preserve">, so the cap is built in.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Warm start:</w:t>
      </w:r>
      <w:r>
        <w:t xml:space="preserve"> </w:t>
      </w:r>
      <w:r>
        <w:t xml:space="preserve">1,000 supervised Adam steps towards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p>
            <m:r>
              <m:t>L</m:t>
            </m:r>
            <m:r>
              <m:t>S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Payoff stage:</w:t>
      </w:r>
      <w:r>
        <w:t xml:space="preserve"> </w:t>
      </w:r>
      <w:r>
        <w:t xml:space="preserve">2,400 Adam steps on the smoothed payoff, with batches of 512 from 8,192 random-start paths.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Precision:</w:t>
      </w:r>
      <w:r>
        <w:t xml:space="preserve"> </w:t>
      </w:r>
      <w:r>
        <w:t xml:space="preserve">training in float32; validation in float64.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19 s supervised plus 64 s payoff training for all four cases on 2 CPU threads.</w:t>
      </w:r>
    </w:p>
    <w:p>
      <w:pPr>
        <w:pStyle w:val="FirstParagraph"/>
      </w:pPr>
      <w:r>
        <w:rPr>
          <w:bCs/>
          <w:b/>
        </w:rPr>
        <w:t xml:space="preserve">Randomised stopping.</w:t>
      </w:r>
      <w:r>
        <w:t xml:space="preserve"> </w:t>
      </w:r>
      <w:r>
        <w:t xml:space="preserve">If the holder has not yet stopped, they stop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independently of the future.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</m:sub>
        </m:sSub>
        <m:nary>
          <m:naryPr>
            <m:chr m:val="∏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&lt;</m:t>
            </m:r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</m:nary>
      </m:oMath>
      <w:r>
        <w:t xml:space="preserve"> </w:t>
      </w:r>
      <w:r>
        <w:t xml:space="preserve">is the probability of stopping</w:t>
      </w:r>
      <w:r>
        <w:t xml:space="preserve"> </w:t>
      </w:r>
      <w:r>
        <w:rPr>
          <w:iCs/>
          <w:i/>
        </w:rPr>
        <w:t xml:space="preserve">first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So</w:t>
      </w:r>
      <w:r>
        <w:t xml:space="preserve"> </w:t>
      </w:r>
      <m:oMath>
        <m:sSub>
          <m:e>
            <m:r>
              <m:t>R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the path-conditional expectation of the discounted payoff under this randomised rule. It is smooth in</w:t>
      </w:r>
      <w:r>
        <w:t xml:space="preserve"> </w:t>
      </w:r>
      <m:oMath>
        <m:r>
          <m:t>θ</m:t>
        </m:r>
      </m:oMath>
      <w:r>
        <w:t xml:space="preserve">, and it tends to the hard rule as</w:t>
      </w:r>
      <w:r>
        <w:t xml:space="preserve"> </w:t>
      </w:r>
      <m:oMath>
        <m:r>
          <m:t>ϵ</m:t>
        </m:r>
        <m:r>
          <m:rPr>
            <m:sty m:val="p"/>
          </m:rPr>
          <m:t>→</m:t>
        </m:r>
        <m:r>
          <m:t>0</m:t>
        </m:r>
      </m:oMath>
      <w:r>
        <w:t xml:space="preserve">;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it matches the hard rule to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$.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Ckpt-0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vs ckpt 0 (SE)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E</m:t>
                  </m:r>
                </m:e>
                <m:sub>
                  <m:r>
                    <m:t>m</m:t>
                  </m:r>
                  <m:r>
                    <m:t>e</m:t>
                  </m:r>
                  <m:r>
                    <m:t>a</m:t>
                  </m:r>
                  <m:r>
                    <m:t>n</m:t>
                  </m:r>
                </m:sub>
                <m:sup>
                  <m:r>
                    <m:t>N</m:t>
                  </m:r>
                  <m:r>
                    <m:t>N</m:t>
                  </m:r>
                </m:sup>
              </m:sSubSup>
            </m:oMath>
            <w:r>
              <w:t xml:space="preserve">: ckpt 0 → selected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 (0.041)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 → 0.078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 → 0.019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 (0.038)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 → 0.023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 → 0.043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Checkpoint selection.</w:t>
      </w:r>
      <w:r>
        <w:t xml:space="preserve"> </w:t>
      </w:r>
      <w:r>
        <w:t xml:space="preserve">Every paired validation gain is within about 2 SE of zero, so on 4,096 random-start paths the checkpoints are statistically indistinguishable.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Cases 1 and 3:</w:t>
      </w:r>
      <w:r>
        <w:t xml:space="preserve"> </w:t>
      </w:r>
      <w:r>
        <w:t xml:space="preserve">checkpoint 0 is selected, i.e. the smoothed LS warm start.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Case 2:</w:t>
      </w:r>
      <w:r>
        <w:t xml:space="preserve"> </w:t>
      </w:r>
      <w:r>
        <w:t xml:space="preserve">payoff training more than halved the boundary error.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Case 0:</w:t>
      </w:r>
      <w:r>
        <w:t xml:space="preserve"> </w:t>
      </w:r>
      <w:r>
        <w:t xml:space="preserve">the selected checkpoint has a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boundary. Near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 drifted to about</w:t>
      </w:r>
      <w:r>
        <w:t xml:space="preserve"> </w:t>
      </w:r>
      <m:oMath>
        <m:r>
          <m:t>0.49</m:t>
        </m:r>
        <m:r>
          <m:t>K</m:t>
        </m:r>
      </m:oMath>
      <w:r>
        <w:t xml:space="preserve">, a region few random-start validation paths visit.</w:t>
      </w:r>
    </w:p>
    <w:p>
      <w:pPr>
        <w:pStyle w:val="FirstParagraph"/>
      </w:pPr>
      <w:r>
        <w:rPr>
          <w:bCs/>
          <w:b/>
        </w:rPr>
        <w:t xml:space="preserve">Research connection.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Becker, Cheridito and Jentzen (2019)</w:t>
      </w:r>
      <w:r>
        <w:t xml:space="preserve"> </w:t>
      </w:r>
      <w:r>
        <w:t xml:space="preserve">decompose a stopping time into 0–1 stop/continue decisions, one network per date. During training each decision is relaxed to a logistic output in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and the networks are trained</w:t>
      </w:r>
      <w:r>
        <w:t xml:space="preserve"> </w:t>
      </w:r>
      <w:r>
        <w:rPr>
          <w:bCs/>
          <w:b/>
        </w:rPr>
        <w:t xml:space="preserve">backward, one date at a time</w:t>
      </w:r>
      <w:r>
        <w:t xml:space="preserve">. The economic objective is the</w:t>
      </w:r>
      <w:r>
        <w:t xml:space="preserve"> </w:t>
      </w:r>
      <w:r>
        <w:rPr>
          <w:bCs/>
          <w:b/>
        </w:rPr>
        <w:t xml:space="preserve">optimal-stopping value</w:t>
      </w:r>
      <w:r>
        <w:t xml:space="preserve">: maximise the expected reward of the stopping time. The learned rule gives a lower bound, and a dual martingale gives an upper bound and confidence intervals.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Bühler et al. (2019)</w:t>
      </w:r>
      <w:r>
        <w:t xml:space="preserve"> </w:t>
      </w:r>
      <w:r>
        <w:t xml:space="preserve">parametrise the</w:t>
      </w:r>
      <w:r>
        <w:t xml:space="preserve"> </w:t>
      </w:r>
      <w:r>
        <w:rPr>
          <w:bCs/>
          <w:b/>
        </w:rPr>
        <w:t xml:space="preserve">hedging strategy</w:t>
      </w:r>
      <w:r>
        <w:t xml:space="preserve"> </w:t>
      </w:r>
      <w:r>
        <w:t xml:space="preserve">by semi-recurrent networks and train it with mini-batch Adam directly on simulated paths. The economic objective is to</w:t>
      </w:r>
      <w:r>
        <w:t xml:space="preserve"> </w:t>
      </w:r>
      <w:r>
        <w:rPr>
          <w:bCs/>
          <w:b/>
        </w:rPr>
        <w:t xml:space="preserve">minimise a convex risk measure</w:t>
      </w:r>
      <w:r>
        <w:t xml:space="preserve"> </w:t>
      </w:r>
      <w:r>
        <w:t xml:space="preserve">(e.g. expected shortfall, entropic risk) of the hedged terminal position under frictions such as transaction costs. This gives indifference prices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Z</m:t>
            </m:r>
          </m:e>
        </m:d>
        <m:r>
          <m:rPr>
            <m:sty m:val="p"/>
          </m:rPr>
          <m:t>−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Our payoff stage uses Becker et al.’s relaxation, but on a single threshold parametrisation trained</w:t>
      </w:r>
      <w:r>
        <w:t xml:space="preserve"> </w:t>
      </w:r>
      <w:r>
        <w:rPr>
          <w:bCs/>
          <w:b/>
        </w:rPr>
        <w:t xml:space="preserve">jointly over all dates</w:t>
      </w:r>
      <w:r>
        <w:t xml:space="preserve">. It is optimised by stochastic gradient on simulated paths, as in deep hedging, but with a risk-neutral</w:t>
      </w:r>
      <w:r>
        <w:t xml:space="preserve"> </w:t>
      </w:r>
      <w:r>
        <w:rPr>
          <w:bCs/>
          <w:b/>
        </w:rPr>
        <w:t xml:space="preserve">expected-payoff</w:t>
      </w:r>
      <w:r>
        <w:t xml:space="preserve"> </w:t>
      </w:r>
      <w:r>
        <w:t xml:space="preserve">objective rather than a risk measure.</w:t>
      </w:r>
    </w:p>
    <w:bookmarkEnd w:id="23"/>
    <w:bookmarkStart w:id="24" w:name="values-and-boundaries"/>
    <w:p>
      <w:pPr>
        <w:pStyle w:val="Heading1"/>
      </w:pPr>
      <w:r>
        <w:t xml:space="preserve">5. Values and boundaries</w:t>
      </w:r>
    </w:p>
    <w:p>
      <w:pPr>
        <w:pStyle w:val="FirstParagraph"/>
      </w:pPr>
      <w:r>
        <w:rPr>
          <w:bCs/>
          <w:b/>
        </w:rPr>
        <w:t xml:space="preserve">Prices.</w:t>
      </w:r>
      <w:r>
        <w:t xml:space="preserve"> </w:t>
      </w:r>
      <w:r>
        <w:t xml:space="preserve">50,000 independent paths per start (seed</w:t>
      </w:r>
      <w:r>
        <w:t xml:space="preserve"> </w:t>
      </w:r>
      <m:oMath>
        <m:r>
          <m:t>4000</m:t>
        </m:r>
        <m:r>
          <m:rPr>
            <m:sty m:val="p"/>
          </m:rPr>
          <m:t>+</m:t>
        </m:r>
        <m:r>
          <m:t>10</m:t>
        </m:r>
        <m:r>
          <m:t>c</m:t>
        </m:r>
        <m:r>
          <m:rPr>
            <m:sty m:val="p"/>
          </m:rPr>
          <m:t>+</m:t>
        </m:r>
        <m:r>
          <m:t>a</m:t>
        </m:r>
      </m:oMath>
      <w:r>
        <w:t xml:space="preserve">), shared by all policies, in float64: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 mean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NN mean (SE)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40.0000 (0.000)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39.1302 (0.039)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20.6526 (0.056)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20.5836 (0.056)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8.6484 (0.050)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8.7598 (0.046)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40.0000 (0.000)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39.9710 (0.010)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21.9971 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22.0096 (0.063)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10.0287 (0.055)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10.0334 (0.055)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40.0000 (0.000)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40.0000 (0.000)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20.6604 (0.054)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20.8215 (0.042)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8.6117 (0.049)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8.6885 (0.046)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40.0000 (0.000)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40.0000 (0.000)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22.0697 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22.0652 (0.062)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10.0733 (0.055)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10.0726 (0.055)</w:t>
            </w:r>
          </w:p>
        </w:tc>
      </w:tr>
    </w:tbl>
    <w:p>
      <w:pPr>
        <w:pStyle w:val="BodyText"/>
      </w:pPr>
      <w:r>
        <w:t xml:space="preserve">The frozen rule is an admissible stopping time, so its expected payoff is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δ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, and fresh paths make the sample mean unbiased for it. Consistently, no fitted mean exceeds the reference: the largest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mean</m:t>
            </m:r>
            <m:r>
              <m:rPr>
                <m:sty m:val="p"/>
              </m:rPr>
              <m:t>−</m:t>
            </m:r>
            <m:sSup>
              <m:e>
                <m:r>
                  <m:t>V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is -0.65. Interval endpoints are in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.</w:t>
      </w:r>
    </w:p>
    <w:p>
      <w:pPr>
        <w:pStyle w:val="BodyText"/>
      </w:pPr>
      <w:r>
        <w:t xml:space="preserve">Paired against the reference boundary applied on the same paths, at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LS loses 0.02–0.19 $ and the NN loses 0.01–0.26 $.</w:t>
      </w:r>
    </w:p>
    <w:p>
      <w:pPr>
        <w:numPr>
          <w:ilvl w:val="0"/>
          <w:numId w:val="1007"/>
        </w:numPr>
        <w:pStyle w:val="Compact"/>
      </w:pPr>
      <w:r>
        <w:t xml:space="preserve">The NN beats LS in case 2 (0.03 vs 0.19 $ at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80</m:t>
        </m:r>
      </m:oMath>
      <w:r>
        <w:t xml:space="preserve">) and ties LS in cases 1 and 3.</w:t>
      </w:r>
    </w:p>
    <w:p>
      <w:pPr>
        <w:numPr>
          <w:ilvl w:val="0"/>
          <w:numId w:val="1007"/>
        </w:numPr>
        <w:pStyle w:val="Compact"/>
      </w:pPr>
      <w:r>
        <w:t xml:space="preserve">At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the NN loses 0.87 $ in case 0 and 0.03 $ in case 1, because its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boundary sits below 60, so it waits instead of exercising.</w:t>
      </w:r>
    </w:p>
    <w:p>
      <w:pPr>
        <w:pStyle w:val="FirstParagraph"/>
      </w:pPr>
      <w:r>
        <w:rPr>
          <w:bCs/>
          <w:b/>
        </w:rPr>
        <w:t xml:space="preserve">Boundary accuracy.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E</m:t>
                  </m:r>
                </m:e>
                <m:sub>
                  <m:r>
                    <m:t>m</m:t>
                  </m:r>
                  <m:r>
                    <m:t>e</m:t>
                  </m:r>
                  <m:r>
                    <m:t>a</m:t>
                  </m:r>
                  <m:r>
                    <m:t>n</m:t>
                  </m:r>
                </m:sub>
                <m:sup>
                  <m:r>
                    <m:t>L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E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  <m:sup>
                  <m:r>
                    <m:t>L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E</m:t>
                  </m:r>
                </m:e>
                <m:sub>
                  <m:r>
                    <m:t>m</m:t>
                  </m:r>
                  <m:r>
                    <m:t>e</m:t>
                  </m:r>
                  <m:r>
                    <m:t>a</m:t>
                  </m:r>
                  <m:r>
                    <m:t>n</m:t>
                  </m:r>
                </m:sub>
                <m:sup>
                  <m:r>
                    <m:t>N</m:t>
                  </m:r>
                  <m:r>
                    <m:t>N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E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  <m:sup>
                  <m:r>
                    <m:t>N</m:t>
                  </m:r>
                  <m:r>
                    <m:t>N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0.229</w:t>
            </w:r>
          </w:p>
        </w:tc>
      </w:tr>
    </w:tbl>
    <w:p>
      <w:pPr>
        <w:pStyle w:val="BodyText"/>
      </w:pPr>
      <w:r>
        <w:t xml:space="preserve">Compare each policy with the reference for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first. The optimal boundary itself moves by only</w:t>
      </w:r>
      <w: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  <m:r>
              <m:t>e</m:t>
            </m:r>
            <m:r>
              <m:t>a</m:t>
            </m:r>
            <m:r>
              <m:t>n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0.0026 (</w:t>
      </w:r>
      <m:oMath>
        <m:r>
          <m:t>δ</m:t>
        </m:r>
        <m:r>
          <m:rPr>
            <m:sty m:val="p"/>
          </m:rPr>
          <m:t>=</m:t>
        </m:r>
        <m:r>
          <m:t>0</m:t>
        </m:r>
      </m:oMath>
      <w:r>
        <w:t xml:space="preserve">) and 0.0008 (</w:t>
      </w:r>
      <m:oMath>
        <m:r>
          <m:t>δ</m:t>
        </m:r>
        <m:r>
          <m:rPr>
            <m:sty m:val="p"/>
          </m:rPr>
          <m:t>=</m:t>
        </m:r>
        <m:r>
          <m:t>0.0125</m:t>
        </m:r>
      </m:oMath>
      <w:r>
        <w:t xml:space="preserve">) between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360</m:t>
        </m:r>
      </m:oMath>
      <w:r>
        <w:t xml:space="preserve">. The fitted errors are 10–100 times larger (LS 0.032–0.065, NN 0.019–0.078). So every change in a fitted policy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learning error, set by the fixed budgets and by checkpoint selection, not by the extra exercise dates.</w:t>
      </w:r>
    </w:p>
    <w:p>
      <w:pPr>
        <w:pStyle w:val="BodyText"/>
      </w:pPr>
      <w:r>
        <w:rPr>
          <w:bCs/>
          <w:b/>
        </w:rPr>
        <w:t xml:space="preserve">Price vs boundary accuracy.</w:t>
      </w:r>
      <w:r>
        <w:t xml:space="preserve"> </w:t>
      </w:r>
      <w:r>
        <w:t xml:space="preserve">Mean boundary errors of 2–8%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cost only cents in price. The one large loss (case 0,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) comes from an error at a single, heavily visited state rather than a large average error.</w:t>
      </w:r>
    </w:p>
    <w:p>
      <w:pPr>
        <w:pStyle w:val="BodyText"/>
      </w:pPr>
      <w:r>
        <w:rPr>
          <w:bCs/>
          <w:b/>
        </w:rPr>
        <w:t xml:space="preserve">Perturbation</w:t>
      </w:r>
      <w:r>
        <w:t xml:space="preserve"> </w:t>
      </w:r>
      <w:r>
        <w:t xml:space="preserve">(case 3,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, same evaluation paths):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sup>
              </m:sSup>
            </m:oMath>
            <w:r>
              <w:t xml:space="preserve"> </w:t>
            </w:r>
            <w:r>
              <w:t xml:space="preserve">($)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mean shift /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Dates capped at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Paths whose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of 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17.5% (all later)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 of 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19.4% (all earlier)</w:t>
            </w:r>
          </w:p>
        </w:tc>
      </w:tr>
    </w:tbl>
    <w:p>
      <w:pPr>
        <w:pStyle w:val="BodyText"/>
      </w:pPr>
      <w:r>
        <w:t xml:space="preserve">Three effects link boundary changes to price changes: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cap.</w:t>
      </w:r>
      <w:r>
        <w:t xml:space="preserve"> </w:t>
      </w:r>
      <w:r>
        <w:t xml:space="preserve">It absorbs most of the upward shift: 147 dates are capped, so the applied mean shift is only</w:t>
      </w:r>
      <w:r>
        <w:t xml:space="preserve"> </w:t>
      </w:r>
      <m:oMath>
        <m:r>
          <m:t>0.014</m:t>
        </m:r>
        <m:r>
          <m:t>K</m:t>
        </m:r>
      </m:oMath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States visited.</w:t>
      </w:r>
      <w:r>
        <w:t xml:space="preserve"> </w:t>
      </w:r>
      <w:r>
        <w:t xml:space="preserve">Only paths that enter the shifted band change decision, about 17–19% of paths.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Direction of the change.</w:t>
      </w:r>
      <w:r>
        <w:t xml:space="preserve"> </w:t>
      </w:r>
      <w:r>
        <w:t xml:space="preserve">Lowering the boundary delays exercise and costs -0.019 $ (SE 0.008; -0.110 $ per affected path). Raising it gains +0.005 $ (SE 0.009), which is not significant.</w:t>
      </w:r>
    </w:p>
    <w:p>
      <w:pPr>
        <w:pStyle w:val="FirstParagraph"/>
      </w:pPr>
      <w:r>
        <w:t xml:space="preserve">The asymmetry arises because the NN sits about</w:t>
      </w:r>
      <w:r>
        <w:t xml:space="preserve"> </w:t>
      </w:r>
      <m:oMath>
        <m:r>
          <m:t>0.04</m:t>
        </m:r>
        <m:r>
          <m:t>K</m:t>
        </m:r>
      </m:oMath>
      <w:r>
        <w:t xml:space="preserve"> </w:t>
      </w:r>
      <w:r>
        <w:t xml:space="preserve">below the reference: moving down goes further from the optimum, while moving up approaches it on the flat part of the value surface. A finer sweep (in the code) shows the price is flat within noise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0.06</m:t>
            </m:r>
          </m:e>
        </m:d>
      </m:oMath>
      <w:r>
        <w:t xml:space="preserve">.</w:t>
      </w:r>
    </w:p>
    <w:bookmarkEnd w:id="24"/>
    <w:bookmarkStart w:id="31" w:name="figures"/>
    <w:p>
      <w:pPr>
        <w:pStyle w:val="Heading1"/>
      </w:pPr>
      <w:r>
        <w:t xml:space="preserve">Figures</w:t>
      </w:r>
    </w:p>
    <w:p>
      <w:pPr>
        <w:pStyle w:val="CaptionedFigure"/>
      </w:pPr>
      <w:r>
        <w:drawing>
          <wp:inline>
            <wp:extent cx="6309360" cy="2523744"/>
            <wp:effectExtent b="0" l="0" r="0" t="0"/>
            <wp:docPr descr="Figure 1. Exercise boundaries b/K against u=T-t for N=360: reference (blue), LS (orange) and selected NN (green); the N=180 reference is dashed. Panel (a) \delta=0, panel (b) \delta=0.0125. Curves are broken at the dividends (dotted)." title="" id="26" name="Picture"/>
            <a:graphic>
              <a:graphicData uri="http://schemas.openxmlformats.org/drawingml/2006/picture">
                <pic:pic>
                  <pic:nvPicPr>
                    <pic:cNvPr descr="figures/fig1_boundari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523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Exercise boundaries</w:t>
      </w:r>
      <w:r>
        <w:t xml:space="preserve"> </w:t>
      </w:r>
      <m:oMath>
        <m:r>
          <m:t>b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360</m:t>
        </m:r>
      </m:oMath>
      <w:r>
        <w:t xml:space="preserve">: reference (blue), LS (orange) and selected NN (green);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reference is dashed. Panel (a)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</m:oMath>
      <w:r>
        <w:t xml:space="preserve">, panel (b)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0.0125</m:t>
        </m:r>
      </m:oMath>
      <w:r>
        <w:t xml:space="preserve">. Curves are broken at the dividends (dotted).</w:t>
      </w:r>
    </w:p>
    <w:p>
      <w:pPr>
        <w:pStyle w:val="CaptionedFigure"/>
      </w:pPr>
      <w:r>
        <w:drawing>
          <wp:inline>
            <wp:extent cx="3840480" cy="2353842"/>
            <wp:effectExtent b="0" l="0" r="0" t="0"/>
            <wp:docPr descr="Figure 2. Case 3 around d_3 (|t-d_3|\le1/24). Right of the dotted line is before d_3 in calendar time; left is after. On the pre-dividend side the reference lies on the Part 1 bound K(1-e^{-r(d_3-t)})/(\delta K) (grey dashed); LS and NN lie below it, since the cap only limits them from above." title="" id="29" name="Picture"/>
            <a:graphic>
              <a:graphicData uri="http://schemas.openxmlformats.org/drawingml/2006/picture">
                <pic:pic>
                  <pic:nvPicPr>
                    <pic:cNvPr descr="figures/fig2_final_dividen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353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Case 3 around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</w:t>
      </w:r>
      <m:oMath>
        <m:d>
          <m:dPr>
            <m:begChr m:val="|"/>
            <m:endChr m:val="|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24</m:t>
        </m:r>
      </m:oMath>
      <w:r>
        <w:t xml:space="preserve">). Right of the dotted line is before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calendar time; left is after. On the pre-dividend side the reference lies on the Part 1 bound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r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K</m:t>
            </m:r>
          </m:e>
        </m:d>
      </m:oMath>
      <w:r>
        <w:t xml:space="preserve"> </w:t>
      </w:r>
      <w:r>
        <w:t xml:space="preserve">(grey dashed); LS and NN lie below it, since the cap only limits them from above.</w:t>
      </w:r>
    </w:p>
    <w:bookmarkEnd w:id="31"/>
    <w:bookmarkStart w:id="32" w:name="reproducibility-and-ai-use"/>
    <w:p>
      <w:pPr>
        <w:pStyle w:val="Heading1"/>
      </w:pPr>
      <w:r>
        <w:t xml:space="preserve">Reproducibility and AI use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Command:</w:t>
      </w:r>
      <w:r>
        <w:t xml:space="preserve"> </w:t>
      </w:r>
      <w:r>
        <w:rPr>
          <w:rStyle w:val="VerbatimChar"/>
        </w:rPr>
        <w:t xml:space="preserve">python run_all.py</w:t>
      </w:r>
      <w:r>
        <w:t xml:space="preserve">. It reproduces every table and figure (about 3 minutes); a full rerun gave identical outputs apart from the timing columns.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Records:</w:t>
      </w:r>
      <w:r>
        <w:t xml:space="preserve"> </w:t>
      </w:r>
      <w:r>
        <w:t xml:space="preserve">seeds, sizes, versions, hardware (2 CPU threads, no accelerator), precision and timings are in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fitted/*.json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Contributions:</w:t>
      </w:r>
      <w:r>
        <w:t xml:space="preserve"> </w:t>
      </w:r>
      <w:r>
        <w:t xml:space="preserve">Aditi Joshi — [TODO]; Helen Siavelis — [TODO]; Jaskaran Kalra — [TODO]; William McDonnell — [TODO].</w:t>
      </w:r>
    </w:p>
    <w:p>
      <w:pPr>
        <w:pStyle w:val="FirstParagraph"/>
      </w:pPr>
      <w:r>
        <w:rPr>
          <w:bCs/>
          <w:b/>
        </w:rPr>
        <w:t xml:space="preserve">AI use.</w:t>
      </w:r>
      <w:r>
        <w:t xml:space="preserve"> </w:t>
      </w:r>
      <w:r>
        <w:t xml:space="preserve">We used Claude (Anthropic; configured model identifier claude-opus-5-5, via Cowork) to draft code, derivations and text, and we verified its suggestions. One suggestion we checked computationally: integrating the piecewise-linear transition kernel exactly adds a spurious variance of</w:t>
      </w:r>
      <w:r>
        <w:t xml:space="preserve"> </w:t>
      </w:r>
      <m:oMath>
        <m:r>
          <m:t>d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per step. Without the correction, European errors were about</w:t>
      </w:r>
      <w:r>
        <w:t xml:space="preserve"> </w:t>
      </w:r>
      <m:oMath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180</m:t>
        </m:r>
      </m:oMath>
      <w:r>
        <w:t xml:space="preserve">) and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360</m:t>
        </m:r>
      </m:oMath>
      <w:r>
        <w:t xml:space="preserve">) and grew with</w:t>
      </w:r>
      <w:r>
        <w:t xml:space="preserve"> </w:t>
      </w:r>
      <m:oMath>
        <m:r>
          <m:t>N</m:t>
        </m:r>
      </m:oMath>
      <w:r>
        <w:t xml:space="preserve">. With it, they fell to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independent of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Becker, S., Cheridito, P., Jentzen, A. (2019). Deep Optimal Stopping.</w:t>
      </w:r>
      <w:r>
        <w:t xml:space="preserve"> </w:t>
      </w:r>
      <w:r>
        <w:rPr>
          <w:iCs/>
          <w:i/>
        </w:rPr>
        <w:t xml:space="preserve">JMLR</w:t>
      </w:r>
      <w:r>
        <w:t xml:space="preserve"> </w:t>
      </w:r>
      <w:r>
        <w:t xml:space="preserve">20(74), 1–25.</w:t>
      </w:r>
    </w:p>
    <w:p>
      <w:pPr>
        <w:pStyle w:val="BodyText"/>
      </w:pPr>
      <w:r>
        <w:t xml:space="preserve">Bühler, H. et al. (2019). Deep Hedging.</w:t>
      </w:r>
      <w:r>
        <w:t xml:space="preserve"> </w:t>
      </w:r>
      <w:r>
        <w:rPr>
          <w:iCs/>
          <w:i/>
        </w:rPr>
        <w:t xml:space="preserve">Quantitative Finance</w:t>
      </w:r>
      <w:r>
        <w:t xml:space="preserve"> </w:t>
      </w:r>
      <w:r>
        <w:t xml:space="preserve">19(8), 1271–1291.</w:t>
      </w:r>
    </w:p>
    <w:p>
      <w:pPr>
        <w:pStyle w:val="BodyText"/>
      </w:pPr>
      <w:r>
        <w:t xml:space="preserve">Cox, J.C., Rubinstein, M. (1985).</w:t>
      </w:r>
      <w:r>
        <w:t xml:space="preserve"> </w:t>
      </w:r>
      <w:r>
        <w:rPr>
          <w:iCs/>
          <w:i/>
        </w:rPr>
        <w:t xml:space="preserve">Options Markets</w:t>
      </w:r>
      <w:r>
        <w:t xml:space="preserve">. Prentice-Hall.</w:t>
      </w:r>
    </w:p>
    <w:p>
      <w:pPr>
        <w:pStyle w:val="BodyText"/>
      </w:pPr>
      <w:r>
        <w:t xml:space="preserve">Longstaff, F.A., Schwartz, E.S. (2001). Valuing American Options by Simulation: A Simple Least-Squares Approach.</w:t>
      </w:r>
      <w:r>
        <w:t xml:space="preserve"> </w:t>
      </w:r>
      <w:r>
        <w:rPr>
          <w:iCs/>
          <w:i/>
        </w:rPr>
        <w:t xml:space="preserve">Review of Financial Studies</w:t>
      </w:r>
      <w:r>
        <w:t xml:space="preserve"> </w:t>
      </w:r>
      <w:r>
        <w:t xml:space="preserve">14(1), 113–147.</w:t>
      </w:r>
    </w:p>
    <w:bookmarkEnd w:id="33"/>
    <w:sectPr>
      <w:pgSz w:h="15840" w:w="12240"/>
      <w:pgMar w:bottom="1008" w:left="1080" w:right="1080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/>
    </w:pPr>
    <w:rPr>
      <w:rFonts w:ascii="Calibri" w:hAnsi="Calibri"/>
      <w:sz w:val="20"/>
    </w:rPr>
  </w:style>
  <w:style w:styleId="BodyText" w:type="paragraph">
    <w:name w:val="Body Text"/>
    <w:basedOn w:val="Normal"/>
    <w:link w:val="BodyTextChar"/>
    <w:pPr>
      <w:spacing w:after="60" w:before="0"/>
    </w:pPr>
    <w:qFormat/>
    <w:rPr>
      <w:rFonts w:ascii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/>
    </w:pPr>
    <w:rPr>
      <w:rFonts w:ascii="Calibri" w:hAnsi="Calibri"/>
      <w:sz w:val="20"/>
    </w:rPr>
  </w:style>
  <w:style w:customStyle="1" w:styleId="Compact" w:type="paragraph">
    <w:name w:val="Compact"/>
    <w:basedOn w:val="BodyText"/>
    <w:qFormat/>
    <w:pPr>
      <w:spacing w:after="60" w:before="0"/>
    </w:pPr>
    <w:rPr>
      <w:rFonts w:ascii="Calibri" w:hAnsi="Calibri"/>
      <w:sz w:val="18"/>
    </w:rPr>
  </w:style>
  <w:style w:styleId="Title" w:type="paragraph">
    <w:name w:val="Title"/>
    <w:basedOn w:val="Normal"/>
    <w:next w:val="BodyText"/>
    <w:qFormat/>
    <w:pPr>
      <w:keepNext/>
      <w:keepLines/>
      <w:spacing w:after="40" w:before="0"/>
      <w:jc w:val="center"/>
    </w:pPr>
    <w:rPr>
      <w:rFonts w:ascii="Cambria" w:asciiTheme="majorHAnsi" w:cstheme="majorBidi" w:eastAsiaTheme="majorEastAsia" w:hAnsi="Cambria" w:hAnsiTheme="majorHAnsi"/>
      <w:b/>
      <w:bCs/>
      <w:color w:val="1F2A44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" w:before="0"/>
      <w:jc w:val="center"/>
    </w:pPr>
    <w:rPr>
      <w:rFonts w:ascii="Cambria" w:hAnsi="Cambria"/>
      <w:color w:val="1F2A44"/>
      <w:sz w:val="21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40" w:before="0"/>
      <w:jc w:val="center"/>
    </w:pPr>
    <w:rPr>
      <w:rFonts w:ascii="Cambria" w:hAnsi="Cambria"/>
      <w:color w:val="1F2A44"/>
      <w:sz w:val="20"/>
    </w:rPr>
  </w:style>
  <w:style w:styleId="Date" w:type="paragraph">
    <w:name w:val="Date"/>
    <w:next w:val="BodyText"/>
    <w:qFormat/>
    <w:pPr>
      <w:keepNext/>
      <w:keepLines/>
      <w:spacing w:after="40" w:before="0"/>
      <w:jc w:val="center"/>
    </w:pPr>
    <w:rPr>
      <w:rFonts w:ascii="Cambria" w:hAnsi="Cambria"/>
      <w:color w:val="1F2A44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40" w:before="120"/>
      <w:outlineLvl w:val="0"/>
    </w:pPr>
    <w:rPr>
      <w:rFonts w:ascii="Cambria" w:asciiTheme="majorHAnsi" w:cstheme="majorBidi" w:eastAsiaTheme="majorEastAsia" w:hAnsi="Cambria" w:hAnsiTheme="majorHAnsi"/>
      <w:b/>
      <w:bCs/>
      <w:color w:val="1F2A44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40" w:before="120"/>
      <w:outlineLvl w:val="1"/>
    </w:pPr>
    <w:rPr>
      <w:rFonts w:ascii="Cambria" w:asciiTheme="majorHAnsi" w:cstheme="majorBidi" w:eastAsiaTheme="majorEastAsia" w:hAnsi="Cambria" w:hAnsiTheme="majorHAnsi"/>
      <w:b/>
      <w:bCs/>
      <w:color w:val="1F2A44"/>
      <w:sz w:val="21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80" w:before="0"/>
    </w:pPr>
    <w:rPr>
      <w:i/>
      <w:sz w:val="17"/>
    </w:rPr>
  </w:style>
  <w:style w:customStyle="1" w:styleId="TableCaption" w:type="paragraph">
    <w:name w:val="Table Caption"/>
    <w:basedOn w:val="Caption"/>
    <w:pPr>
      <w:keepNext/>
      <w:spacing w:after="80"/>
    </w:pPr>
    <w:rPr>
      <w:sz w:val="17"/>
    </w:rPr>
  </w:style>
  <w:style w:customStyle="1" w:styleId="ImageCaption" w:type="paragraph">
    <w:name w:val="Image Caption"/>
    <w:basedOn w:val="Caption"/>
    <w:pPr>
      <w:spacing w:after="80"/>
    </w:pPr>
    <w:rPr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an American Put Exercise Boundary</dc:title>
  <dc:creator>Aditi Joshi, Helen Siavelis, Jaskaran Kalra, William McDonnell</dc:creator>
  <cp:keywords/>
  <dcterms:created xsi:type="dcterms:W3CDTF">2026-09-26T23:57:35Z</dcterms:created>
  <dcterms:modified xsi:type="dcterms:W3CDTF">2026-09-26T23:57:35Z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Baruch MFE — Scientific Computing in Finance, Assignment 1</vt:lpwstr>
  </property>
</Properties>
</file>