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GhostChat project documentation</w:t>
      </w:r>
    </w:p>
    <w:p>
      <w:pPr>
        <w:pStyle w:val="Subtitle"/>
      </w:pPr>
      <w:r>
        <w:t>Product overview and developer operations manual</w:t>
      </w:r>
    </w:p>
    <w:p>
      <w:r>
        <w:t>Prepared for Prem Bharne and the GhostChat project team</w:t>
      </w:r>
    </w:p>
    <w:p>
      <w:r>
        <w:t>Version 1.0  |  29 October 2026  |  Pune India</w:t>
      </w:r>
    </w:p>
    <w:p>
      <w:pPr>
        <w:pStyle w:val="Heading2"/>
      </w:pPr>
      <w:r>
        <w:t>Purpose and scope</w:t>
      </w:r>
    </w:p>
    <w:p>
      <w:r>
        <w:t>This document explains GhostChat as implemented in the current local repository. It covers the product, account and wallet flow, Matrix messaging, MST payments, P2P test trading, contracts, APIs, storage, setup, deployment, testing and future work. It is intended for developers, teammates, teachers and hackathon reviewers.</w:t>
      </w:r>
    </w:p>
    <w:p>
      <w:r>
        <w:t>GhostChat combines conversations and payment tools in one messenger workspace. The latest P2P demonstration exchanges mock INR payments in Razorpay Test Mode for native faucet tMSTC on MST Testnet. It uses server-signed payment attestations. Real INR trading, production bank credit verification and zero-knowledge payment proofs are not implemented.</w:t>
      </w:r>
    </w:p>
    <w:p>
      <w:pPr>
        <w:pStyle w:val="Heading2"/>
      </w:pPr>
      <w:r>
        <w:t>How to read this document</w:t>
      </w:r>
    </w:p>
    <w:p>
      <w:r>
        <w:t>Implemented means code exists. Configuration required means an external account, secret or deployment is still needed. Verified locally refers to automated tests or browser checks, not a production launch or funded public-network test. Historical GhostPay names in contracts, packages and repository URLs are implementation identifiers; the public product name is GhostChat.</w:t>
      </w:r>
    </w:p>
    <w:tbl>
      <w:tblPr>
        <w:tblW w:type="auto" w:w="0"/>
        <w:tblLayout w:type="fixed"/>
        <w:tblLook w:firstColumn="1" w:firstRow="1" w:lastColumn="0" w:lastRow="0" w:noHBand="0" w:noVBand="1" w:val="04A0"/>
      </w:tblPr>
      <w:tblGrid>
        <w:gridCol w:w="1800"/>
        <w:gridCol w:w="7704"/>
      </w:tblGrid>
      <w:tr>
        <w:trPr>
          <w:cantSplit/>
          <w:cantSplit/>
          <w:tblHeader/>
        </w:trPr>
        <w:tc>
          <w:tcPr>
            <w:tcW w:type="dxa" w:w="1800"/>
            <w:tcBorders>
              <w:top w:val="single" w:sz="4" w:color="D9D9D9"/>
              <w:left w:val="single" w:sz="4" w:color="D9D9D9"/>
              <w:bottom w:val="single" w:sz="4" w:color="D9D9D9"/>
              <w:right w:val="single" w:sz="4" w:color="D9D9D9"/>
            </w:tcBorders>
            <w:shd w:fill="E8EDF2"/>
          </w:tcPr>
          <w:p>
            <w:pPr>
              <w:spacing w:after="100" w:before="100"/>
            </w:pPr>
            <w:r>
              <w:rPr>
                <w:b/>
                <w:sz w:val="18"/>
              </w:rPr>
              <w:t>Area</w:t>
            </w:r>
          </w:p>
        </w:tc>
        <w:tc>
          <w:tcPr>
            <w:tcW w:type="dxa" w:w="7704"/>
            <w:tcBorders>
              <w:top w:val="single" w:sz="4" w:color="D9D9D9"/>
              <w:left w:val="single" w:sz="4" w:color="D9D9D9"/>
              <w:bottom w:val="single" w:sz="4" w:color="D9D9D9"/>
              <w:right w:val="single" w:sz="4" w:color="D9D9D9"/>
            </w:tcBorders>
            <w:shd w:fill="E8EDF2"/>
          </w:tcPr>
          <w:p>
            <w:pPr>
              <w:spacing w:after="100" w:before="100"/>
            </w:pPr>
            <w:r>
              <w:rPr>
                <w:b/>
                <w:sz w:val="18"/>
              </w:rPr>
              <w:t>Current boundary</w:t>
            </w:r>
          </w:p>
        </w:tc>
      </w:tr>
      <w:tr>
        <w:trPr>
          <w:cantSplit/>
          <w:cantSplit/>
        </w:trPr>
        <w:tc>
          <w:tcPr>
            <w:tcW w:type="dxa" w:w="1800"/>
            <w:tcBorders>
              <w:top w:val="single" w:sz="4" w:color="D9D9D9"/>
              <w:left w:val="single" w:sz="4" w:color="D9D9D9"/>
              <w:bottom w:val="single" w:sz="4" w:color="D9D9D9"/>
              <w:right w:val="single" w:sz="4" w:color="D9D9D9"/>
            </w:tcBorders>
            <w:shd w:fill="FFFFFF"/>
          </w:tcPr>
          <w:p>
            <w:pPr>
              <w:spacing w:after="100" w:before="100"/>
            </w:pPr>
            <w:r>
              <w:rPr>
                <w:b w:val="0"/>
                <w:sz w:val="18"/>
              </w:rPr>
              <w:t>Accounts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Google identity and password-encrypted browser wallet implemented</w:t>
            </w:r>
          </w:p>
        </w:tc>
      </w:tr>
      <w:tr>
        <w:trPr>
          <w:cantSplit/>
          <w:cantSplit/>
        </w:trPr>
        <w:tc>
          <w:tcPr>
            <w:tcW w:type="dxa" w:w="1800"/>
            <w:tcBorders>
              <w:top w:val="single" w:sz="4" w:color="D9D9D9"/>
              <w:left w:val="single" w:sz="4" w:color="D9D9D9"/>
              <w:bottom w:val="single" w:sz="4" w:color="D9D9D9"/>
              <w:right w:val="single" w:sz="4" w:color="D9D9D9"/>
            </w:tcBorders>
            <w:shd w:fill="F5F7F9"/>
          </w:tcPr>
          <w:p>
            <w:pPr>
              <w:spacing w:after="100" w:before="100"/>
            </w:pPr>
            <w:r>
              <w:rPr>
                <w:b w:val="0"/>
                <w:sz w:val="18"/>
              </w:rPr>
              <w:t>Messaging</w:t>
            </w:r>
          </w:p>
        </w:tc>
        <w:tc>
          <w:tcPr>
            <w:tcW w:type="dxa" w:w="7704"/>
            <w:tcBorders>
              <w:top w:val="single" w:sz="4" w:color="D9D9D9"/>
              <w:left w:val="single" w:sz="4" w:color="D9D9D9"/>
              <w:bottom w:val="single" w:sz="4" w:color="D9D9D9"/>
              <w:right w:val="single" w:sz="4" w:color="D9D9D9"/>
            </w:tcBorders>
            <w:shd w:fill="F5F7F9"/>
          </w:tcPr>
          <w:p>
            <w:pPr>
              <w:spacing w:after="100" w:before="100"/>
            </w:pPr>
            <w:r>
              <w:rPr>
                <w:b w:val="0"/>
                <w:sz w:val="18"/>
              </w:rPr>
              <w:t>Matrix client implemented; teammate homeserver not integrated in this session</w:t>
            </w:r>
          </w:p>
        </w:tc>
      </w:tr>
      <w:tr>
        <w:trPr>
          <w:cantSplit/>
          <w:cantSplit/>
        </w:trPr>
        <w:tc>
          <w:tcPr>
            <w:tcW w:type="dxa" w:w="1800"/>
            <w:tcBorders>
              <w:top w:val="single" w:sz="4" w:color="D9D9D9"/>
              <w:left w:val="single" w:sz="4" w:color="D9D9D9"/>
              <w:bottom w:val="single" w:sz="4" w:color="D9D9D9"/>
              <w:right w:val="single" w:sz="4" w:color="D9D9D9"/>
            </w:tcBorders>
            <w:shd w:fill="FFFFFF"/>
          </w:tcPr>
          <w:p>
            <w:pPr>
              <w:spacing w:after="100" w:before="100"/>
            </w:pPr>
            <w:r>
              <w:rPr>
                <w:b w:val="0"/>
                <w:sz w:val="18"/>
              </w:rPr>
              <w:t>Payments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MST testnet flows; separate mainnet wallet and deployment configuration</w:t>
            </w:r>
          </w:p>
        </w:tc>
      </w:tr>
      <w:tr>
        <w:trPr>
          <w:cantSplit/>
          <w:cantSplit/>
        </w:trPr>
        <w:tc>
          <w:tcPr>
            <w:tcW w:type="dxa" w:w="1800"/>
            <w:tcBorders>
              <w:top w:val="single" w:sz="4" w:color="D9D9D9"/>
              <w:left w:val="single" w:sz="4" w:color="D9D9D9"/>
              <w:bottom w:val="single" w:sz="4" w:color="D9D9D9"/>
              <w:right w:val="single" w:sz="4" w:color="D9D9D9"/>
            </w:tcBorders>
            <w:shd w:fill="F5F7F9"/>
          </w:tcPr>
          <w:p>
            <w:pPr>
              <w:spacing w:after="100" w:before="100"/>
            </w:pPr>
            <w:r>
              <w:rPr>
                <w:b w:val="0"/>
                <w:sz w:val="18"/>
              </w:rPr>
              <w:t>P2P</w:t>
            </w:r>
          </w:p>
        </w:tc>
        <w:tc>
          <w:tcPr>
            <w:tcW w:type="dxa" w:w="7704"/>
            <w:tcBorders>
              <w:top w:val="single" w:sz="4" w:color="D9D9D9"/>
              <w:left w:val="single" w:sz="4" w:color="D9D9D9"/>
              <w:bottom w:val="single" w:sz="4" w:color="D9D9D9"/>
              <w:right w:val="single" w:sz="4" w:color="D9D9D9"/>
            </w:tcBorders>
            <w:shd w:fill="F5F7F9"/>
          </w:tcPr>
          <w:p>
            <w:pPr>
              <w:spacing w:after="100" w:before="100"/>
            </w:pPr>
            <w:r>
              <w:rPr>
                <w:b w:val="0"/>
                <w:sz w:val="18"/>
              </w:rPr>
              <w:t>Native tMSTC escrow plus Razorpay Test Mode adapter implemented</w:t>
            </w:r>
          </w:p>
        </w:tc>
      </w:tr>
      <w:tr>
        <w:trPr>
          <w:cantSplit/>
          <w:cantSplit/>
        </w:trPr>
        <w:tc>
          <w:tcPr>
            <w:tcW w:type="dxa" w:w="1800"/>
            <w:tcBorders>
              <w:top w:val="single" w:sz="4" w:color="D9D9D9"/>
              <w:left w:val="single" w:sz="4" w:color="D9D9D9"/>
              <w:bottom w:val="single" w:sz="4" w:color="D9D9D9"/>
              <w:right w:val="single" w:sz="4" w:color="D9D9D9"/>
            </w:tcBorders>
            <w:shd w:fill="FFFFFF"/>
          </w:tcPr>
          <w:p>
            <w:pPr>
              <w:spacing w:after="100" w:before="100"/>
            </w:pPr>
            <w:r>
              <w:rPr>
                <w:b w:val="0"/>
                <w:sz w:val="18"/>
              </w:rPr>
              <w:t>Privacy proofs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ZK roadmap only; current attestation is trusted server verification</w:t>
            </w:r>
          </w:p>
        </w:tc>
      </w:tr>
    </w:tbl>
    <w:p/>
    <w:p>
      <w:pPr>
        <w:pStyle w:val="Heading2"/>
      </w:pPr>
      <w:r>
        <w:t>Document map</w:t>
      </w:r>
    </w:p>
    <w:p>
      <w:r>
        <w:t>2 Product and workflows • 3 Architecture and stack • 4 Identity and wallet • 5 Matrix messaging • 6 Payment flows • 7 P2P settlement • 8 Contracts • 9 API reference • 10 Storage and security • 11 Local setup • 12 Deployment and operations • 13 Testing and troubleshooting • 14 Roadmap and references</w:t>
      </w:r>
    </w:p>
    <w:p>
      <w:r>
        <w:br w:type="page"/>
      </w:r>
    </w:p>
    <w:p>
      <w:pPr>
        <w:pStyle w:val="Heading1"/>
      </w:pPr>
      <w:r>
        <w:t>Product and workflows</w:t>
      </w:r>
    </w:p>
    <w:p>
      <w:pPr>
        <w:pStyle w:val="Heading2"/>
      </w:pPr>
      <w:r>
        <w:t>Problem statement</w:t>
      </w:r>
    </w:p>
    <w:p>
      <w:r>
        <w:t>Users commonly discuss a payment in a messaging app, switch to a wallet to send it, and return to share transaction details. Wallet addresses, recipient verification and payment status become disconnected from the conversation. P2P exchanges add uncertainty about whether the payment occurred and when escrow should release tokens.</w:t>
      </w:r>
    </w:p>
    <w:p>
      <w:pPr>
        <w:pStyle w:val="Heading2"/>
      </w:pPr>
      <w:r>
        <w:t>Proposed solution</w:t>
      </w:r>
    </w:p>
    <w:p>
      <w:r>
        <w:t>GhostChat keeps conversations, recipient lookup, payment creation, activity and P2P tools in one workspace. Google sign-in reduces onboarding friction, while an application username maps to a wallet. Matrix supplies the messaging protocol and Solidity contracts enforce the supported payment and escrow rules. The application still asks for explicit wallet approvals.</w:t>
      </w:r>
    </w:p>
    <w:p>
      <w:pPr>
        <w:pStyle w:val="Heading2"/>
      </w:pPr>
      <w:r>
        <w:t>Primary users</w:t>
      </w:r>
    </w:p>
    <w:p>
      <w:pPr>
        <w:pStyle w:val="ListBullet"/>
      </w:pPr>
      <w:r>
        <w:t>Individuals who want to message contacts and send testnet payments without switching interfaces.</w:t>
      </w:r>
    </w:p>
    <w:p>
      <w:pPr>
        <w:pStyle w:val="ListBullet"/>
      </w:pPr>
      <w:r>
        <w:t>Communities and organizers who coordinate fixed contributor allocations or approved payment links.</w:t>
      </w:r>
    </w:p>
    <w:p>
      <w:pPr>
        <w:pStyle w:val="ListBullet"/>
      </w:pPr>
      <w:r>
        <w:t>Hackathon participants testing a buyer and seller exchange with faucet tokens and simulated fiat.</w:t>
      </w:r>
    </w:p>
    <w:p>
      <w:pPr>
        <w:pStyle w:val="Heading2"/>
      </w:pPr>
      <w:r>
        <w:t>Entry and navigation</w:t>
      </w:r>
    </w:p>
    <w:p>
      <w:pPr>
        <w:spacing w:after="180"/>
      </w:pPr>
      <w:r>
        <w:rPr>
          <w:rFonts w:ascii="Consolas" w:hAnsi="Consolas"/>
          <w:sz w:val="18"/>
        </w:rPr>
        <w:t>Landing / → Continue → /start → Google sign in</w:t>
        <w:br/>
        <w:t>→ Create or unlock wallet → Complete profile → /chat</w:t>
      </w:r>
    </w:p>
    <w:p>
      <w:r>
        <w:t>The landing page presents GhostChat, benefits, FAQs and a walkthrough. Onboarding is separate from the chat interface. Protected workspace destinations send incomplete accounts to the start flow and preserve a safe internal destination. The workspace uses a left navigation rail, conversation list and chat area. Payments, activity and trading open in a centered popup rather than a permanent right panel.</w:t>
      </w:r>
    </w:p>
    <w:p>
      <w:pPr>
        <w:pStyle w:val="Heading2"/>
      </w:pPr>
      <w:r>
        <w:t>Core routes</w:t>
      </w:r>
    </w:p>
    <w:tbl>
      <w:tblPr>
        <w:tblW w:type="auto" w:w="0"/>
        <w:tblLayout w:type="fixed"/>
        <w:tblLook w:firstColumn="1" w:firstRow="1" w:lastColumn="0" w:lastRow="0" w:noHBand="0" w:noVBand="1" w:val="04A0"/>
      </w:tblPr>
      <w:tblGrid>
        <w:gridCol w:w="2880"/>
        <w:gridCol w:w="6624"/>
      </w:tblGrid>
      <w:tr>
        <w:trPr>
          <w:cantSplit/>
          <w:cantSplit/>
          <w:tblHeader/>
        </w:trPr>
        <w:tc>
          <w:tcPr>
            <w:tcW w:type="dxa" w:w="2880"/>
            <w:tcBorders>
              <w:top w:val="single" w:sz="4" w:color="D9D9D9"/>
              <w:left w:val="single" w:sz="4" w:color="D9D9D9"/>
              <w:bottom w:val="single" w:sz="4" w:color="D9D9D9"/>
              <w:right w:val="single" w:sz="4" w:color="D9D9D9"/>
            </w:tcBorders>
            <w:shd w:fill="E8EDF2"/>
          </w:tcPr>
          <w:p>
            <w:pPr>
              <w:spacing w:after="100" w:before="100"/>
            </w:pPr>
            <w:r>
              <w:rPr>
                <w:b/>
                <w:sz w:val="18"/>
              </w:rPr>
              <w:t>Route</w:t>
            </w:r>
          </w:p>
        </w:tc>
        <w:tc>
          <w:tcPr>
            <w:tcW w:type="dxa" w:w="6624"/>
            <w:tcBorders>
              <w:top w:val="single" w:sz="4" w:color="D9D9D9"/>
              <w:left w:val="single" w:sz="4" w:color="D9D9D9"/>
              <w:bottom w:val="single" w:sz="4" w:color="D9D9D9"/>
              <w:right w:val="single" w:sz="4" w:color="D9D9D9"/>
            </w:tcBorders>
            <w:shd w:fill="E8EDF2"/>
          </w:tcPr>
          <w:p>
            <w:pPr>
              <w:spacing w:after="100" w:before="100"/>
            </w:pPr>
            <w:r>
              <w:rPr>
                <w:b/>
                <w:sz w:val="18"/>
              </w:rPr>
              <w:t>Purpose</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Landing page</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/start</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Google login wallet and profile onboarding</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/chat</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Messenger workspace</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/create</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Direct payment payment link or community fund</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/payments</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Payment activity</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/trade</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Native tMSTC and mock INR demo</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/setup</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Supported contract setup</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/about /demo /privacy /terms /contact</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Public product and information pages</w:t>
            </w:r>
          </w:p>
        </w:tc>
      </w:tr>
    </w:tbl>
    <w:p/>
    <w:p>
      <w:r>
        <w:br w:type="page"/>
      </w:r>
    </w:p>
    <w:p>
      <w:pPr>
        <w:pStyle w:val="Heading1"/>
      </w:pPr>
      <w:r>
        <w:t>Architecture and technology stack</w:t>
      </w:r>
    </w:p>
    <w:p>
      <w:pPr>
        <w:spacing w:after="180"/>
      </w:pPr>
      <w:r>
        <w:rPr>
          <w:rFonts w:ascii="Consolas" w:hAnsi="Consolas"/>
          <w:sz w:val="18"/>
        </w:rPr>
        <w:t>Browser React application</w:t>
        <w:br/>
        <w:t xml:space="preserve">  ├─ GhostChat relay → Google token verification and SQLite</w:t>
        <w:br/>
        <w:t xml:space="preserve">  ├─ Matrix homeserver → messaging and encrypted room events</w:t>
        <w:br/>
        <w:t xml:space="preserve">  ├─ MST RPC → contract reads and approved wallet transactions</w:t>
        <w:br/>
        <w:t xml:space="preserve">  └─ Razorpay Test Checkout → relay verifies test payment</w:t>
        <w:br/>
        <w:t xml:space="preserve">                              → test attestation → MST escrow</w:t>
      </w:r>
    </w:p>
    <w:p>
      <w:r>
        <w:t>Google identity, wallet control, Matrix sessions and payment attestations are separate security domains. A successful Google login does not automatically create a Matrix account or authorize a transfer. A successful payment callback does not itself release escrow.</w:t>
      </w:r>
    </w:p>
    <w:tbl>
      <w:tblPr>
        <w:tblW w:type="auto" w:w="0"/>
        <w:tblLayout w:type="fixed"/>
        <w:tblLook w:firstColumn="1" w:firstRow="1" w:lastColumn="0" w:lastRow="0" w:noHBand="0" w:noVBand="1" w:val="04A0"/>
      </w:tblPr>
      <w:tblGrid>
        <w:gridCol w:w="2016"/>
        <w:gridCol w:w="7488"/>
      </w:tblGrid>
      <w:tr>
        <w:trPr>
          <w:cantSplit/>
          <w:cantSplit/>
          <w:tblHeader/>
        </w:trPr>
        <w:tc>
          <w:tcPr>
            <w:tcW w:type="dxa" w:w="2016"/>
            <w:tcBorders>
              <w:top w:val="single" w:sz="4" w:color="D9D9D9"/>
              <w:left w:val="single" w:sz="4" w:color="D9D9D9"/>
              <w:bottom w:val="single" w:sz="4" w:color="D9D9D9"/>
              <w:right w:val="single" w:sz="4" w:color="D9D9D9"/>
            </w:tcBorders>
            <w:shd w:fill="E8EDF2"/>
          </w:tcPr>
          <w:p>
            <w:pPr>
              <w:spacing w:after="100" w:before="100"/>
            </w:pPr>
            <w:r>
              <w:rPr>
                <w:b/>
                <w:sz w:val="18"/>
              </w:rPr>
              <w:t>Layer</w:t>
            </w:r>
          </w:p>
        </w:tc>
        <w:tc>
          <w:tcPr>
            <w:tcW w:type="dxa" w:w="7488"/>
            <w:tcBorders>
              <w:top w:val="single" w:sz="4" w:color="D9D9D9"/>
              <w:left w:val="single" w:sz="4" w:color="D9D9D9"/>
              <w:bottom w:val="single" w:sz="4" w:color="D9D9D9"/>
              <w:right w:val="single" w:sz="4" w:color="D9D9D9"/>
            </w:tcBorders>
            <w:shd w:fill="E8EDF2"/>
          </w:tcPr>
          <w:p>
            <w:pPr>
              <w:spacing w:after="100" w:before="100"/>
            </w:pPr>
            <w:r>
              <w:rPr>
                <w:b/>
                <w:sz w:val="18"/>
              </w:rPr>
              <w:t>Implementation</w:t>
            </w:r>
          </w:p>
        </w:tc>
      </w:tr>
      <w:tr>
        <w:trPr>
          <w:cantSplit/>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18"/>
              </w:rPr>
              <w:t>Interface</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React 19 TypeScript React Router 7 Vite 7 Tailwind 4</w:t>
            </w:r>
          </w:p>
        </w:tc>
      </w:tr>
      <w:tr>
        <w:trPr>
          <w:cantSplit/>
          <w:cantSplit/>
        </w:trPr>
        <w:tc>
          <w:tcPr>
            <w:tcW w:type="dxa" w:w="2016"/>
            <w:tcBorders>
              <w:top w:val="single" w:sz="4" w:color="D9D9D9"/>
              <w:left w:val="single" w:sz="4" w:color="D9D9D9"/>
              <w:bottom w:val="single" w:sz="4" w:color="D9D9D9"/>
              <w:right w:val="single" w:sz="4" w:color="D9D9D9"/>
            </w:tcBorders>
            <w:shd w:fill="F5F7F9"/>
          </w:tcPr>
          <w:p>
            <w:pPr>
              <w:spacing w:after="100" w:before="100"/>
            </w:pPr>
            <w:r>
              <w:rPr>
                <w:b w:val="0"/>
                <w:sz w:val="18"/>
              </w:rPr>
              <w:t>Visual assets</w:t>
            </w:r>
          </w:p>
        </w:tc>
        <w:tc>
          <w:tcPr>
            <w:tcW w:type="dxa" w:w="7488"/>
            <w:tcBorders>
              <w:top w:val="single" w:sz="4" w:color="D9D9D9"/>
              <w:left w:val="single" w:sz="4" w:color="D9D9D9"/>
              <w:bottom w:val="single" w:sz="4" w:color="D9D9D9"/>
              <w:right w:val="single" w:sz="4" w:color="D9D9D9"/>
            </w:tcBorders>
            <w:shd w:fill="F5F7F9"/>
          </w:tcPr>
          <w:p>
            <w:pPr>
              <w:spacing w:after="100" w:before="100"/>
            </w:pPr>
            <w:r>
              <w:rPr>
                <w:b w:val="0"/>
                <w:sz w:val="18"/>
              </w:rPr>
              <w:t>Three.js particle background Lucide icons existing monochrome design</w:t>
            </w:r>
          </w:p>
        </w:tc>
      </w:tr>
      <w:tr>
        <w:trPr>
          <w:cantSplit/>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18"/>
              </w:rPr>
              <w:t>Wallet access</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wagmi viem and ethers 6 password-encrypted wallet</w:t>
            </w:r>
          </w:p>
        </w:tc>
      </w:tr>
      <w:tr>
        <w:trPr>
          <w:cantSplit/>
          <w:cantSplit/>
        </w:trPr>
        <w:tc>
          <w:tcPr>
            <w:tcW w:type="dxa" w:w="2016"/>
            <w:tcBorders>
              <w:top w:val="single" w:sz="4" w:color="D9D9D9"/>
              <w:left w:val="single" w:sz="4" w:color="D9D9D9"/>
              <w:bottom w:val="single" w:sz="4" w:color="D9D9D9"/>
              <w:right w:val="single" w:sz="4" w:color="D9D9D9"/>
            </w:tcBorders>
            <w:shd w:fill="F5F7F9"/>
          </w:tcPr>
          <w:p>
            <w:pPr>
              <w:spacing w:after="100" w:before="100"/>
            </w:pPr>
            <w:r>
              <w:rPr>
                <w:b w:val="0"/>
                <w:sz w:val="18"/>
              </w:rPr>
              <w:t>Messaging</w:t>
            </w:r>
          </w:p>
        </w:tc>
        <w:tc>
          <w:tcPr>
            <w:tcW w:type="dxa" w:w="7488"/>
            <w:tcBorders>
              <w:top w:val="single" w:sz="4" w:color="D9D9D9"/>
              <w:left w:val="single" w:sz="4" w:color="D9D9D9"/>
              <w:bottom w:val="single" w:sz="4" w:color="D9D9D9"/>
              <w:right w:val="single" w:sz="4" w:color="D9D9D9"/>
            </w:tcBorders>
            <w:shd w:fill="F5F7F9"/>
          </w:tcPr>
          <w:p>
            <w:pPr>
              <w:spacing w:after="100" w:before="100"/>
            </w:pPr>
            <w:r>
              <w:rPr>
                <w:b w:val="0"/>
                <w:sz w:val="18"/>
              </w:rPr>
              <w:t>matrix-js-sdk 44 and matrix-encrypt-attachment</w:t>
            </w:r>
          </w:p>
        </w:tc>
      </w:tr>
      <w:tr>
        <w:trPr>
          <w:cantSplit/>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18"/>
              </w:rPr>
              <w:t>Backend</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Node.js Express 5 TypeScript jose viem</w:t>
            </w:r>
          </w:p>
        </w:tc>
      </w:tr>
      <w:tr>
        <w:trPr>
          <w:cantSplit/>
          <w:cantSplit/>
        </w:trPr>
        <w:tc>
          <w:tcPr>
            <w:tcW w:type="dxa" w:w="2016"/>
            <w:tcBorders>
              <w:top w:val="single" w:sz="4" w:color="D9D9D9"/>
              <w:left w:val="single" w:sz="4" w:color="D9D9D9"/>
              <w:bottom w:val="single" w:sz="4" w:color="D9D9D9"/>
              <w:right w:val="single" w:sz="4" w:color="D9D9D9"/>
            </w:tcBorders>
            <w:shd w:fill="F5F7F9"/>
          </w:tcPr>
          <w:p>
            <w:pPr>
              <w:spacing w:after="100" w:before="100"/>
            </w:pPr>
            <w:r>
              <w:rPr>
                <w:b w:val="0"/>
                <w:sz w:val="18"/>
              </w:rPr>
              <w:t>Persistence</w:t>
            </w:r>
          </w:p>
        </w:tc>
        <w:tc>
          <w:tcPr>
            <w:tcW w:type="dxa" w:w="7488"/>
            <w:tcBorders>
              <w:top w:val="single" w:sz="4" w:color="D9D9D9"/>
              <w:left w:val="single" w:sz="4" w:color="D9D9D9"/>
              <w:bottom w:val="single" w:sz="4" w:color="D9D9D9"/>
              <w:right w:val="single" w:sz="4" w:color="D9D9D9"/>
            </w:tcBorders>
            <w:shd w:fill="F5F7F9"/>
          </w:tcPr>
          <w:p>
            <w:pPr>
              <w:spacing w:after="100" w:before="100"/>
            </w:pPr>
            <w:r>
              <w:rPr>
                <w:b w:val="0"/>
                <w:sz w:val="18"/>
              </w:rPr>
              <w:t>Node built-in SQLite with database constraints</w:t>
            </w:r>
          </w:p>
        </w:tc>
      </w:tr>
      <w:tr>
        <w:trPr>
          <w:cantSplit/>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18"/>
              </w:rPr>
              <w:t>Contracts</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Solidity 0.8.28 Hardhat 3 OpenZeppelin 5.4</w:t>
            </w:r>
          </w:p>
        </w:tc>
      </w:tr>
      <w:tr>
        <w:trPr>
          <w:cantSplit/>
          <w:cantSplit/>
        </w:trPr>
        <w:tc>
          <w:tcPr>
            <w:tcW w:type="dxa" w:w="2016"/>
            <w:tcBorders>
              <w:top w:val="single" w:sz="4" w:color="D9D9D9"/>
              <w:left w:val="single" w:sz="4" w:color="D9D9D9"/>
              <w:bottom w:val="single" w:sz="4" w:color="D9D9D9"/>
              <w:right w:val="single" w:sz="4" w:color="D9D9D9"/>
            </w:tcBorders>
            <w:shd w:fill="F5F7F9"/>
          </w:tcPr>
          <w:p>
            <w:pPr>
              <w:spacing w:after="100" w:before="100"/>
            </w:pPr>
            <w:r>
              <w:rPr>
                <w:b w:val="0"/>
                <w:sz w:val="18"/>
              </w:rPr>
              <w:t>Payment demo</w:t>
            </w:r>
          </w:p>
        </w:tc>
        <w:tc>
          <w:tcPr>
            <w:tcW w:type="dxa" w:w="7488"/>
            <w:tcBorders>
              <w:top w:val="single" w:sz="4" w:color="D9D9D9"/>
              <w:left w:val="single" w:sz="4" w:color="D9D9D9"/>
              <w:bottom w:val="single" w:sz="4" w:color="D9D9D9"/>
              <w:right w:val="single" w:sz="4" w:color="D9D9D9"/>
            </w:tcBorders>
            <w:shd w:fill="F5F7F9"/>
          </w:tcPr>
          <w:p>
            <w:pPr>
              <w:spacing w:after="100" w:before="100"/>
            </w:pPr>
            <w:r>
              <w:rPr>
                <w:b w:val="0"/>
                <w:sz w:val="18"/>
              </w:rPr>
              <w:t>Razorpay Standard Checkout REST API and raw-body HMAC webhooks</w:t>
            </w:r>
          </w:p>
        </w:tc>
      </w:tr>
      <w:tr>
        <w:trPr>
          <w:cantSplit/>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18"/>
              </w:rPr>
              <w:t>Matrix infrastructure</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Prepared Docker Compose Synapse PostgreSQL and Caddy</w:t>
            </w:r>
          </w:p>
        </w:tc>
      </w:tr>
      <w:tr>
        <w:trPr>
          <w:cantSplit/>
          <w:cantSplit/>
        </w:trPr>
        <w:tc>
          <w:tcPr>
            <w:tcW w:type="dxa" w:w="2016"/>
            <w:tcBorders>
              <w:top w:val="single" w:sz="4" w:color="D9D9D9"/>
              <w:left w:val="single" w:sz="4" w:color="D9D9D9"/>
              <w:bottom w:val="single" w:sz="4" w:color="D9D9D9"/>
              <w:right w:val="single" w:sz="4" w:color="D9D9D9"/>
            </w:tcBorders>
            <w:shd w:fill="F5F7F9"/>
          </w:tcPr>
          <w:p>
            <w:pPr>
              <w:spacing w:after="100" w:before="100"/>
            </w:pPr>
            <w:r>
              <w:rPr>
                <w:b w:val="0"/>
                <w:sz w:val="18"/>
              </w:rPr>
              <w:t>Verification</w:t>
            </w:r>
          </w:p>
        </w:tc>
        <w:tc>
          <w:tcPr>
            <w:tcW w:type="dxa" w:w="7488"/>
            <w:tcBorders>
              <w:top w:val="single" w:sz="4" w:color="D9D9D9"/>
              <w:left w:val="single" w:sz="4" w:color="D9D9D9"/>
              <w:bottom w:val="single" w:sz="4" w:color="D9D9D9"/>
              <w:right w:val="single" w:sz="4" w:color="D9D9D9"/>
            </w:tcBorders>
            <w:shd w:fill="F5F7F9"/>
          </w:tcPr>
          <w:p>
            <w:pPr>
              <w:spacing w:after="100" w:before="100"/>
            </w:pPr>
            <w:r>
              <w:rPr>
                <w:b w:val="0"/>
                <w:sz w:val="18"/>
              </w:rPr>
              <w:t>Node test runner Hardhat local EVM and TypeScript builds</w:t>
            </w:r>
          </w:p>
        </w:tc>
      </w:tr>
    </w:tbl>
    <w:p/>
    <w:p>
      <w:pPr>
        <w:pStyle w:val="Heading2"/>
      </w:pPr>
      <w:r>
        <w:t>Repository organization</w:t>
      </w:r>
    </w:p>
    <w:p>
      <w:pPr>
        <w:spacing w:after="180"/>
      </w:pPr>
      <w:r>
        <w:rPr>
          <w:rFonts w:ascii="Consolas" w:hAnsi="Consolas"/>
          <w:sz w:val="18"/>
        </w:rPr>
        <w:t>frontend/src/pages          Landing and onboarding</w:t>
        <w:br/>
        <w:t>frontend/src/messenger      Chat and popup payment tools</w:t>
        <w:br/>
        <w:t>frontend/src/wallet         Google wallet and approval provider</w:t>
        <w:br/>
        <w:t>frontend/src/p2p            Current and legacy trading interfaces</w:t>
        <w:br/>
        <w:t>server/src                 Relay accounts and test payment service</w:t>
        <w:br/>
        <w:t>shared                     Networks protocols and signing messages</w:t>
        <w:br/>
        <w:t>contracts                  Solidity contracts tests and deployment tools</w:t>
        <w:br/>
        <w:t>infra/matrix               Homeserver deployment preparation</w:t>
        <w:br/>
        <w:t>scripts                    Builds setup and readiness helpers</w:t>
        <w:br/>
        <w:t>docs                       Implementation and research notes</w:t>
      </w:r>
    </w:p>
    <w:p>
      <w:r>
        <w:t>The README and older Matrix notes contain historical Sepolia and Reown flows. For the active account and P2P implementation, prioritize the current source and the Google wallet and Razorpay test trading guides listed in the references.</w:t>
      </w:r>
    </w:p>
    <w:p>
      <w:r>
        <w:br w:type="page"/>
      </w:r>
    </w:p>
    <w:p>
      <w:pPr>
        <w:pStyle w:val="Heading1"/>
      </w:pPr>
      <w:r>
        <w:t>Identity and wallet lifecycle</w:t>
      </w:r>
    </w:p>
    <w:p>
      <w:pPr>
        <w:pStyle w:val="Heading2"/>
      </w:pPr>
      <w:r>
        <w:t>Google login</w:t>
      </w:r>
    </w:p>
    <w:p>
      <w:r>
        <w:t>The official Google Identity Services button returns an ID token. The relay verifies the JWT signature against Google JWKS, expected audience, issuer, expiry and verified email. A server-issued nonce expires after five minutes and can be used once. Public configuration exposes the Web Client ID and readiness information, not secrets. This callback flow does not need a Google OAuth client secret.</w:t>
      </w:r>
    </w:p>
    <w:p>
      <w:pPr>
        <w:pStyle w:val="Heading2"/>
      </w:pPr>
      <w:r>
        <w:t>Wallet creation and recovery</w:t>
      </w:r>
    </w:p>
    <w:p>
      <w:r>
        <w:t>On first use, the browser generates a random EVM private key. The user chooses a password of at least 12 characters. ethers encrypts the wallet using the V3 scrypt and AES keystore format. No private key is derived from a Google email, subject or token. A wallet signature binds the encrypted backup hash, wallet address, application origin and server challenge to the verified Google subject.</w:t>
      </w:r>
    </w:p>
    <w:p>
      <w:r>
        <w:t>The relay stores the encrypted backup against that identity. Subsequent login retrieves the same backup; the password unlocks the same wallet address. Password and plaintext key do not go to the backend. Google sign-in cannot reset a forgotten wallet password. The user should retain a separate encrypted backup and the password. Existing wallet bindings cannot be silently replaced through the backup API.</w:t>
      </w:r>
    </w:p>
    <w:p>
      <w:pPr>
        <w:pStyle w:val="Heading2"/>
      </w:pPr>
      <w:r>
        <w:t>Profile and username</w:t>
      </w:r>
    </w:p>
    <w:p>
      <w:r>
        <w:t>The profile collects a name, mobile number and unique username. Name and mobile are encrypted at rest using the server profile encryption key. The mobile number is not verified through an OTP. Username and wallet bindings are publicly searchable; a signed registration proves wallet control rather than real-world identity. Review the full resolved address before sending, especially for a new contact.</w:t>
      </w:r>
    </w:p>
    <w:p>
      <w:pPr>
        <w:pStyle w:val="Heading2"/>
      </w:pPr>
      <w:r>
        <w:t>Signing and lock behavior</w:t>
      </w:r>
    </w:p>
    <w:p>
      <w:r>
        <w:t>The provider allows only MST Testnet and MST Mainnet. Each message signature, typed authorization and transaction requires an in-app review. Transaction review shows network, address, amount, maximum gas fee and data. The provider blocks unsupported raw signing and raw broadcast methods and rejects mismatched signing domains or transaction identities.</w:t>
      </w:r>
    </w:p>
    <w:p>
      <w:r>
        <w:t>Decrypted signing material stays in browser memory and is cleared at sign-out or session expiry. The wallet locks after ten minutes without a signing operation. Reload requires login and unlock. Unlocked application JavaScript can access the key, making XSS prevention and dependency review essential.</w:t>
      </w:r>
    </w:p>
    <w:p>
      <w:pPr>
        <w:pStyle w:val="Heading2"/>
      </w:pPr>
      <w:r>
        <w:t>What the wallet is not</w:t>
      </w:r>
    </w:p>
    <w:p>
      <w:r>
        <w:t>This is a conventional encrypted browser wallet linked to Google identity. It is not an ERC-4337 smart account, SARAL MPC wallet, paymaster, passkey recovery system or zero-knowledge identity scheme. The official MST SDK is present for blockchain tooling; an official SARAL authentication integration is not active.</w:t>
      </w:r>
    </w:p>
    <w:p>
      <w:r>
        <w:br w:type="page"/>
      </w:r>
    </w:p>
    <w:p>
      <w:pPr>
        <w:pStyle w:val="Heading1"/>
      </w:pPr>
      <w:r>
        <w:t>Matrix messaging</w:t>
      </w:r>
    </w:p>
    <w:p>
      <w:pPr>
        <w:pStyle w:val="Heading2"/>
      </w:pPr>
      <w:r>
        <w:t>Purpose and delivery</w:t>
      </w:r>
    </w:p>
    <w:p>
      <w:r>
        <w:t>Matrix provides interoperable messaging through a homeserver. GhostChat discovers the selected server’s supported login flows and offers compatible password or SSO authentication. Room events and supported attachments are handled through the Matrix SDK. The client supports encrypted private rooms and attachment encryption. A local preview is a design demonstration and does not send messages to another user.</w:t>
      </w:r>
    </w:p>
    <w:p>
      <w:pPr>
        <w:pStyle w:val="Heading2"/>
      </w:pPr>
      <w:r>
        <w:t>Connection sequence</w:t>
      </w:r>
    </w:p>
    <w:p>
      <w:pPr>
        <w:pStyle w:val="ListBullet"/>
      </w:pPr>
      <w:r>
        <w:t>Supply a reachable HTTPS homeserver URL or configure VITE_MATRIX_HOMESERVER.</w:t>
      </w:r>
    </w:p>
    <w:p>
      <w:pPr>
        <w:pStyle w:val="ListBullet"/>
      </w:pPr>
      <w:r>
        <w:t>Discover the server login flows and authenticate with an account accepted by that server.</w:t>
      </w:r>
    </w:p>
    <w:p>
      <w:pPr>
        <w:pStyle w:val="ListBullet"/>
      </w:pPr>
      <w:r>
        <w:t>Initialize the Matrix session and SDK encryption state on the device.</w:t>
      </w:r>
    </w:p>
    <w:p>
      <w:pPr>
        <w:pStyle w:val="ListBullet"/>
      </w:pPr>
      <w:r>
        <w:t>Select or establish the intended private room and verify encryption and device trust.</w:t>
      </w:r>
    </w:p>
    <w:p>
      <w:pPr>
        <w:pStyle w:val="ListBullet"/>
      </w:pPr>
      <w:r>
        <w:t>Test messages and attachments between two real accounts on different devices.</w:t>
      </w:r>
    </w:p>
    <w:p>
      <w:r>
        <w:t>The teammate’s Docker homeserver was discussed, but integration was explicitly paused before its URL and access settings were supplied. Do not describe this documentation as evidence that it has been connected or tested.</w:t>
      </w:r>
    </w:p>
    <w:p>
      <w:pPr>
        <w:pStyle w:val="Heading2"/>
      </w:pPr>
      <w:r>
        <w:t>Encryption and metadata</w:t>
      </w:r>
    </w:p>
    <w:p>
      <w:r>
        <w:t>End-to-end encryption protects supported message content when correctly configured. It does not hide all account identifiers, room membership, traffic timing or server metadata. Public blockchain payments remain visible regardless of chat encryption. Recovery and verification are Matrix-specific and independent of Google wallet recovery.</w:t>
      </w:r>
    </w:p>
    <w:p>
      <w:r>
        <w:t>The full cross-device verification and key-backup setup interface remains unfinished. Use a trusted compatible Matrix client to establish verification and recovery while testing interoperability. The app does not automatically accept room invitations. Clearing device storage can remove local encryption state and make old encrypted messages inaccessible without recovery.</w:t>
      </w:r>
    </w:p>
    <w:p>
      <w:pPr>
        <w:pStyle w:val="Heading2"/>
      </w:pPr>
      <w:r>
        <w:t>Server preparation</w:t>
      </w:r>
    </w:p>
    <w:p>
      <w:r>
        <w:t>The repository includes a Docker Compose preparation flow for Synapse, PostgreSQL and Caddy. Use a stable server name, controlled DNS, HTTPS, persistent volumes and backups. Database and Synapse internal ports should remain private. The prepared stack has not been demonstrated as deployed by this work. Review pinned images and security updates before operation.</w:t>
      </w:r>
    </w:p>
    <w:p>
      <w:pPr>
        <w:spacing w:after="180"/>
      </w:pPr>
      <w:r>
        <w:rPr>
          <w:rFonts w:ascii="Consolas" w:hAnsi="Consolas"/>
          <w:sz w:val="18"/>
        </w:rPr>
        <w:t>node infra/matrix/configure.mjs --server matrix.example.com</w:t>
        <w:br/>
        <w:t xml:space="preserve">  --app https://YOUR_APP_ORIGIN --output /srv/ghostchat-matrix</w:t>
        <w:br/>
        <w:t># On the Linux host use the generated deploy.sh instructions</w:t>
      </w:r>
    </w:p>
    <w:p>
      <w:r>
        <w:t>The configuration command is shown on two lines for readability; enter its arguments as one command. Matrix Google OIDC, if enabled later, uses a separate server callback and server-only client secret. It does not reuse the browser wallet session automatically.</w:t>
      </w:r>
    </w:p>
    <w:p>
      <w:r>
        <w:br w:type="page"/>
      </w:r>
    </w:p>
    <w:p>
      <w:pPr>
        <w:pStyle w:val="Heading1"/>
      </w:pPr>
      <w:r>
        <w:t>MST networks and payment flows</w:t>
      </w:r>
    </w:p>
    <w:tbl>
      <w:tblPr>
        <w:tblW w:type="auto" w:w="0"/>
        <w:tblLayout w:type="fixed"/>
        <w:tblLook w:firstColumn="1" w:firstRow="1" w:lastColumn="0" w:lastRow="0" w:noHBand="0" w:noVBand="1" w:val="04A0"/>
      </w:tblPr>
      <w:tblGrid>
        <w:gridCol w:w="1584"/>
        <w:gridCol w:w="3960"/>
        <w:gridCol w:w="3960"/>
      </w:tblGrid>
      <w:tr>
        <w:trPr>
          <w:cantSplit/>
          <w:cantSplit/>
          <w:cantSplit/>
          <w:tblHeader/>
        </w:trPr>
        <w:tc>
          <w:tcPr>
            <w:tcW w:type="dxa" w:w="1584"/>
            <w:tcBorders>
              <w:top w:val="single" w:sz="4" w:color="D9D9D9"/>
              <w:left w:val="single" w:sz="4" w:color="D9D9D9"/>
              <w:bottom w:val="single" w:sz="4" w:color="D9D9D9"/>
              <w:right w:val="single" w:sz="4" w:color="D9D9D9"/>
            </w:tcBorders>
            <w:shd w:fill="E8EDF2"/>
          </w:tcPr>
          <w:p>
            <w:pPr>
              <w:spacing w:after="100" w:before="100"/>
            </w:pPr>
            <w:r>
              <w:rPr>
                <w:b/>
                <w:sz w:val="18"/>
              </w:rPr>
              <w:t>Property</w:t>
            </w:r>
          </w:p>
        </w:tc>
        <w:tc>
          <w:tcPr>
            <w:tcW w:type="dxa" w:w="3960"/>
            <w:tcBorders>
              <w:top w:val="single" w:sz="4" w:color="D9D9D9"/>
              <w:left w:val="single" w:sz="4" w:color="D9D9D9"/>
              <w:bottom w:val="single" w:sz="4" w:color="D9D9D9"/>
              <w:right w:val="single" w:sz="4" w:color="D9D9D9"/>
            </w:tcBorders>
            <w:shd w:fill="E8EDF2"/>
          </w:tcPr>
          <w:p>
            <w:pPr>
              <w:spacing w:after="100" w:before="100"/>
            </w:pPr>
            <w:r>
              <w:rPr>
                <w:b/>
                <w:sz w:val="18"/>
              </w:rPr>
              <w:t>Testnet</w:t>
            </w:r>
          </w:p>
        </w:tc>
        <w:tc>
          <w:tcPr>
            <w:tcW w:type="dxa" w:w="3960"/>
            <w:tcBorders>
              <w:top w:val="single" w:sz="4" w:color="D9D9D9"/>
              <w:left w:val="single" w:sz="4" w:color="D9D9D9"/>
              <w:bottom w:val="single" w:sz="4" w:color="D9D9D9"/>
              <w:right w:val="single" w:sz="4" w:color="D9D9D9"/>
            </w:tcBorders>
            <w:shd w:fill="E8EDF2"/>
          </w:tcPr>
          <w:p>
            <w:pPr>
              <w:spacing w:after="100" w:before="100"/>
            </w:pPr>
            <w:r>
              <w:rPr>
                <w:b/>
                <w:sz w:val="18"/>
              </w:rPr>
              <w:t>Mainnet</w:t>
            </w:r>
          </w:p>
        </w:tc>
      </w:tr>
      <w:tr>
        <w:trPr>
          <w:cantSplit/>
          <w:cantSplit/>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Chain ID</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91562037</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4646</w:t>
            </w:r>
          </w:p>
        </w:tc>
      </w:tr>
      <w:tr>
        <w:trPr>
          <w:cantSplit/>
          <w:cantSplit/>
          <w:cantSplit/>
        </w:trPr>
        <w:tc>
          <w:tcPr>
            <w:tcW w:type="dxa" w:w="1584"/>
            <w:tcBorders>
              <w:top w:val="single" w:sz="4" w:color="D9D9D9"/>
              <w:left w:val="single" w:sz="4" w:color="D9D9D9"/>
              <w:bottom w:val="single" w:sz="4" w:color="D9D9D9"/>
              <w:right w:val="single" w:sz="4" w:color="D9D9D9"/>
            </w:tcBorders>
            <w:shd w:fill="F5F7F9"/>
          </w:tcPr>
          <w:p>
            <w:pPr>
              <w:spacing w:after="100" w:before="100"/>
            </w:pPr>
            <w:r>
              <w:rPr>
                <w:b w:val="0"/>
                <w:sz w:val="18"/>
              </w:rPr>
              <w:t>Native asset</w:t>
            </w:r>
          </w:p>
        </w:tc>
        <w:tc>
          <w:tcPr>
            <w:tcW w:type="dxa" w:w="3960"/>
            <w:tcBorders>
              <w:top w:val="single" w:sz="4" w:color="D9D9D9"/>
              <w:left w:val="single" w:sz="4" w:color="D9D9D9"/>
              <w:bottom w:val="single" w:sz="4" w:color="D9D9D9"/>
              <w:right w:val="single" w:sz="4" w:color="D9D9D9"/>
            </w:tcBorders>
            <w:shd w:fill="F5F7F9"/>
          </w:tcPr>
          <w:p>
            <w:pPr>
              <w:spacing w:after="100" w:before="100"/>
            </w:pPr>
            <w:r>
              <w:rPr>
                <w:b w:val="0"/>
                <w:sz w:val="18"/>
              </w:rPr>
              <w:t>tMSTC 18 decimals</w:t>
            </w:r>
          </w:p>
        </w:tc>
        <w:tc>
          <w:tcPr>
            <w:tcW w:type="dxa" w:w="3960"/>
            <w:tcBorders>
              <w:top w:val="single" w:sz="4" w:color="D9D9D9"/>
              <w:left w:val="single" w:sz="4" w:color="D9D9D9"/>
              <w:bottom w:val="single" w:sz="4" w:color="D9D9D9"/>
              <w:right w:val="single" w:sz="4" w:color="D9D9D9"/>
            </w:tcBorders>
            <w:shd w:fill="F5F7F9"/>
          </w:tcPr>
          <w:p>
            <w:pPr>
              <w:spacing w:after="100" w:before="100"/>
            </w:pPr>
            <w:r>
              <w:rPr>
                <w:b w:val="0"/>
                <w:sz w:val="18"/>
              </w:rPr>
              <w:t>MSTC 18 decimals</w:t>
            </w:r>
          </w:p>
        </w:tc>
      </w:tr>
      <w:tr>
        <w:trPr>
          <w:cantSplit/>
          <w:cantSplit/>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RPC</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https://testnetrpc.mstblockchain.com</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https://mariorpc.mstblockchain.com</w:t>
            </w:r>
          </w:p>
        </w:tc>
      </w:tr>
      <w:tr>
        <w:trPr>
          <w:cantSplit/>
          <w:cantSplit/>
          <w:cantSplit/>
        </w:trPr>
        <w:tc>
          <w:tcPr>
            <w:tcW w:type="dxa" w:w="1584"/>
            <w:tcBorders>
              <w:top w:val="single" w:sz="4" w:color="D9D9D9"/>
              <w:left w:val="single" w:sz="4" w:color="D9D9D9"/>
              <w:bottom w:val="single" w:sz="4" w:color="D9D9D9"/>
              <w:right w:val="single" w:sz="4" w:color="D9D9D9"/>
            </w:tcBorders>
            <w:shd w:fill="F5F7F9"/>
          </w:tcPr>
          <w:p>
            <w:pPr>
              <w:spacing w:after="100" w:before="100"/>
            </w:pPr>
            <w:r>
              <w:rPr>
                <w:b w:val="0"/>
                <w:sz w:val="18"/>
              </w:rPr>
              <w:t>Explorer</w:t>
            </w:r>
          </w:p>
        </w:tc>
        <w:tc>
          <w:tcPr>
            <w:tcW w:type="dxa" w:w="3960"/>
            <w:tcBorders>
              <w:top w:val="single" w:sz="4" w:color="D9D9D9"/>
              <w:left w:val="single" w:sz="4" w:color="D9D9D9"/>
              <w:bottom w:val="single" w:sz="4" w:color="D9D9D9"/>
              <w:right w:val="single" w:sz="4" w:color="D9D9D9"/>
            </w:tcBorders>
            <w:shd w:fill="F5F7F9"/>
          </w:tcPr>
          <w:p>
            <w:pPr>
              <w:spacing w:after="100" w:before="100"/>
            </w:pPr>
            <w:r>
              <w:rPr>
                <w:b w:val="0"/>
                <w:sz w:val="18"/>
              </w:rPr>
              <w:t>https://testnet.mstscan.com</w:t>
            </w:r>
          </w:p>
        </w:tc>
        <w:tc>
          <w:tcPr>
            <w:tcW w:type="dxa" w:w="3960"/>
            <w:tcBorders>
              <w:top w:val="single" w:sz="4" w:color="D9D9D9"/>
              <w:left w:val="single" w:sz="4" w:color="D9D9D9"/>
              <w:bottom w:val="single" w:sz="4" w:color="D9D9D9"/>
              <w:right w:val="single" w:sz="4" w:color="D9D9D9"/>
            </w:tcBorders>
            <w:shd w:fill="F5F7F9"/>
          </w:tcPr>
          <w:p>
            <w:pPr>
              <w:spacing w:after="100" w:before="100"/>
            </w:pPr>
            <w:r>
              <w:rPr>
                <w:b w:val="0"/>
                <w:sz w:val="18"/>
              </w:rPr>
              <w:t>https://mstscan.com</w:t>
            </w:r>
          </w:p>
        </w:tc>
      </w:tr>
      <w:tr>
        <w:trPr>
          <w:cantSplit/>
          <w:cantSplit/>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Trading boundary</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Current P2P demo</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Not enabled</w:t>
            </w:r>
          </w:p>
        </w:tc>
      </w:tr>
    </w:tbl>
    <w:p/>
    <w:p>
      <w:r>
        <w:t>Wallet network support and deployment tooling do not establish that a payment or P2P flow is production-ready. No mainnet escrow deployment or funded public transaction was submitted by the agent. Faucet: https://faucet.mstblockchain.com.</w:t>
      </w:r>
    </w:p>
    <w:p>
      <w:pPr>
        <w:pStyle w:val="Heading2"/>
      </w:pPr>
      <w:r>
        <w:t>Direct transfer</w:t>
      </w:r>
    </w:p>
    <w:p>
      <w:r>
        <w:t>Resolve a registered username or enter the full destination address. Review the network and exact native amount, approve the wallet transaction and wait for the confirmed receipt. This is a direct transfer without escrow refund. A chat display name alone is not a payment identity.</w:t>
      </w:r>
    </w:p>
    <w:p>
      <w:pPr>
        <w:pStyle w:val="Heading2"/>
      </w:pPr>
      <w:r>
        <w:t>Approved payment link</w:t>
      </w:r>
    </w:p>
    <w:p>
      <w:r>
        <w:t>The sender funds escrow, selects an expiry and shares a link. The recipient requests authorization using their wallet. The sender independently checks the person and full address, then signs a recipient-bound EIP-712 approval. The approved wallet submits the claim and pays gas. A copied URL identifies the payment but does not grant withdrawal authority.</w:t>
      </w:r>
    </w:p>
    <w:p>
      <w:r>
        <w:t>Claims must meet chain, contract, payment, recipient and deadline constraints. Unclaimed deposits can be refunded by the sender after the relevant on-chain expiry. Approvals are not revocable before their deadline. Preserve the complete signed link where URL fragments carry request or authorization data.</w:t>
      </w:r>
    </w:p>
    <w:p>
      <w:pPr>
        <w:pStyle w:val="Heading2"/>
      </w:pPr>
      <w:r>
        <w:t>Community allocations</w:t>
      </w:r>
    </w:p>
    <w:p>
      <w:r>
        <w:t>An organizer funds fixed allocations for up to 100 unique wallets. Each eligible wallet claims its own amount once. The organizer can refund remaining allocations after expiry. Membership in a chat or community does not itself establish payment eligibility; funded wallet allocations do.</w:t>
      </w:r>
    </w:p>
    <w:p>
      <w:pPr>
        <w:pStyle w:val="Heading2"/>
      </w:pPr>
      <w:r>
        <w:t>Rates and accounting</w:t>
      </w:r>
    </w:p>
    <w:p>
      <w:r>
        <w:t>Use integer native base units for transactions and integer paise for INR. Price references, where available, are estimates with explicit sources and freshness. A mainnet market reference does not give a test coin redeemable value. The older gpUSD fixture rate is not an MSTC price. The native P2P demo lets participants set both test amounts explicitly and charges no protocol fee.</w:t>
      </w:r>
    </w:p>
    <w:p>
      <w:r>
        <w:br w:type="page"/>
      </w:r>
    </w:p>
    <w:p>
      <w:pPr>
        <w:pStyle w:val="Heading1"/>
      </w:pPr>
      <w:r>
        <w:t>P2P test trading lifecycle</w:t>
      </w:r>
    </w:p>
    <w:p>
      <w:r>
        <w:t>The current demo uses native faucet tMSTC and Razorpay mock INR. Seller-bank credit is not part of this flow. Razorpay Test Mode must be configured before Checkout works. The application refuses live Key IDs and the escrow constructor refuses MST Mainnet.</w:t>
      </w:r>
    </w:p>
    <w:tbl>
      <w:tblPr>
        <w:tblW w:type="auto" w:w="0"/>
        <w:tblLayout w:type="fixed"/>
        <w:tblLook w:firstColumn="1" w:firstRow="1" w:lastColumn="0" w:lastRow="0" w:noHBand="0" w:noVBand="1" w:val="04A0"/>
      </w:tblPr>
      <w:tblGrid>
        <w:gridCol w:w="648"/>
        <w:gridCol w:w="1008"/>
        <w:gridCol w:w="7848"/>
      </w:tblGrid>
      <w:tr>
        <w:trPr>
          <w:cantSplit/>
          <w:cantSplit/>
          <w:cantSplit/>
          <w:tblHeader/>
        </w:trPr>
        <w:tc>
          <w:tcPr>
            <w:tcW w:type="dxa" w:w="648"/>
            <w:tcBorders>
              <w:top w:val="single" w:sz="4" w:color="D9D9D9"/>
              <w:left w:val="single" w:sz="4" w:color="D9D9D9"/>
              <w:bottom w:val="single" w:sz="4" w:color="D9D9D9"/>
              <w:right w:val="single" w:sz="4" w:color="D9D9D9"/>
            </w:tcBorders>
            <w:shd w:fill="E8EDF2"/>
          </w:tcPr>
          <w:p>
            <w:pPr>
              <w:spacing w:after="100" w:before="100"/>
            </w:pPr>
            <w:r>
              <w:rPr>
                <w:b/>
                <w:sz w:val="18"/>
              </w:rPr>
              <w:t>Step</w:t>
            </w:r>
          </w:p>
        </w:tc>
        <w:tc>
          <w:tcPr>
            <w:tcW w:type="dxa" w:w="1008"/>
            <w:tcBorders>
              <w:top w:val="single" w:sz="4" w:color="D9D9D9"/>
              <w:left w:val="single" w:sz="4" w:color="D9D9D9"/>
              <w:bottom w:val="single" w:sz="4" w:color="D9D9D9"/>
              <w:right w:val="single" w:sz="4" w:color="D9D9D9"/>
            </w:tcBorders>
            <w:shd w:fill="E8EDF2"/>
          </w:tcPr>
          <w:p>
            <w:pPr>
              <w:spacing w:after="100" w:before="100"/>
            </w:pPr>
            <w:r>
              <w:rPr>
                <w:b/>
                <w:sz w:val="18"/>
              </w:rPr>
              <w:t>Actor</w:t>
            </w:r>
          </w:p>
        </w:tc>
        <w:tc>
          <w:tcPr>
            <w:tcW w:type="dxa" w:w="7848"/>
            <w:tcBorders>
              <w:top w:val="single" w:sz="4" w:color="D9D9D9"/>
              <w:left w:val="single" w:sz="4" w:color="D9D9D9"/>
              <w:bottom w:val="single" w:sz="4" w:color="D9D9D9"/>
              <w:right w:val="single" w:sz="4" w:color="D9D9D9"/>
            </w:tcBorders>
            <w:shd w:fill="E8EDF2"/>
          </w:tcPr>
          <w:p>
            <w:pPr>
              <w:spacing w:after="100" w:before="100"/>
            </w:pPr>
            <w:r>
              <w:rPr>
                <w:b/>
                <w:sz w:val="18"/>
              </w:rPr>
              <w:t>Action and outcome</w:t>
            </w:r>
          </w:p>
        </w:tc>
      </w:tr>
      <w:tr>
        <w:trPr>
          <w:cantSplit/>
          <w:cantSplit/>
          <w:cantSplit/>
        </w:trPr>
        <w:tc>
          <w:tcPr>
            <w:tcW w:type="dxa" w:w="648"/>
            <w:tcBorders>
              <w:top w:val="single" w:sz="4" w:color="D9D9D9"/>
              <w:left w:val="single" w:sz="4" w:color="D9D9D9"/>
              <w:bottom w:val="single" w:sz="4" w:color="D9D9D9"/>
              <w:right w:val="single" w:sz="4" w:color="D9D9D9"/>
            </w:tcBorders>
            <w:shd w:fill="FFFFFF"/>
          </w:tcPr>
          <w:p>
            <w:pPr>
              <w:spacing w:after="100" w:before="100"/>
            </w:pPr>
            <w:r>
              <w:rPr>
                <w:b w:val="0"/>
                <w:sz w:val="18"/>
              </w:rPr>
              <w:t>1</w:t>
            </w:r>
          </w:p>
        </w:tc>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Seller</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18"/>
              </w:rPr>
              <w:t>Deploy test escrow with the relay test attestor</w:t>
            </w:r>
          </w:p>
        </w:tc>
      </w:tr>
      <w:tr>
        <w:trPr>
          <w:cantSplit/>
          <w:cantSplit/>
          <w:cantSplit/>
        </w:trPr>
        <w:tc>
          <w:tcPr>
            <w:tcW w:type="dxa" w:w="648"/>
            <w:tcBorders>
              <w:top w:val="single" w:sz="4" w:color="D9D9D9"/>
              <w:left w:val="single" w:sz="4" w:color="D9D9D9"/>
              <w:bottom w:val="single" w:sz="4" w:color="D9D9D9"/>
              <w:right w:val="single" w:sz="4" w:color="D9D9D9"/>
            </w:tcBorders>
            <w:shd w:fill="F5F7F9"/>
          </w:tcPr>
          <w:p>
            <w:pPr>
              <w:spacing w:after="100" w:before="100"/>
            </w:pPr>
            <w:r>
              <w:rPr>
                <w:b w:val="0"/>
                <w:sz w:val="18"/>
              </w:rPr>
              <w:t>2</w:t>
            </w:r>
          </w:p>
        </w:tc>
        <w:tc>
          <w:tcPr>
            <w:tcW w:type="dxa" w:w="1008"/>
            <w:tcBorders>
              <w:top w:val="single" w:sz="4" w:color="D9D9D9"/>
              <w:left w:val="single" w:sz="4" w:color="D9D9D9"/>
              <w:bottom w:val="single" w:sz="4" w:color="D9D9D9"/>
              <w:right w:val="single" w:sz="4" w:color="D9D9D9"/>
            </w:tcBorders>
            <w:shd w:fill="F5F7F9"/>
          </w:tcPr>
          <w:p>
            <w:pPr>
              <w:spacing w:after="100" w:before="100"/>
            </w:pPr>
            <w:r>
              <w:rPr>
                <w:b w:val="0"/>
                <w:sz w:val="18"/>
              </w:rPr>
              <w:t>Seller</w:t>
            </w:r>
          </w:p>
        </w:tc>
        <w:tc>
          <w:tcPr>
            <w:tcW w:type="dxa" w:w="7848"/>
            <w:tcBorders>
              <w:top w:val="single" w:sz="4" w:color="D9D9D9"/>
              <w:left w:val="single" w:sz="4" w:color="D9D9D9"/>
              <w:bottom w:val="single" w:sz="4" w:color="D9D9D9"/>
              <w:right w:val="single" w:sz="4" w:color="D9D9D9"/>
            </w:tcBorders>
            <w:shd w:fill="F5F7F9"/>
          </w:tcPr>
          <w:p>
            <w:pPr>
              <w:spacing w:after="100" w:before="100"/>
            </w:pPr>
            <w:r>
              <w:rPr>
                <w:b w:val="0"/>
                <w:sz w:val="18"/>
              </w:rPr>
              <w:t>Lock native tMSTC for a named buyer and mock INR amount</w:t>
            </w:r>
          </w:p>
        </w:tc>
      </w:tr>
      <w:tr>
        <w:trPr>
          <w:cantSplit/>
          <w:cantSplit/>
          <w:cantSplit/>
        </w:trPr>
        <w:tc>
          <w:tcPr>
            <w:tcW w:type="dxa" w:w="648"/>
            <w:tcBorders>
              <w:top w:val="single" w:sz="4" w:color="D9D9D9"/>
              <w:left w:val="single" w:sz="4" w:color="D9D9D9"/>
              <w:bottom w:val="single" w:sz="4" w:color="D9D9D9"/>
              <w:right w:val="single" w:sz="4" w:color="D9D9D9"/>
            </w:tcBorders>
            <w:shd w:fill="FFFFFF"/>
          </w:tcPr>
          <w:p>
            <w:pPr>
              <w:spacing w:after="100" w:before="100"/>
            </w:pPr>
            <w:r>
              <w:rPr>
                <w:b w:val="0"/>
                <w:sz w:val="18"/>
              </w:rPr>
              <w:t>3</w:t>
            </w:r>
          </w:p>
        </w:tc>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Buyer</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18"/>
              </w:rPr>
              <w:t>Review and accept the immutable terms</w:t>
            </w:r>
          </w:p>
        </w:tc>
      </w:tr>
      <w:tr>
        <w:trPr>
          <w:cantSplit/>
          <w:cantSplit/>
          <w:cantSplit/>
        </w:trPr>
        <w:tc>
          <w:tcPr>
            <w:tcW w:type="dxa" w:w="648"/>
            <w:tcBorders>
              <w:top w:val="single" w:sz="4" w:color="D9D9D9"/>
              <w:left w:val="single" w:sz="4" w:color="D9D9D9"/>
              <w:bottom w:val="single" w:sz="4" w:color="D9D9D9"/>
              <w:right w:val="single" w:sz="4" w:color="D9D9D9"/>
            </w:tcBorders>
            <w:shd w:fill="F5F7F9"/>
          </w:tcPr>
          <w:p>
            <w:pPr>
              <w:spacing w:after="100" w:before="100"/>
            </w:pPr>
            <w:r>
              <w:rPr>
                <w:b w:val="0"/>
                <w:sz w:val="18"/>
              </w:rPr>
              <w:t>4</w:t>
            </w:r>
          </w:p>
        </w:tc>
        <w:tc>
          <w:tcPr>
            <w:tcW w:type="dxa" w:w="1008"/>
            <w:tcBorders>
              <w:top w:val="single" w:sz="4" w:color="D9D9D9"/>
              <w:left w:val="single" w:sz="4" w:color="D9D9D9"/>
              <w:bottom w:val="single" w:sz="4" w:color="D9D9D9"/>
              <w:right w:val="single" w:sz="4" w:color="D9D9D9"/>
            </w:tcBorders>
            <w:shd w:fill="F5F7F9"/>
          </w:tcPr>
          <w:p>
            <w:pPr>
              <w:spacing w:after="100" w:before="100"/>
            </w:pPr>
            <w:r>
              <w:rPr>
                <w:b w:val="0"/>
                <w:sz w:val="18"/>
              </w:rPr>
              <w:t>Buyer</w:t>
            </w:r>
          </w:p>
        </w:tc>
        <w:tc>
          <w:tcPr>
            <w:tcW w:type="dxa" w:w="7848"/>
            <w:tcBorders>
              <w:top w:val="single" w:sz="4" w:color="D9D9D9"/>
              <w:left w:val="single" w:sz="4" w:color="D9D9D9"/>
              <w:bottom w:val="single" w:sz="4" w:color="D9D9D9"/>
              <w:right w:val="single" w:sz="4" w:color="D9D9D9"/>
            </w:tcBorders>
            <w:shd w:fill="F5F7F9"/>
          </w:tcPr>
          <w:p>
            <w:pPr>
              <w:spacing w:after="100" w:before="100"/>
            </w:pPr>
            <w:r>
              <w:rPr>
                <w:b w:val="0"/>
                <w:sz w:val="18"/>
              </w:rPr>
              <w:t>Authorize the test order and complete Test Checkout</w:t>
            </w:r>
          </w:p>
        </w:tc>
      </w:tr>
      <w:tr>
        <w:trPr>
          <w:cantSplit/>
          <w:cantSplit/>
          <w:cantSplit/>
        </w:trPr>
        <w:tc>
          <w:tcPr>
            <w:tcW w:type="dxa" w:w="648"/>
            <w:tcBorders>
              <w:top w:val="single" w:sz="4" w:color="D9D9D9"/>
              <w:left w:val="single" w:sz="4" w:color="D9D9D9"/>
              <w:bottom w:val="single" w:sz="4" w:color="D9D9D9"/>
              <w:right w:val="single" w:sz="4" w:color="D9D9D9"/>
            </w:tcBorders>
            <w:shd w:fill="FFFFFF"/>
          </w:tcPr>
          <w:p>
            <w:pPr>
              <w:spacing w:after="100" w:before="100"/>
            </w:pPr>
            <w:r>
              <w:rPr>
                <w:b w:val="0"/>
                <w:sz w:val="18"/>
              </w:rPr>
              <w:t>5</w:t>
            </w:r>
          </w:p>
        </w:tc>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Relay</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18"/>
              </w:rPr>
              <w:t>Verify callback and fetch payment and order independently</w:t>
            </w:r>
          </w:p>
        </w:tc>
      </w:tr>
      <w:tr>
        <w:trPr>
          <w:cantSplit/>
          <w:cantSplit/>
          <w:cantSplit/>
        </w:trPr>
        <w:tc>
          <w:tcPr>
            <w:tcW w:type="dxa" w:w="648"/>
            <w:tcBorders>
              <w:top w:val="single" w:sz="4" w:color="D9D9D9"/>
              <w:left w:val="single" w:sz="4" w:color="D9D9D9"/>
              <w:bottom w:val="single" w:sz="4" w:color="D9D9D9"/>
              <w:right w:val="single" w:sz="4" w:color="D9D9D9"/>
            </w:tcBorders>
            <w:shd w:fill="F5F7F9"/>
          </w:tcPr>
          <w:p>
            <w:pPr>
              <w:spacing w:after="100" w:before="100"/>
            </w:pPr>
            <w:r>
              <w:rPr>
                <w:b w:val="0"/>
                <w:sz w:val="18"/>
              </w:rPr>
              <w:t>6</w:t>
            </w:r>
          </w:p>
        </w:tc>
        <w:tc>
          <w:tcPr>
            <w:tcW w:type="dxa" w:w="1008"/>
            <w:tcBorders>
              <w:top w:val="single" w:sz="4" w:color="D9D9D9"/>
              <w:left w:val="single" w:sz="4" w:color="D9D9D9"/>
              <w:bottom w:val="single" w:sz="4" w:color="D9D9D9"/>
              <w:right w:val="single" w:sz="4" w:color="D9D9D9"/>
            </w:tcBorders>
            <w:shd w:fill="F5F7F9"/>
          </w:tcPr>
          <w:p>
            <w:pPr>
              <w:spacing w:after="100" w:before="100"/>
            </w:pPr>
            <w:r>
              <w:rPr>
                <w:b w:val="0"/>
                <w:sz w:val="18"/>
              </w:rPr>
              <w:t>Relay</w:t>
            </w:r>
          </w:p>
        </w:tc>
        <w:tc>
          <w:tcPr>
            <w:tcW w:type="dxa" w:w="7848"/>
            <w:tcBorders>
              <w:top w:val="single" w:sz="4" w:color="D9D9D9"/>
              <w:left w:val="single" w:sz="4" w:color="D9D9D9"/>
              <w:bottom w:val="single" w:sz="4" w:color="D9D9D9"/>
              <w:right w:val="single" w:sz="4" w:color="D9D9D9"/>
            </w:tcBorders>
            <w:shd w:fill="F5F7F9"/>
          </w:tcPr>
          <w:p>
            <w:pPr>
              <w:spacing w:after="100" w:before="100"/>
            </w:pPr>
            <w:r>
              <w:rPr>
                <w:b w:val="0"/>
                <w:sz w:val="18"/>
              </w:rPr>
              <w:t>Sign test-only EIP-712 settlement permission</w:t>
            </w:r>
          </w:p>
        </w:tc>
      </w:tr>
      <w:tr>
        <w:trPr>
          <w:cantSplit/>
          <w:cantSplit/>
          <w:cantSplit/>
        </w:trPr>
        <w:tc>
          <w:tcPr>
            <w:tcW w:type="dxa" w:w="648"/>
            <w:tcBorders>
              <w:top w:val="single" w:sz="4" w:color="D9D9D9"/>
              <w:left w:val="single" w:sz="4" w:color="D9D9D9"/>
              <w:bottom w:val="single" w:sz="4" w:color="D9D9D9"/>
              <w:right w:val="single" w:sz="4" w:color="D9D9D9"/>
            </w:tcBorders>
            <w:shd w:fill="FFFFFF"/>
          </w:tcPr>
          <w:p>
            <w:pPr>
              <w:spacing w:after="100" w:before="100"/>
            </w:pPr>
            <w:r>
              <w:rPr>
                <w:b w:val="0"/>
                <w:sz w:val="18"/>
              </w:rPr>
              <w:t>7</w:t>
            </w:r>
          </w:p>
        </w:tc>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Buyer</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18"/>
              </w:rPr>
              <w:t>Approve and submit settlement transaction</w:t>
            </w:r>
          </w:p>
        </w:tc>
      </w:tr>
      <w:tr>
        <w:trPr>
          <w:cantSplit/>
          <w:cantSplit/>
          <w:cantSplit/>
        </w:trPr>
        <w:tc>
          <w:tcPr>
            <w:tcW w:type="dxa" w:w="648"/>
            <w:tcBorders>
              <w:top w:val="single" w:sz="4" w:color="D9D9D9"/>
              <w:left w:val="single" w:sz="4" w:color="D9D9D9"/>
              <w:bottom w:val="single" w:sz="4" w:color="D9D9D9"/>
              <w:right w:val="single" w:sz="4" w:color="D9D9D9"/>
            </w:tcBorders>
            <w:shd w:fill="F5F7F9"/>
          </w:tcPr>
          <w:p>
            <w:pPr>
              <w:spacing w:after="100" w:before="100"/>
            </w:pPr>
            <w:r>
              <w:rPr>
                <w:b w:val="0"/>
                <w:sz w:val="18"/>
              </w:rPr>
              <w:t>8</w:t>
            </w:r>
          </w:p>
        </w:tc>
        <w:tc>
          <w:tcPr>
            <w:tcW w:type="dxa" w:w="1008"/>
            <w:tcBorders>
              <w:top w:val="single" w:sz="4" w:color="D9D9D9"/>
              <w:left w:val="single" w:sz="4" w:color="D9D9D9"/>
              <w:bottom w:val="single" w:sz="4" w:color="D9D9D9"/>
              <w:right w:val="single" w:sz="4" w:color="D9D9D9"/>
            </w:tcBorders>
            <w:shd w:fill="F5F7F9"/>
          </w:tcPr>
          <w:p>
            <w:pPr>
              <w:spacing w:after="100" w:before="100"/>
            </w:pPr>
            <w:r>
              <w:rPr>
                <w:b w:val="0"/>
                <w:sz w:val="18"/>
              </w:rPr>
              <w:t>Contract</w:t>
            </w:r>
          </w:p>
        </w:tc>
        <w:tc>
          <w:tcPr>
            <w:tcW w:type="dxa" w:w="7848"/>
            <w:tcBorders>
              <w:top w:val="single" w:sz="4" w:color="D9D9D9"/>
              <w:left w:val="single" w:sz="4" w:color="D9D9D9"/>
              <w:bottom w:val="single" w:sz="4" w:color="D9D9D9"/>
              <w:right w:val="single" w:sz="4" w:color="D9D9D9"/>
            </w:tcBorders>
            <w:shd w:fill="F5F7F9"/>
          </w:tcPr>
          <w:p>
            <w:pPr>
              <w:spacing w:after="100" w:before="100"/>
            </w:pPr>
            <w:r>
              <w:rPr>
                <w:b w:val="0"/>
                <w:sz w:val="18"/>
              </w:rPr>
              <w:t>Release exact tMSTC amount to the fixed buyer once</w:t>
            </w:r>
          </w:p>
        </w:tc>
      </w:tr>
    </w:tbl>
    <w:p/>
    <w:p>
      <w:pPr>
        <w:pStyle w:val="Heading2"/>
      </w:pPr>
      <w:r>
        <w:t>Demo limits and evidence checks</w:t>
      </w:r>
    </w:p>
    <w:p>
      <w:r>
        <w:t>Offers accept more than zero and at most 10 tMSTC, with mock INR from ₹1 to ₹100,000. The UI sets a one-hour acceptance expiry. Acceptance starts a 30-minute payment window. The server verifies the named buyer’s signed request, exact escrow creation and runtime, chain, attestor and stored terms. It matches captured status, amount, INR currency, order and payment identity and refund information. Payment creation time must be inside the accepted window; this is not a claim about bank settlement finality.</w:t>
      </w:r>
    </w:p>
    <w:p>
      <w:pPr>
        <w:pStyle w:val="Heading2"/>
      </w:pPr>
      <w:r>
        <w:t>Verification and notifications</w:t>
      </w:r>
    </w:p>
    <w:p>
      <w:r>
        <w:t>Checkout success is a trigger rather than proof by itself. The callback HMAC is checked and authenticated REST reads confirm the payment and order. A canonical provider-payment identifier is bound to the trade. The contract checks the typed signature, chain and escrow domain, terms, payment uniqueness and time limits before payout. An optional raw-body authenticated webhook records verification; it does not submit a blockchain transaction.</w:t>
      </w:r>
    </w:p>
    <w:p>
      <w:r>
        <w:t>The popup reports verification progress and confirmed release and links to the explorer. SMS, email and operating-system push delivery are not implemented. The user still approves the settlement transaction and needs testnet gas.</w:t>
      </w:r>
    </w:p>
    <w:p>
      <w:pPr>
        <w:pStyle w:val="Heading2"/>
      </w:pPr>
      <w:r>
        <w:t>Recovery</w:t>
      </w:r>
    </w:p>
    <w:p>
      <w:r>
        <w:t>Check payment and release can recover a captured payment when a callback is lost. Pending transaction hashes are retained locally. The seller can cancel only an unaccepted offer. After acceptance, only the buyer can intentionally return the allocation. There is no seller timeout sweep; funds can remain locked if evidence or cooperation is unavailable. Attestations expire seven days after the payment window. Use faucet funds only.</w:t>
      </w:r>
    </w:p>
    <w:p>
      <w:r>
        <w:br w:type="page"/>
      </w:r>
    </w:p>
    <w:p>
      <w:pPr>
        <w:pStyle w:val="Heading1"/>
      </w:pPr>
      <w:r>
        <w:t>Smart contracts and trust boundaries</w:t>
      </w:r>
    </w:p>
    <w:tbl>
      <w:tblPr>
        <w:tblW w:type="auto" w:w="0"/>
        <w:tblLayout w:type="fixed"/>
        <w:tblLook w:firstColumn="1" w:firstRow="1" w:lastColumn="0" w:lastRow="0" w:noHBand="0" w:noVBand="1" w:val="04A0"/>
      </w:tblPr>
      <w:tblGrid>
        <w:gridCol w:w="3024"/>
        <w:gridCol w:w="6480"/>
      </w:tblGrid>
      <w:tr>
        <w:trPr>
          <w:cantSplit/>
          <w:cantSplit/>
          <w:tblHeader/>
        </w:trPr>
        <w:tc>
          <w:tcPr>
            <w:tcW w:type="dxa" w:w="3024"/>
            <w:tcBorders>
              <w:top w:val="single" w:sz="4" w:color="D9D9D9"/>
              <w:left w:val="single" w:sz="4" w:color="D9D9D9"/>
              <w:bottom w:val="single" w:sz="4" w:color="D9D9D9"/>
              <w:right w:val="single" w:sz="4" w:color="D9D9D9"/>
            </w:tcBorders>
            <w:shd w:fill="E8EDF2"/>
          </w:tcPr>
          <w:p>
            <w:pPr>
              <w:spacing w:after="100" w:before="100"/>
            </w:pPr>
            <w:r>
              <w:rPr>
                <w:b/>
                <w:sz w:val="18"/>
              </w:rPr>
              <w:t>Contract</w:t>
            </w:r>
          </w:p>
        </w:tc>
        <w:tc>
          <w:tcPr>
            <w:tcW w:type="dxa" w:w="6480"/>
            <w:tcBorders>
              <w:top w:val="single" w:sz="4" w:color="D9D9D9"/>
              <w:left w:val="single" w:sz="4" w:color="D9D9D9"/>
              <w:bottom w:val="single" w:sz="4" w:color="D9D9D9"/>
              <w:right w:val="single" w:sz="4" w:color="D9D9D9"/>
            </w:tcBorders>
            <w:shd w:fill="E8EDF2"/>
          </w:tcPr>
          <w:p>
            <w:pPr>
              <w:spacing w:after="100" w:before="100"/>
            </w:pPr>
            <w:r>
              <w:rPr>
                <w:b/>
                <w:sz w:val="18"/>
              </w:rPr>
              <w:t>Role</w:t>
            </w:r>
          </w:p>
        </w:tc>
      </w:tr>
      <w:tr>
        <w:trPr>
          <w:cantSplit/>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18"/>
              </w:rPr>
              <w:t>GhostChatTestTrade</w:t>
            </w:r>
          </w:p>
        </w:tc>
        <w:tc>
          <w:tcPr>
            <w:tcW w:type="dxa" w:w="6480"/>
            <w:tcBorders>
              <w:top w:val="single" w:sz="4" w:color="D9D9D9"/>
              <w:left w:val="single" w:sz="4" w:color="D9D9D9"/>
              <w:bottom w:val="single" w:sz="4" w:color="D9D9D9"/>
              <w:right w:val="single" w:sz="4" w:color="D9D9D9"/>
            </w:tcBorders>
            <w:shd w:fill="FFFFFF"/>
          </w:tcPr>
          <w:p>
            <w:pPr>
              <w:spacing w:after="100" w:before="100"/>
            </w:pPr>
            <w:r>
              <w:rPr>
                <w:b w:val="0"/>
                <w:sz w:val="18"/>
              </w:rPr>
              <w:t>Current native tMSTC escrow for Razorpay mock payments</w:t>
            </w:r>
          </w:p>
        </w:tc>
      </w:tr>
      <w:tr>
        <w:trPr>
          <w:cantSplit/>
          <w:cantSplit/>
        </w:trPr>
        <w:tc>
          <w:tcPr>
            <w:tcW w:type="dxa" w:w="3024"/>
            <w:tcBorders>
              <w:top w:val="single" w:sz="4" w:color="D9D9D9"/>
              <w:left w:val="single" w:sz="4" w:color="D9D9D9"/>
              <w:bottom w:val="single" w:sz="4" w:color="D9D9D9"/>
              <w:right w:val="single" w:sz="4" w:color="D9D9D9"/>
            </w:tcBorders>
            <w:shd w:fill="F5F7F9"/>
          </w:tcPr>
          <w:p>
            <w:pPr>
              <w:spacing w:after="100" w:before="100"/>
            </w:pPr>
            <w:r>
              <w:rPr>
                <w:b w:val="0"/>
                <w:sz w:val="18"/>
              </w:rPr>
              <w:t>GhostPayNativeEscrow</w:t>
            </w:r>
          </w:p>
        </w:tc>
        <w:tc>
          <w:tcPr>
            <w:tcW w:type="dxa" w:w="6480"/>
            <w:tcBorders>
              <w:top w:val="single" w:sz="4" w:color="D9D9D9"/>
              <w:left w:val="single" w:sz="4" w:color="D9D9D9"/>
              <w:bottom w:val="single" w:sz="4" w:color="D9D9D9"/>
              <w:right w:val="single" w:sz="4" w:color="D9D9D9"/>
            </w:tcBorders>
            <w:shd w:fill="F5F7F9"/>
          </w:tcPr>
          <w:p>
            <w:pPr>
              <w:spacing w:after="100" w:before="100"/>
            </w:pPr>
            <w:r>
              <w:rPr>
                <w:b w:val="0"/>
                <w:sz w:val="18"/>
              </w:rPr>
              <w:t>Recipient-approved native payment links</w:t>
            </w:r>
          </w:p>
        </w:tc>
      </w:tr>
      <w:tr>
        <w:trPr>
          <w:cantSplit/>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18"/>
              </w:rPr>
              <w:t>GhostPayCommunity</w:t>
            </w:r>
          </w:p>
        </w:tc>
        <w:tc>
          <w:tcPr>
            <w:tcW w:type="dxa" w:w="6480"/>
            <w:tcBorders>
              <w:top w:val="single" w:sz="4" w:color="D9D9D9"/>
              <w:left w:val="single" w:sz="4" w:color="D9D9D9"/>
              <w:bottom w:val="single" w:sz="4" w:color="D9D9D9"/>
              <w:right w:val="single" w:sz="4" w:color="D9D9D9"/>
            </w:tcBorders>
            <w:shd w:fill="FFFFFF"/>
          </w:tcPr>
          <w:p>
            <w:pPr>
              <w:spacing w:after="100" w:before="100"/>
            </w:pPr>
            <w:r>
              <w:rPr>
                <w:b w:val="0"/>
                <w:sz w:val="18"/>
              </w:rPr>
              <w:t>Fully funded fixed native allocations</w:t>
            </w:r>
          </w:p>
        </w:tc>
      </w:tr>
      <w:tr>
        <w:trPr>
          <w:cantSplit/>
          <w:cantSplit/>
        </w:trPr>
        <w:tc>
          <w:tcPr>
            <w:tcW w:type="dxa" w:w="3024"/>
            <w:tcBorders>
              <w:top w:val="single" w:sz="4" w:color="D9D9D9"/>
              <w:left w:val="single" w:sz="4" w:color="D9D9D9"/>
              <w:bottom w:val="single" w:sz="4" w:color="D9D9D9"/>
              <w:right w:val="single" w:sz="4" w:color="D9D9D9"/>
            </w:tcBorders>
            <w:shd w:fill="F5F7F9"/>
          </w:tcPr>
          <w:p>
            <w:pPr>
              <w:spacing w:after="100" w:before="100"/>
            </w:pPr>
            <w:r>
              <w:rPr>
                <w:b w:val="0"/>
                <w:sz w:val="18"/>
              </w:rPr>
              <w:t>GhostPayEscrow</w:t>
            </w:r>
          </w:p>
        </w:tc>
        <w:tc>
          <w:tcPr>
            <w:tcW w:type="dxa" w:w="6480"/>
            <w:tcBorders>
              <w:top w:val="single" w:sz="4" w:color="D9D9D9"/>
              <w:left w:val="single" w:sz="4" w:color="D9D9D9"/>
              <w:bottom w:val="single" w:sz="4" w:color="D9D9D9"/>
              <w:right w:val="single" w:sz="4" w:color="D9D9D9"/>
            </w:tcBorders>
            <w:shd w:fill="F5F7F9"/>
          </w:tcPr>
          <w:p>
            <w:pPr>
              <w:spacing w:after="100" w:before="100"/>
            </w:pPr>
            <w:r>
              <w:rPr>
                <w:b w:val="0"/>
                <w:sz w:val="18"/>
              </w:rPr>
              <w:t>Older relay-backed payment implementation</w:t>
            </w:r>
          </w:p>
        </w:tc>
      </w:tr>
      <w:tr>
        <w:trPr>
          <w:cantSplit/>
          <w:cantSplit/>
        </w:trPr>
        <w:tc>
          <w:tcPr>
            <w:tcW w:type="dxa" w:w="3024"/>
            <w:tcBorders>
              <w:top w:val="single" w:sz="4" w:color="D9D9D9"/>
              <w:left w:val="single" w:sz="4" w:color="D9D9D9"/>
              <w:bottom w:val="single" w:sz="4" w:color="D9D9D9"/>
              <w:right w:val="single" w:sz="4" w:color="D9D9D9"/>
            </w:tcBorders>
            <w:shd w:fill="FFFFFF"/>
          </w:tcPr>
          <w:p>
            <w:pPr>
              <w:spacing w:after="100" w:before="100"/>
            </w:pPr>
            <w:r>
              <w:rPr>
                <w:b w:val="0"/>
                <w:sz w:val="18"/>
              </w:rPr>
              <w:t>GhostPayP2PSandbox and children</w:t>
            </w:r>
          </w:p>
        </w:tc>
        <w:tc>
          <w:tcPr>
            <w:tcW w:type="dxa" w:w="6480"/>
            <w:tcBorders>
              <w:top w:val="single" w:sz="4" w:color="D9D9D9"/>
              <w:left w:val="single" w:sz="4" w:color="D9D9D9"/>
              <w:bottom w:val="single" w:sz="4" w:color="D9D9D9"/>
              <w:right w:val="single" w:sz="4" w:color="D9D9D9"/>
            </w:tcBorders>
            <w:shd w:fill="FFFFFF"/>
          </w:tcPr>
          <w:p>
            <w:pPr>
              <w:spacing w:after="100" w:before="100"/>
            </w:pPr>
            <w:r>
              <w:rPr>
                <w:b w:val="0"/>
                <w:sz w:val="18"/>
              </w:rPr>
              <w:t>Legacy freely minted gpUSD and simulated-attestor demo</w:t>
            </w:r>
          </w:p>
        </w:tc>
      </w:tr>
    </w:tbl>
    <w:p/>
    <w:p>
      <w:pPr>
        <w:pStyle w:val="Heading2"/>
      </w:pPr>
      <w:r>
        <w:t>Native test trade state machine</w:t>
      </w:r>
    </w:p>
    <w:p>
      <w:pPr>
        <w:spacing w:after="180"/>
      </w:pPr>
      <w:r>
        <w:rPr>
          <w:rFonts w:ascii="Consolas" w:hAnsi="Consolas"/>
          <w:sz w:val="18"/>
        </w:rPr>
        <w:t>Offered → Accepted → Settled</w:t>
        <w:br/>
        <w:t xml:space="preserve">   └→ Returned      └→ Returned by buyer only</w:t>
      </w:r>
    </w:p>
    <w:p>
      <w:r>
        <w:t>The offer fixes seller, buyer, native amount, INR paise, acceptance expiry and terms hash. The terms hash includes chain ID, escrow and trade identity. Accept requires the exact buyer and terms. Settle is callable by a transaction submitter but pays only the fixed buyer. The contract records state and payment consumption before calling the payout address, and uses reentrancy protection. Failed payouts revert atomically.</w:t>
      </w:r>
    </w:p>
    <w:p>
      <w:pPr>
        <w:pStyle w:val="Heading2"/>
      </w:pPr>
      <w:r>
        <w:t>Attestation domain</w:t>
      </w:r>
    </w:p>
    <w:p>
      <w:r>
        <w:t>The current EIP-712 domain is GhostChat Razorpay Test, version 1. Its message contains tradeId, termsHash, paymentId, paidAt and validUntil. The dedicated relay key is a trusted test attestor. It does not need native funds because the buyer submits settlement. It must remain stable for already deployed test escrows.</w:t>
      </w:r>
    </w:p>
    <w:p>
      <w:pPr>
        <w:pStyle w:val="Heading2"/>
      </w:pPr>
      <w:r>
        <w:t>Verification assumptions</w:t>
      </w:r>
    </w:p>
    <w:p>
      <w:r>
        <w:t>The client and server verify the precise deployment initcode, constructor signer, canonical receipt, runtime code and confirmations. These checks help reject substituted contracts; they are not an independent audit. Payment uniqueness is enforced per escrow on-chain and across this relay’s allocations in SQLite. It is not a global cross-chain or cross-provider registry. Resetting the database under the same signer can weaken that boundary.</w:t>
      </w:r>
    </w:p>
    <w:p>
      <w:pPr>
        <w:pStyle w:val="Heading2"/>
      </w:pPr>
      <w:r>
        <w:t>Legacy and production separation</w:t>
      </w:r>
    </w:p>
    <w:p>
      <w:r>
        <w:t>The older sandbox uses a freely minted six-decimal gpUSD token and deployer-signed simulated evidence with a 0.5 percent fixture fee. It is accessible through existing sandbox links or /trade?mode=legacy. It must not be relabelled as real MSTC settlement. A future real INR and mainnet MSTC system needs new evidence and verifier integration, dispute handling, replay design and independent review.</w:t>
      </w:r>
    </w:p>
    <w:p>
      <w:r>
        <w:br w:type="page"/>
      </w:r>
    </w:p>
    <w:p>
      <w:pPr>
        <w:pStyle w:val="Heading1"/>
      </w:pPr>
      <w:r>
        <w:t>API reference</w:t>
      </w:r>
    </w:p>
    <w:p>
      <w:r>
        <w:t>The local frontend proxies /api to the relay at port 3001. API data is not a source of wallet private keys. Google-authenticated routes validate the Google identity; wallet-bound operations additionally require signed challenges. The tables summarize the implemented routes rather than defining a versioned public API contract.</w:t>
      </w:r>
    </w:p>
    <w:tbl>
      <w:tblPr>
        <w:tblW w:type="auto" w:w="0"/>
        <w:tblLayout w:type="fixed"/>
        <w:tblLook w:firstColumn="1" w:firstRow="1" w:lastColumn="0" w:lastRow="0" w:noHBand="0" w:noVBand="1" w:val="04A0"/>
      </w:tblPr>
      <w:tblGrid>
        <w:gridCol w:w="4752"/>
        <w:gridCol w:w="4752"/>
      </w:tblGrid>
      <w:tr>
        <w:trPr>
          <w:cantSplit/>
          <w:cantSplit/>
          <w:tblHeader/>
        </w:trPr>
        <w:tc>
          <w:tcPr>
            <w:tcW w:type="dxa" w:w="4752"/>
            <w:tcBorders>
              <w:top w:val="single" w:sz="4" w:color="D9D9D9"/>
              <w:left w:val="single" w:sz="4" w:color="D9D9D9"/>
              <w:bottom w:val="single" w:sz="4" w:color="D9D9D9"/>
              <w:right w:val="single" w:sz="4" w:color="D9D9D9"/>
            </w:tcBorders>
            <w:shd w:fill="E8EDF2"/>
          </w:tcPr>
          <w:p>
            <w:pPr>
              <w:spacing w:after="100" w:before="100"/>
            </w:pPr>
            <w:r>
              <w:rPr>
                <w:b/>
                <w:sz w:val="18"/>
              </w:rPr>
              <w:t>Method and route</w:t>
            </w:r>
          </w:p>
        </w:tc>
        <w:tc>
          <w:tcPr>
            <w:tcW w:type="dxa" w:w="4752"/>
            <w:tcBorders>
              <w:top w:val="single" w:sz="4" w:color="D9D9D9"/>
              <w:left w:val="single" w:sz="4" w:color="D9D9D9"/>
              <w:bottom w:val="single" w:sz="4" w:color="D9D9D9"/>
              <w:right w:val="single" w:sz="4" w:color="D9D9D9"/>
            </w:tcBorders>
            <w:shd w:fill="E8EDF2"/>
          </w:tcPr>
          <w:p>
            <w:pPr>
              <w:spacing w:after="100" w:before="100"/>
            </w:pPr>
            <w:r>
              <w:rPr>
                <w:b/>
                <w:sz w:val="18"/>
              </w:rPr>
              <w:t>Purpose</w:t>
            </w:r>
          </w:p>
        </w:tc>
      </w:tr>
      <w:tr>
        <w:trPr>
          <w:cantSplit/>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GET /api/account/config</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Public Google client ID and readiness</w:t>
            </w:r>
          </w:p>
        </w:tc>
      </w:tr>
      <w:tr>
        <w:trPr>
          <w:cantSplit/>
          <w:cantSplit/>
        </w:trPr>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GET /api/account/google/challenge</w:t>
            </w:r>
          </w:p>
        </w:tc>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Issue single-use login nonce</w:t>
            </w:r>
          </w:p>
        </w:tc>
      </w:tr>
      <w:tr>
        <w:trPr>
          <w:cantSplit/>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POST /api/account/google/login</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Verify Google ID token and nonce</w:t>
            </w:r>
          </w:p>
        </w:tc>
      </w:tr>
      <w:tr>
        <w:trPr>
          <w:cantSplit/>
          <w:cantSplit/>
        </w:trPr>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GET /api/account/me</w:t>
            </w:r>
          </w:p>
        </w:tc>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Return authenticated account profile</w:t>
            </w:r>
          </w:p>
        </w:tc>
      </w:tr>
      <w:tr>
        <w:trPr>
          <w:cantSplit/>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GET /api/account/wallet</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Return this subject’s encrypted wallet backup</w:t>
            </w:r>
          </w:p>
        </w:tc>
      </w:tr>
      <w:tr>
        <w:trPr>
          <w:cantSplit/>
          <w:cantSplit/>
        </w:trPr>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POST /api/account/wallet/challenge</w:t>
            </w:r>
          </w:p>
        </w:tc>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Bind proposed encrypted backup and wallet</w:t>
            </w:r>
          </w:p>
        </w:tc>
      </w:tr>
      <w:tr>
        <w:trPr>
          <w:cantSplit/>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POST /api/account/wallet/complete</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Complete wallet proof and persist backup</w:t>
            </w:r>
          </w:p>
        </w:tc>
      </w:tr>
      <w:tr>
        <w:trPr>
          <w:cantSplit/>
          <w:cantSplit/>
        </w:trPr>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POST /api/account/challenge</w:t>
            </w:r>
          </w:p>
        </w:tc>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Issue profile registration challenge</w:t>
            </w:r>
          </w:p>
        </w:tc>
      </w:tr>
      <w:tr>
        <w:trPr>
          <w:cantSplit/>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POST /api/account/complete</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Complete signed profile registration</w:t>
            </w:r>
          </w:p>
        </w:tc>
      </w:tr>
      <w:tr>
        <w:trPr>
          <w:cantSplit/>
          <w:cantSplit/>
        </w:trPr>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GET /api/profiles/name/:name</w:t>
            </w:r>
          </w:p>
        </w:tc>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Public username lookup</w:t>
            </w:r>
          </w:p>
        </w:tc>
      </w:tr>
      <w:tr>
        <w:trPr>
          <w:cantSplit/>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GET /api/profiles/address/:address</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Public address lookup</w:t>
            </w:r>
          </w:p>
        </w:tc>
      </w:tr>
      <w:tr>
        <w:trPr>
          <w:cantSplit/>
          <w:cantSplit/>
        </w:trPr>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GET /api/profiles/search/:prefix</w:t>
            </w:r>
          </w:p>
        </w:tc>
        <w:tc>
          <w:tcPr>
            <w:tcW w:type="dxa" w:w="4752"/>
            <w:tcBorders>
              <w:top w:val="single" w:sz="4" w:color="D9D9D9"/>
              <w:left w:val="single" w:sz="4" w:color="D9D9D9"/>
              <w:bottom w:val="single" w:sz="4" w:color="D9D9D9"/>
              <w:right w:val="single" w:sz="4" w:color="D9D9D9"/>
            </w:tcBorders>
            <w:shd w:fill="F5F7F9"/>
          </w:tcPr>
          <w:p>
            <w:pPr>
              <w:spacing w:after="100" w:before="100"/>
            </w:pPr>
            <w:r>
              <w:rPr>
                <w:b w:val="0"/>
                <w:sz w:val="18"/>
              </w:rPr>
              <w:t>Public profile search</w:t>
            </w:r>
          </w:p>
        </w:tc>
      </w:tr>
      <w:tr>
        <w:trPr>
          <w:cantSplit/>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POST /api/profiles/resolve</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Resolve supported recipient input</w:t>
            </w:r>
          </w:p>
        </w:tc>
      </w:tr>
    </w:tbl>
    <w:p/>
    <w:p>
      <w:pPr>
        <w:pStyle w:val="Heading2"/>
      </w:pPr>
      <w:r>
        <w:t>Test payment API</w:t>
      </w:r>
    </w:p>
    <w:tbl>
      <w:tblPr>
        <w:tblW w:type="auto" w:w="0"/>
        <w:tblLayout w:type="fixed"/>
        <w:tblLook w:firstColumn="1" w:firstRow="1" w:lastColumn="0" w:lastRow="0" w:noHBand="0" w:noVBand="1" w:val="04A0"/>
      </w:tblPr>
      <w:tblGrid>
        <w:gridCol w:w="2880"/>
        <w:gridCol w:w="6624"/>
      </w:tblGrid>
      <w:tr>
        <w:trPr>
          <w:cantSplit/>
          <w:cantSplit/>
          <w:tblHeader/>
        </w:trPr>
        <w:tc>
          <w:tcPr>
            <w:tcW w:type="dxa" w:w="2880"/>
            <w:tcBorders>
              <w:top w:val="single" w:sz="4" w:color="D9D9D9"/>
              <w:left w:val="single" w:sz="4" w:color="D9D9D9"/>
              <w:bottom w:val="single" w:sz="4" w:color="D9D9D9"/>
              <w:right w:val="single" w:sz="4" w:color="D9D9D9"/>
            </w:tcBorders>
            <w:shd w:fill="E8EDF2"/>
          </w:tcPr>
          <w:p>
            <w:pPr>
              <w:spacing w:after="100" w:before="100"/>
            </w:pPr>
            <w:r>
              <w:rPr>
                <w:b/>
                <w:sz w:val="18"/>
              </w:rPr>
              <w:t>Method and route suffix</w:t>
            </w:r>
          </w:p>
        </w:tc>
        <w:tc>
          <w:tcPr>
            <w:tcW w:type="dxa" w:w="6624"/>
            <w:tcBorders>
              <w:top w:val="single" w:sz="4" w:color="D9D9D9"/>
              <w:left w:val="single" w:sz="4" w:color="D9D9D9"/>
              <w:bottom w:val="single" w:sz="4" w:color="D9D9D9"/>
              <w:right w:val="single" w:sz="4" w:color="D9D9D9"/>
            </w:tcBorders>
            <w:shd w:fill="E8EDF2"/>
          </w:tcPr>
          <w:p>
            <w:pPr>
              <w:spacing w:after="100" w:before="100"/>
            </w:pPr>
            <w:r>
              <w:rPr>
                <w:b/>
                <w:sz w:val="18"/>
              </w:rPr>
              <w:t>Purpose</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GET /config</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Read configured test mode chain and attestor</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POST /orders</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Authorize buyer and create or resume stored test order</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POST /verify</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Independently verify payment and issue test attestation</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POST /webhook</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Validate raw-body HMAC and fetch provider payment</w:t>
            </w:r>
          </w:p>
        </w:tc>
      </w:tr>
    </w:tbl>
    <w:p/>
    <w:p>
      <w:r>
        <w:t>All four suffixes are under /api/p2p/test-payments. Buyer requests include escrow, creation transaction hash, tradeId, timestamp and signature. Checkout verification may also supply paymentId and checkoutSignature. Signed request timestamps are accepted only within five minutes. Webhooks use X-Razorpay-Signature; their raw bytes must reach the verifier before JSON normalization.</w:t>
      </w:r>
    </w:p>
    <w:p>
      <w:r>
        <w:br w:type="page"/>
      </w:r>
    </w:p>
    <w:p>
      <w:pPr>
        <w:pStyle w:val="Heading1"/>
      </w:pPr>
      <w:r>
        <w:t>Data storage and application security</w:t>
      </w:r>
    </w:p>
    <w:p>
      <w:pPr>
        <w:pStyle w:val="Heading2"/>
      </w:pPr>
      <w:r>
        <w:t>Persistent and device data</w:t>
      </w:r>
    </w:p>
    <w:tbl>
      <w:tblPr>
        <w:tblW w:type="auto" w:w="0"/>
        <w:tblLayout w:type="fixed"/>
        <w:tblLook w:firstColumn="1" w:firstRow="1" w:lastColumn="0" w:lastRow="0" w:noHBand="0" w:noVBand="1" w:val="04A0"/>
      </w:tblPr>
      <w:tblGrid>
        <w:gridCol w:w="2736"/>
        <w:gridCol w:w="6768"/>
      </w:tblGrid>
      <w:tr>
        <w:trPr>
          <w:cantSplit/>
          <w:cantSplit/>
          <w:tblHeader/>
        </w:trPr>
        <w:tc>
          <w:tcPr>
            <w:tcW w:type="dxa" w:w="2736"/>
            <w:tcBorders>
              <w:top w:val="single" w:sz="4" w:color="D9D9D9"/>
              <w:left w:val="single" w:sz="4" w:color="D9D9D9"/>
              <w:bottom w:val="single" w:sz="4" w:color="D9D9D9"/>
              <w:right w:val="single" w:sz="4" w:color="D9D9D9"/>
            </w:tcBorders>
            <w:shd w:fill="E8EDF2"/>
          </w:tcPr>
          <w:p>
            <w:pPr>
              <w:spacing w:after="100" w:before="100"/>
            </w:pPr>
            <w:r>
              <w:rPr>
                <w:b/>
                <w:sz w:val="18"/>
              </w:rPr>
              <w:t>Location</w:t>
            </w:r>
          </w:p>
        </w:tc>
        <w:tc>
          <w:tcPr>
            <w:tcW w:type="dxa" w:w="6768"/>
            <w:tcBorders>
              <w:top w:val="single" w:sz="4" w:color="D9D9D9"/>
              <w:left w:val="single" w:sz="4" w:color="D9D9D9"/>
              <w:bottom w:val="single" w:sz="4" w:color="D9D9D9"/>
              <w:right w:val="single" w:sz="4" w:color="D9D9D9"/>
            </w:tcBorders>
            <w:shd w:fill="E8EDF2"/>
          </w:tcPr>
          <w:p>
            <w:pPr>
              <w:spacing w:after="100" w:before="100"/>
            </w:pPr>
            <w:r>
              <w:rPr>
                <w:b/>
                <w:sz w:val="18"/>
              </w:rPr>
              <w:t>Data and protection</w:t>
            </w:r>
          </w:p>
        </w:tc>
      </w:tr>
      <w:tr>
        <w:trPr>
          <w:cantSplit/>
          <w:cantSplit/>
        </w:trPr>
        <w:tc>
          <w:tcPr>
            <w:tcW w:type="dxa" w:w="2736"/>
            <w:tcBorders>
              <w:top w:val="single" w:sz="4" w:color="D9D9D9"/>
              <w:left w:val="single" w:sz="4" w:color="D9D9D9"/>
              <w:bottom w:val="single" w:sz="4" w:color="D9D9D9"/>
              <w:right w:val="single" w:sz="4" w:color="D9D9D9"/>
            </w:tcBorders>
            <w:shd w:fill="FFFFFF"/>
          </w:tcPr>
          <w:p>
            <w:pPr>
              <w:spacing w:after="100" w:before="100"/>
            </w:pPr>
            <w:r>
              <w:rPr>
                <w:b w:val="0"/>
                <w:sz w:val="18"/>
              </w:rPr>
              <w:t>data/accounts.sqlite</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18"/>
              </w:rPr>
              <w:t>Google subject mappings usernames wallets encrypted profile fields encrypted wallet backups and expiring challenges</w:t>
            </w:r>
          </w:p>
        </w:tc>
      </w:tr>
      <w:tr>
        <w:trPr>
          <w:cantSplit/>
          <w:cantSplit/>
        </w:trPr>
        <w:tc>
          <w:tcPr>
            <w:tcW w:type="dxa" w:w="2736"/>
            <w:tcBorders>
              <w:top w:val="single" w:sz="4" w:color="D9D9D9"/>
              <w:left w:val="single" w:sz="4" w:color="D9D9D9"/>
              <w:bottom w:val="single" w:sz="4" w:color="D9D9D9"/>
              <w:right w:val="single" w:sz="4" w:color="D9D9D9"/>
            </w:tcBorders>
            <w:shd w:fill="F5F7F9"/>
          </w:tcPr>
          <w:p>
            <w:pPr>
              <w:spacing w:after="100" w:before="100"/>
            </w:pPr>
            <w:r>
              <w:rPr>
                <w:b w:val="0"/>
                <w:sz w:val="18"/>
              </w:rPr>
              <w:t>data/test-payments.sqlite</w:t>
            </w:r>
          </w:p>
        </w:tc>
        <w:tc>
          <w:tcPr>
            <w:tcW w:type="dxa" w:w="6768"/>
            <w:tcBorders>
              <w:top w:val="single" w:sz="4" w:color="D9D9D9"/>
              <w:left w:val="single" w:sz="4" w:color="D9D9D9"/>
              <w:bottom w:val="single" w:sz="4" w:color="D9D9D9"/>
              <w:right w:val="single" w:sz="4" w:color="D9D9D9"/>
            </w:tcBorders>
            <w:shd w:fill="F5F7F9"/>
          </w:tcPr>
          <w:p>
            <w:pPr>
              <w:spacing w:after="100" w:before="100"/>
            </w:pPr>
            <w:r>
              <w:rPr>
                <w:b w:val="0"/>
                <w:sz w:val="18"/>
              </w:rPr>
              <w:t>Trade to order mapping immutable terms amount receipt unique payment identity and payment time</w:t>
            </w:r>
          </w:p>
        </w:tc>
      </w:tr>
      <w:tr>
        <w:trPr>
          <w:cantSplit/>
          <w:cantSplit/>
        </w:trPr>
        <w:tc>
          <w:tcPr>
            <w:tcW w:type="dxa" w:w="2736"/>
            <w:tcBorders>
              <w:top w:val="single" w:sz="4" w:color="D9D9D9"/>
              <w:left w:val="single" w:sz="4" w:color="D9D9D9"/>
              <w:bottom w:val="single" w:sz="4" w:color="D9D9D9"/>
              <w:right w:val="single" w:sz="4" w:color="D9D9D9"/>
            </w:tcBorders>
            <w:shd w:fill="FFFFFF"/>
          </w:tcPr>
          <w:p>
            <w:pPr>
              <w:spacing w:after="100" w:before="100"/>
            </w:pPr>
            <w:r>
              <w:rPr>
                <w:b w:val="0"/>
                <w:sz w:val="18"/>
              </w:rPr>
              <w:t>Browser memory</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18"/>
              </w:rPr>
              <w:t>Google tokens and unlocked wallet signing material</w:t>
            </w:r>
          </w:p>
        </w:tc>
      </w:tr>
      <w:tr>
        <w:trPr>
          <w:cantSplit/>
          <w:cantSplit/>
        </w:trPr>
        <w:tc>
          <w:tcPr>
            <w:tcW w:type="dxa" w:w="2736"/>
            <w:tcBorders>
              <w:top w:val="single" w:sz="4" w:color="D9D9D9"/>
              <w:left w:val="single" w:sz="4" w:color="D9D9D9"/>
              <w:bottom w:val="single" w:sz="4" w:color="D9D9D9"/>
              <w:right w:val="single" w:sz="4" w:color="D9D9D9"/>
            </w:tcBorders>
            <w:shd w:fill="F5F7F9"/>
          </w:tcPr>
          <w:p>
            <w:pPr>
              <w:spacing w:after="100" w:before="100"/>
            </w:pPr>
            <w:r>
              <w:rPr>
                <w:b w:val="0"/>
                <w:sz w:val="18"/>
              </w:rPr>
              <w:t>Browser storage</w:t>
            </w:r>
          </w:p>
        </w:tc>
        <w:tc>
          <w:tcPr>
            <w:tcW w:type="dxa" w:w="6768"/>
            <w:tcBorders>
              <w:top w:val="single" w:sz="4" w:color="D9D9D9"/>
              <w:left w:val="single" w:sz="4" w:color="D9D9D9"/>
              <w:bottom w:val="single" w:sz="4" w:color="D9D9D9"/>
              <w:right w:val="single" w:sz="4" w:color="D9D9D9"/>
            </w:tcBorders>
            <w:shd w:fill="F5F7F9"/>
          </w:tcPr>
          <w:p>
            <w:pPr>
              <w:spacing w:after="100" w:before="100"/>
            </w:pPr>
            <w:r>
              <w:rPr>
                <w:b w:val="0"/>
                <w:sz w:val="18"/>
              </w:rPr>
              <w:t>Public deployment and transaction references preferences local preview and Matrix encryption state</w:t>
            </w:r>
          </w:p>
        </w:tc>
      </w:tr>
      <w:tr>
        <w:trPr>
          <w:cantSplit/>
          <w:cantSplit/>
        </w:trPr>
        <w:tc>
          <w:tcPr>
            <w:tcW w:type="dxa" w:w="2736"/>
            <w:tcBorders>
              <w:top w:val="single" w:sz="4" w:color="D9D9D9"/>
              <w:left w:val="single" w:sz="4" w:color="D9D9D9"/>
              <w:bottom w:val="single" w:sz="4" w:color="D9D9D9"/>
              <w:right w:val="single" w:sz="4" w:color="D9D9D9"/>
            </w:tcBorders>
            <w:shd w:fill="FFFFFF"/>
          </w:tcPr>
          <w:p>
            <w:pPr>
              <w:spacing w:after="100" w:before="100"/>
            </w:pPr>
            <w:r>
              <w:rPr>
                <w:b w:val="0"/>
                <w:sz w:val="18"/>
              </w:rPr>
              <w:t>Matrix homeserver</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18"/>
              </w:rPr>
              <w:t>Messaging account and room data according to homeserver policy</w:t>
            </w:r>
          </w:p>
        </w:tc>
      </w:tr>
      <w:tr>
        <w:trPr>
          <w:cantSplit/>
          <w:cantSplit/>
        </w:trPr>
        <w:tc>
          <w:tcPr>
            <w:tcW w:type="dxa" w:w="2736"/>
            <w:tcBorders>
              <w:top w:val="single" w:sz="4" w:color="D9D9D9"/>
              <w:left w:val="single" w:sz="4" w:color="D9D9D9"/>
              <w:bottom w:val="single" w:sz="4" w:color="D9D9D9"/>
              <w:right w:val="single" w:sz="4" w:color="D9D9D9"/>
            </w:tcBorders>
            <w:shd w:fill="F5F7F9"/>
          </w:tcPr>
          <w:p>
            <w:pPr>
              <w:spacing w:after="100" w:before="100"/>
            </w:pPr>
            <w:r>
              <w:rPr>
                <w:b w:val="0"/>
                <w:sz w:val="18"/>
              </w:rPr>
              <w:t>Public blockchain</w:t>
            </w:r>
          </w:p>
        </w:tc>
        <w:tc>
          <w:tcPr>
            <w:tcW w:type="dxa" w:w="6768"/>
            <w:tcBorders>
              <w:top w:val="single" w:sz="4" w:color="D9D9D9"/>
              <w:left w:val="single" w:sz="4" w:color="D9D9D9"/>
              <w:bottom w:val="single" w:sz="4" w:color="D9D9D9"/>
              <w:right w:val="single" w:sz="4" w:color="D9D9D9"/>
            </w:tcBorders>
            <w:shd w:fill="F5F7F9"/>
          </w:tcPr>
          <w:p>
            <w:pPr>
              <w:spacing w:after="100" w:before="100"/>
            </w:pPr>
            <w:r>
              <w:rPr>
                <w:b w:val="0"/>
                <w:sz w:val="18"/>
              </w:rPr>
              <w:t>Wallets native amounts escrow terms state and transaction records</w:t>
            </w:r>
          </w:p>
        </w:tc>
      </w:tr>
    </w:tbl>
    <w:p/>
    <w:p>
      <w:pPr>
        <w:pStyle w:val="Heading2"/>
      </w:pPr>
      <w:r>
        <w:t>Secrets and backups</w:t>
      </w:r>
    </w:p>
    <w:p>
      <w:r>
        <w:t>Keep API secrets, signing keys, the profile encryption key and databases out of Git, logs, screenshots and frontend-prefixed environment variables. PROFILE_ENCRYPTION_KEY protects private profile fields; it cannot unlock the wallet keystore. The wallet password protects the encrypted wallet backup. Neither key substitutes for the other. Store backups separately and test restoration on a disposable environment.</w:t>
      </w:r>
    </w:p>
    <w:p>
      <w:pPr>
        <w:pStyle w:val="Heading2"/>
      </w:pPr>
      <w:r>
        <w:t>Threats and controls</w:t>
      </w:r>
    </w:p>
    <w:p>
      <w:pPr>
        <w:pStyle w:val="ListBullet"/>
      </w:pPr>
      <w:r>
        <w:t>Account spoofing and replay: Google JWT checks plus short-lived single-use nonces and wallet proofs.</w:t>
      </w:r>
    </w:p>
    <w:p>
      <w:pPr>
        <w:pStyle w:val="ListBullet"/>
      </w:pPr>
      <w:r>
        <w:t>Wrong recipient or substituted escrow: address review, exact deployment checks and fixed contract destinations.</w:t>
      </w:r>
    </w:p>
    <w:p>
      <w:pPr>
        <w:pStyle w:val="ListBullet"/>
      </w:pPr>
      <w:r>
        <w:t>Forged payment claims: HMAC checks plus independent authenticated payment and order fetches.</w:t>
      </w:r>
    </w:p>
    <w:p>
      <w:pPr>
        <w:pStyle w:val="ListBullet"/>
      </w:pPr>
      <w:r>
        <w:t>Duplicate payment or payout: database uniqueness, stored order identity and on-chain state and nullifiers.</w:t>
      </w:r>
    </w:p>
    <w:p>
      <w:pPr>
        <w:pStyle w:val="ListBullet"/>
      </w:pPr>
      <w:r>
        <w:t>Client compromise: explicit approvals and memory locks reduce exposure, but an unlocked browser key remains vulnerable to malicious application code.</w:t>
      </w:r>
    </w:p>
    <w:p>
      <w:pPr>
        <w:pStyle w:val="ListBullet"/>
      </w:pPr>
      <w:r>
        <w:t>Service failure: saved transaction references and resumable payment checks support recovery, but accepted P2P funds can still lock.</w:t>
      </w:r>
    </w:p>
    <w:p>
      <w:pPr>
        <w:pStyle w:val="Heading2"/>
      </w:pPr>
      <w:r>
        <w:t>Additional relay endpoints</w:t>
      </w:r>
    </w:p>
    <w:p>
      <w:r>
        <w:t>GET /api/health, /api/deployment and /api/mainnet-deployment provide status. Deployment artifact and registration routes support reviewed setup. GET /api/prices provides market references; GET /api/p2p/quote is a separate read-only oracle adapter that fails closed when unconfigured. Legacy /api/requests routes handle recipient requests, sender authorization and rejection. A price oracle is not a bank-payment verifier.</w:t>
      </w:r>
    </w:p>
    <w:p>
      <w:r>
        <w:br w:type="page"/>
      </w:r>
    </w:p>
    <w:p>
      <w:pPr>
        <w:pStyle w:val="Heading1"/>
      </w:pPr>
      <w:r>
        <w:t>Local installation and configuration</w:t>
      </w:r>
    </w:p>
    <w:p>
      <w:r>
        <w:t>Use a Node.js version supporting the project’s built-in node:sqlite and process.loadEnvFile APIs; Node 24 is the recommended development target. Install dependencies from the repository root. No local blockchain is started by the ordinary app command; normal transactions use MST RPC. Hardhat tests use an isolated local EVM.</w:t>
      </w:r>
    </w:p>
    <w:p>
      <w:pPr>
        <w:spacing w:after="180"/>
      </w:pPr>
      <w:r>
        <w:rPr>
          <w:rFonts w:ascii="Consolas" w:hAnsi="Consolas"/>
          <w:sz w:val="18"/>
        </w:rPr>
        <w:t>npm install</w:t>
        <w:br/>
        <w:t>npm run compile</w:t>
        <w:br/>
        <w:t>npm run build:services</w:t>
        <w:br/>
        <w:t>npm start</w:t>
      </w:r>
    </w:p>
    <w:p>
      <w:r>
        <w:t>Frontend: http://localhost:5173. Relay: http://127.0.0.1:3001. For development with watchers, use npm run dev. To run individually, use npm run dev -w server and npm run dev -w frontend. Vite proxies /api to the local relay. Restart the relay after changing its environment.</w:t>
      </w:r>
    </w:p>
    <w:p>
      <w:pPr>
        <w:pStyle w:val="Heading2"/>
      </w:pPr>
      <w:r>
        <w:t>Server settings in the ignored root environment file</w:t>
      </w:r>
    </w:p>
    <w:tbl>
      <w:tblPr>
        <w:tblW w:type="auto" w:w="0"/>
        <w:tblLayout w:type="fixed"/>
        <w:tblLook w:firstColumn="1" w:firstRow="1" w:lastColumn="0" w:lastRow="0" w:noHBand="0" w:noVBand="1" w:val="04A0"/>
      </w:tblPr>
      <w:tblGrid>
        <w:gridCol w:w="3600"/>
        <w:gridCol w:w="5904"/>
      </w:tblGrid>
      <w:tr>
        <w:trPr>
          <w:cantSplit/>
          <w:cantSplit/>
          <w:tblHeader/>
        </w:trPr>
        <w:tc>
          <w:tcPr>
            <w:tcW w:type="dxa" w:w="3600"/>
            <w:tcBorders>
              <w:top w:val="single" w:sz="4" w:color="D9D9D9"/>
              <w:left w:val="single" w:sz="4" w:color="D9D9D9"/>
              <w:bottom w:val="single" w:sz="4" w:color="D9D9D9"/>
              <w:right w:val="single" w:sz="4" w:color="D9D9D9"/>
            </w:tcBorders>
            <w:shd w:fill="E8EDF2"/>
          </w:tcPr>
          <w:p>
            <w:pPr>
              <w:spacing w:after="100" w:before="100"/>
            </w:pPr>
            <w:r>
              <w:rPr>
                <w:b/>
                <w:sz w:val="18"/>
              </w:rPr>
              <w:t>Variable</w:t>
            </w:r>
          </w:p>
        </w:tc>
        <w:tc>
          <w:tcPr>
            <w:tcW w:type="dxa" w:w="5904"/>
            <w:tcBorders>
              <w:top w:val="single" w:sz="4" w:color="D9D9D9"/>
              <w:left w:val="single" w:sz="4" w:color="D9D9D9"/>
              <w:bottom w:val="single" w:sz="4" w:color="D9D9D9"/>
              <w:right w:val="single" w:sz="4" w:color="D9D9D9"/>
            </w:tcBorders>
            <w:shd w:fill="E8EDF2"/>
          </w:tcPr>
          <w:p>
            <w:pPr>
              <w:spacing w:after="100" w:before="100"/>
            </w:pPr>
            <w:r>
              <w:rPr>
                <w:b/>
                <w:sz w:val="18"/>
              </w:rPr>
              <w:t>Purpose</w:t>
            </w:r>
          </w:p>
        </w:tc>
      </w:tr>
      <w:tr>
        <w:trPr>
          <w:cantSplit/>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18"/>
              </w:rPr>
              <w:t>GOOGLE_CLIENT_ID</w:t>
            </w:r>
          </w:p>
        </w:tc>
        <w:tc>
          <w:tcPr>
            <w:tcW w:type="dxa" w:w="5904"/>
            <w:tcBorders>
              <w:top w:val="single" w:sz="4" w:color="D9D9D9"/>
              <w:left w:val="single" w:sz="4" w:color="D9D9D9"/>
              <w:bottom w:val="single" w:sz="4" w:color="D9D9D9"/>
              <w:right w:val="single" w:sz="4" w:color="D9D9D9"/>
            </w:tcBorders>
            <w:shd w:fill="FFFFFF"/>
          </w:tcPr>
          <w:p>
            <w:pPr>
              <w:spacing w:after="100" w:before="100"/>
            </w:pPr>
            <w:r>
              <w:rPr>
                <w:b w:val="0"/>
                <w:sz w:val="18"/>
              </w:rPr>
              <w:t>Public OAuth Web Client ID expected by server JWT validation</w:t>
            </w:r>
          </w:p>
        </w:tc>
      </w:tr>
      <w:tr>
        <w:trPr>
          <w:cantSplit/>
          <w:cantSplit/>
        </w:trPr>
        <w:tc>
          <w:tcPr>
            <w:tcW w:type="dxa" w:w="3600"/>
            <w:tcBorders>
              <w:top w:val="single" w:sz="4" w:color="D9D9D9"/>
              <w:left w:val="single" w:sz="4" w:color="D9D9D9"/>
              <w:bottom w:val="single" w:sz="4" w:color="D9D9D9"/>
              <w:right w:val="single" w:sz="4" w:color="D9D9D9"/>
            </w:tcBorders>
            <w:shd w:fill="F5F7F9"/>
          </w:tcPr>
          <w:p>
            <w:pPr>
              <w:spacing w:after="100" w:before="100"/>
            </w:pPr>
            <w:r>
              <w:rPr>
                <w:b w:val="0"/>
                <w:sz w:val="18"/>
              </w:rPr>
              <w:t>PROFILE_ENCRYPTION_KEY</w:t>
            </w:r>
          </w:p>
        </w:tc>
        <w:tc>
          <w:tcPr>
            <w:tcW w:type="dxa" w:w="5904"/>
            <w:tcBorders>
              <w:top w:val="single" w:sz="4" w:color="D9D9D9"/>
              <w:left w:val="single" w:sz="4" w:color="D9D9D9"/>
              <w:bottom w:val="single" w:sz="4" w:color="D9D9D9"/>
              <w:right w:val="single" w:sz="4" w:color="D9D9D9"/>
            </w:tcBorders>
            <w:shd w:fill="F5F7F9"/>
          </w:tcPr>
          <w:p>
            <w:pPr>
              <w:spacing w:after="100" w:before="100"/>
            </w:pPr>
            <w:r>
              <w:rPr>
                <w:b w:val="0"/>
                <w:sz w:val="18"/>
              </w:rPr>
              <w:t>Stable private 32-byte key encoded as 64 hex characters</w:t>
            </w:r>
          </w:p>
        </w:tc>
      </w:tr>
      <w:tr>
        <w:trPr>
          <w:cantSplit/>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18"/>
              </w:rPr>
              <w:t>MST_RPC_URL</w:t>
            </w:r>
          </w:p>
        </w:tc>
        <w:tc>
          <w:tcPr>
            <w:tcW w:type="dxa" w:w="5904"/>
            <w:tcBorders>
              <w:top w:val="single" w:sz="4" w:color="D9D9D9"/>
              <w:left w:val="single" w:sz="4" w:color="D9D9D9"/>
              <w:bottom w:val="single" w:sz="4" w:color="D9D9D9"/>
              <w:right w:val="single" w:sz="4" w:color="D9D9D9"/>
            </w:tcBorders>
            <w:shd w:fill="FFFFFF"/>
          </w:tcPr>
          <w:p>
            <w:pPr>
              <w:spacing w:after="100" w:before="100"/>
            </w:pPr>
            <w:r>
              <w:rPr>
                <w:b w:val="0"/>
                <w:sz w:val="18"/>
              </w:rPr>
              <w:t>Testnet RPC override</w:t>
            </w:r>
          </w:p>
        </w:tc>
      </w:tr>
      <w:tr>
        <w:trPr>
          <w:cantSplit/>
          <w:cantSplit/>
        </w:trPr>
        <w:tc>
          <w:tcPr>
            <w:tcW w:type="dxa" w:w="3600"/>
            <w:tcBorders>
              <w:top w:val="single" w:sz="4" w:color="D9D9D9"/>
              <w:left w:val="single" w:sz="4" w:color="D9D9D9"/>
              <w:bottom w:val="single" w:sz="4" w:color="D9D9D9"/>
              <w:right w:val="single" w:sz="4" w:color="D9D9D9"/>
            </w:tcBorders>
            <w:shd w:fill="F5F7F9"/>
          </w:tcPr>
          <w:p>
            <w:pPr>
              <w:spacing w:after="100" w:before="100"/>
            </w:pPr>
            <w:r>
              <w:rPr>
                <w:b w:val="0"/>
                <w:sz w:val="18"/>
              </w:rPr>
              <w:t>MST_MAINNET_RPC_URL</w:t>
            </w:r>
          </w:p>
        </w:tc>
        <w:tc>
          <w:tcPr>
            <w:tcW w:type="dxa" w:w="5904"/>
            <w:tcBorders>
              <w:top w:val="single" w:sz="4" w:color="D9D9D9"/>
              <w:left w:val="single" w:sz="4" w:color="D9D9D9"/>
              <w:bottom w:val="single" w:sz="4" w:color="D9D9D9"/>
              <w:right w:val="single" w:sz="4" w:color="D9D9D9"/>
            </w:tcBorders>
            <w:shd w:fill="F5F7F9"/>
          </w:tcPr>
          <w:p>
            <w:pPr>
              <w:spacing w:after="100" w:before="100"/>
            </w:pPr>
            <w:r>
              <w:rPr>
                <w:b w:val="0"/>
                <w:sz w:val="18"/>
              </w:rPr>
              <w:t>Mainnet RPC for separate setup</w:t>
            </w:r>
          </w:p>
        </w:tc>
      </w:tr>
      <w:tr>
        <w:trPr>
          <w:cantSplit/>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18"/>
              </w:rPr>
              <w:t>FRONTEND_ORIGIN</w:t>
            </w:r>
          </w:p>
        </w:tc>
        <w:tc>
          <w:tcPr>
            <w:tcW w:type="dxa" w:w="5904"/>
            <w:tcBorders>
              <w:top w:val="single" w:sz="4" w:color="D9D9D9"/>
              <w:left w:val="single" w:sz="4" w:color="D9D9D9"/>
              <w:bottom w:val="single" w:sz="4" w:color="D9D9D9"/>
              <w:right w:val="single" w:sz="4" w:color="D9D9D9"/>
            </w:tcBorders>
            <w:shd w:fill="FFFFFF"/>
          </w:tcPr>
          <w:p>
            <w:pPr>
              <w:spacing w:after="100" w:before="100"/>
            </w:pPr>
            <w:r>
              <w:rPr>
                <w:b w:val="0"/>
                <w:sz w:val="18"/>
              </w:rPr>
              <w:t>Allowed frontend origins separated by commas</w:t>
            </w:r>
          </w:p>
        </w:tc>
      </w:tr>
      <w:tr>
        <w:trPr>
          <w:cantSplit/>
          <w:cantSplit/>
        </w:trPr>
        <w:tc>
          <w:tcPr>
            <w:tcW w:type="dxa" w:w="3600"/>
            <w:tcBorders>
              <w:top w:val="single" w:sz="4" w:color="D9D9D9"/>
              <w:left w:val="single" w:sz="4" w:color="D9D9D9"/>
              <w:bottom w:val="single" w:sz="4" w:color="D9D9D9"/>
              <w:right w:val="single" w:sz="4" w:color="D9D9D9"/>
            </w:tcBorders>
            <w:shd w:fill="F5F7F9"/>
          </w:tcPr>
          <w:p>
            <w:pPr>
              <w:spacing w:after="100" w:before="100"/>
            </w:pPr>
            <w:r>
              <w:rPr>
                <w:b w:val="0"/>
                <w:sz w:val="18"/>
              </w:rPr>
              <w:t>RAZORPAY_TEST_KEY_ID</w:t>
            </w:r>
          </w:p>
        </w:tc>
        <w:tc>
          <w:tcPr>
            <w:tcW w:type="dxa" w:w="5904"/>
            <w:tcBorders>
              <w:top w:val="single" w:sz="4" w:color="D9D9D9"/>
              <w:left w:val="single" w:sz="4" w:color="D9D9D9"/>
              <w:bottom w:val="single" w:sz="4" w:color="D9D9D9"/>
              <w:right w:val="single" w:sz="4" w:color="D9D9D9"/>
            </w:tcBorders>
            <w:shd w:fill="F5F7F9"/>
          </w:tcPr>
          <w:p>
            <w:pPr>
              <w:spacing w:after="100" w:before="100"/>
            </w:pPr>
            <w:r>
              <w:rPr>
                <w:b w:val="0"/>
                <w:sz w:val="18"/>
              </w:rPr>
              <w:t>Razorpay Key ID beginning rzp_test_</w:t>
            </w:r>
          </w:p>
        </w:tc>
      </w:tr>
      <w:tr>
        <w:trPr>
          <w:cantSplit/>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18"/>
              </w:rPr>
              <w:t>RAZORPAY_TEST_KEY_SECRET</w:t>
            </w:r>
          </w:p>
        </w:tc>
        <w:tc>
          <w:tcPr>
            <w:tcW w:type="dxa" w:w="5904"/>
            <w:tcBorders>
              <w:top w:val="single" w:sz="4" w:color="D9D9D9"/>
              <w:left w:val="single" w:sz="4" w:color="D9D9D9"/>
              <w:bottom w:val="single" w:sz="4" w:color="D9D9D9"/>
              <w:right w:val="single" w:sz="4" w:color="D9D9D9"/>
            </w:tcBorders>
            <w:shd w:fill="FFFFFF"/>
          </w:tcPr>
          <w:p>
            <w:pPr>
              <w:spacing w:after="100" w:before="100"/>
            </w:pPr>
            <w:r>
              <w:rPr>
                <w:b w:val="0"/>
                <w:sz w:val="18"/>
              </w:rPr>
              <w:t>Private Test Mode API secret</w:t>
            </w:r>
          </w:p>
        </w:tc>
      </w:tr>
      <w:tr>
        <w:trPr>
          <w:cantSplit/>
          <w:cantSplit/>
        </w:trPr>
        <w:tc>
          <w:tcPr>
            <w:tcW w:type="dxa" w:w="3600"/>
            <w:tcBorders>
              <w:top w:val="single" w:sz="4" w:color="D9D9D9"/>
              <w:left w:val="single" w:sz="4" w:color="D9D9D9"/>
              <w:bottom w:val="single" w:sz="4" w:color="D9D9D9"/>
              <w:right w:val="single" w:sz="4" w:color="D9D9D9"/>
            </w:tcBorders>
            <w:shd w:fill="F5F7F9"/>
          </w:tcPr>
          <w:p>
            <w:pPr>
              <w:spacing w:after="100" w:before="100"/>
            </w:pPr>
            <w:r>
              <w:rPr>
                <w:b w:val="0"/>
                <w:sz w:val="18"/>
              </w:rPr>
              <w:t>TEST_PAYMENT_ATTESTOR_KEY</w:t>
            </w:r>
          </w:p>
        </w:tc>
        <w:tc>
          <w:tcPr>
            <w:tcW w:type="dxa" w:w="5904"/>
            <w:tcBorders>
              <w:top w:val="single" w:sz="4" w:color="D9D9D9"/>
              <w:left w:val="single" w:sz="4" w:color="D9D9D9"/>
              <w:bottom w:val="single" w:sz="4" w:color="D9D9D9"/>
              <w:right w:val="single" w:sz="4" w:color="D9D9D9"/>
            </w:tcBorders>
            <w:shd w:fill="F5F7F9"/>
          </w:tcPr>
          <w:p>
            <w:pPr>
              <w:spacing w:after="100" w:before="100"/>
            </w:pPr>
            <w:r>
              <w:rPr>
                <w:b w:val="0"/>
                <w:sz w:val="18"/>
              </w:rPr>
              <w:t>Dedicated random test signing key never funded</w:t>
            </w:r>
          </w:p>
        </w:tc>
      </w:tr>
      <w:tr>
        <w:trPr>
          <w:cantSplit/>
          <w:cantSplit/>
        </w:trPr>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18"/>
              </w:rPr>
              <w:t>RAZORPAY_TEST_WEBHOOK_SECRET</w:t>
            </w:r>
          </w:p>
        </w:tc>
        <w:tc>
          <w:tcPr>
            <w:tcW w:type="dxa" w:w="5904"/>
            <w:tcBorders>
              <w:top w:val="single" w:sz="4" w:color="D9D9D9"/>
              <w:left w:val="single" w:sz="4" w:color="D9D9D9"/>
              <w:bottom w:val="single" w:sz="4" w:color="D9D9D9"/>
              <w:right w:val="single" w:sz="4" w:color="D9D9D9"/>
            </w:tcBorders>
            <w:shd w:fill="FFFFFF"/>
          </w:tcPr>
          <w:p>
            <w:pPr>
              <w:spacing w:after="100" w:before="100"/>
            </w:pPr>
            <w:r>
              <w:rPr>
                <w:b w:val="0"/>
                <w:sz w:val="18"/>
              </w:rPr>
              <w:t>Optional separate webhook signing secret</w:t>
            </w:r>
          </w:p>
        </w:tc>
      </w:tr>
    </w:tbl>
    <w:p/>
    <w:p>
      <w:pPr>
        <w:spacing w:after="180"/>
      </w:pPr>
      <w:r>
        <w:rPr>
          <w:rFonts w:ascii="Consolas" w:hAnsi="Consolas"/>
          <w:sz w:val="18"/>
        </w:rPr>
        <w:t>node scripts/configure-google.mjs YOUR_PUBLIC_CLIENT_ID</w:t>
        <w:br/>
        <w:t>node scripts/configure-test-payments.mjs</w:t>
      </w:r>
    </w:p>
    <w:p>
      <w:r>
        <w:t>The Google helper configures the public client ID and profile encryption setup. The test helper creates a dedicated local attestor without printing its key. These helpers were used during development; do not rotate keys casually for an existing database or escrow.</w:t>
      </w:r>
    </w:p>
    <w:p>
      <w:r>
        <w:t>In Google Cloud allow the exact JavaScript origin, including host and port. localhost and 127.0.0.1 are different origins. Use an OAuth Web application client and add permitted test users when appropriate. Optional frontend Matrix URL: VITE_MATRIX_HOMESERVER in frontend/.env.local. Never put payment secrets or private keys in VITE_ variables.</w:t>
      </w:r>
    </w:p>
    <w:p>
      <w:r>
        <w:br w:type="page"/>
      </w:r>
    </w:p>
    <w:p>
      <w:pPr>
        <w:pStyle w:val="Heading1"/>
      </w:pPr>
      <w:r>
        <w:t>Deployment and operations</w:t>
      </w:r>
    </w:p>
    <w:p>
      <w:pPr>
        <w:pStyle w:val="Heading2"/>
      </w:pPr>
      <w:r>
        <w:t>Frontend and relay</w:t>
      </w:r>
    </w:p>
    <w:p>
      <w:r>
        <w:t>Build with npm run build. Host the frontend through a service that supports SPA routes, required public assets and API forwarding. The current relay uses persistent SQLite and is bound to loopback locally. Deploy it behind a controlled HTTPS reverse proxy with persistent storage and an appropriate process manager. Do not assume the historical hosted Sepolia relay implements these new APIs. No production redeployment was performed by this work.</w:t>
      </w:r>
    </w:p>
    <w:p>
      <w:pPr>
        <w:pStyle w:val="Heading2"/>
      </w:pPr>
      <w:r>
        <w:t>Matrix on a Linux host</w:t>
      </w:r>
    </w:p>
    <w:p>
      <w:r>
        <w:t>The prepared Docker stack can run separately from the frontend and relay, including on an AWS EC2 Linux instance. Select resources after measuring users, media, synchronization and encryption load; no current instance pricing or credit guarantee is asserted here. Provide a stable domain, HTTPS, disk capacity, health monitoring and backups. Preserve the Matrix server name, signing key, PostgreSQL database and media store. Public registration is disabled in the prepared configuration.</w:t>
      </w:r>
    </w:p>
    <w:p>
      <w:pPr>
        <w:pStyle w:val="Heading2"/>
      </w:pPr>
      <w:r>
        <w:t>Razorpay Test Mode operations</w:t>
      </w:r>
    </w:p>
    <w:p>
      <w:r>
        <w:t>Configure test credentials privately, enable the intended test capture behavior and verify that the account supports the selected simulated payment method. The local Verify endpoint can fetch payment status without public webhook delivery. For webhooks, expose only the intended relay endpoint over public HTTPS and register payment.captured and order.paid in the Test Dashboard. Set a separate webhook secret and restart the relay.</w:t>
      </w:r>
    </w:p>
    <w:p>
      <w:r>
        <w:t>If remote order creation times out, the service reserves the request and refuses blind recreation. Reconcile the stored receipt with the Test Dashboard. A manual reconciliation API is not implemented. For a disposable demo, deliberately return or cancel its test allocation and start a fresh offer after checking the remote state.</w:t>
      </w:r>
    </w:p>
    <w:p>
      <w:pPr>
        <w:pStyle w:val="Heading2"/>
      </w:pPr>
      <w:r>
        <w:t>Contracts and mainnet boundary</w:t>
      </w:r>
    </w:p>
    <w:p>
      <w:r>
        <w:t>The frontend can deploy reviewed test contracts through an approved user wallet. Mainnet deployment tooling exists for separate deployment records; that does not activate native P2P on Mainnet. The TestTrade constructor rejects chain 4646. Funded mainnet deployment requires the owner’s deliberate action and separate review. Never connect mocked INR to valuable mainnet token release.</w:t>
      </w:r>
    </w:p>
    <w:p>
      <w:pPr>
        <w:pStyle w:val="Heading2"/>
      </w:pPr>
      <w:r>
        <w:t>Operational checks</w:t>
      </w:r>
    </w:p>
    <w:p>
      <w:pPr>
        <w:pStyle w:val="ListBullet"/>
      </w:pPr>
      <w:r>
        <w:t>Check relay health, test-payment configuration and the actual RPC chain ID.</w:t>
      </w:r>
    </w:p>
    <w:p>
      <w:pPr>
        <w:pStyle w:val="ListBullet"/>
      </w:pPr>
      <w:r>
        <w:t>Monitor failed verification, uncertain orders and paid-but-unsettled test trades without logging complete evidence.</w:t>
      </w:r>
    </w:p>
    <w:p>
      <w:pPr>
        <w:pStyle w:val="ListBullet"/>
      </w:pPr>
      <w:r>
        <w:t>Back up SQLite consistently and preserve stable encryption and attestor keys.</w:t>
      </w:r>
    </w:p>
    <w:p>
      <w:pPr>
        <w:pStyle w:val="ListBullet"/>
      </w:pPr>
      <w:r>
        <w:t>Test restore, provider outage and browser reload recovery using disposable test accounts.</w:t>
      </w:r>
    </w:p>
    <w:p>
      <w:pPr>
        <w:pStyle w:val="ListBullet"/>
      </w:pPr>
      <w:r>
        <w:t>Keep signing approvals explicit and review dependencies, TLS and external script policies before publication.</w:t>
      </w:r>
    </w:p>
    <w:p>
      <w:r>
        <w:br w:type="page"/>
      </w:r>
    </w:p>
    <w:p>
      <w:pPr>
        <w:pStyle w:val="Heading1"/>
      </w:pPr>
      <w:r>
        <w:t>Testing and troubleshooting</w:t>
      </w:r>
    </w:p>
    <w:p>
      <w:pPr>
        <w:spacing w:after="180"/>
      </w:pPr>
      <w:r>
        <w:rPr>
          <w:rFonts w:ascii="Consolas" w:hAnsi="Consolas"/>
          <w:sz w:val="18"/>
        </w:rPr>
        <w:t>npm run test -w contracts</w:t>
        <w:br/>
        <w:t>npm run test -w server</w:t>
        <w:br/>
        <w:t>npm run test:messenger</w:t>
        <w:br/>
        <w:t>npm run build -w server</w:t>
        <w:br/>
        <w:t>npm run build -w frontend</w:t>
      </w:r>
    </w:p>
    <w:p>
      <w:pPr>
        <w:pStyle w:val="Heading2"/>
      </w:pPr>
      <w:r>
        <w:t>Evidence from the development session</w:t>
      </w:r>
    </w:p>
    <w:p>
      <w:r>
        <w:t>The full contract suite passed 84 tests before the additional integrated test was added. The updated native trading suite then passed six tests, including the new integrated flow. Server tests passed 34 tests and frontend tests passed 54 tests. Server and frontend builds passed. These are recorded results, not a claim that all tests were rerun during document production. Landing page branding was also checked in the browser.</w:t>
      </w:r>
    </w:p>
    <w:p>
      <w:r>
        <w:t>The integrated test uses a simulated Razorpay HTTP service and a local EVM with MST Testnet’s chain ID. A pending payment preserves the deposit; a captured payment generates a valid server attestation; submitting it transfers the exact native amount to the buyer. This verifies local integration without claiming actual Razorpay account or public testnet execution.</w:t>
      </w:r>
    </w:p>
    <w:p>
      <w:pPr>
        <w:pStyle w:val="Heading2"/>
      </w:pPr>
      <w:r>
        <w:t>Verification still needed</w:t>
      </w:r>
    </w:p>
    <w:p>
      <w:pPr>
        <w:pStyle w:val="ListBullet"/>
      </w:pPr>
      <w:r>
        <w:t>Real Google signup, second-device restoration and an approved public MST transaction.</w:t>
      </w:r>
    </w:p>
    <w:p>
      <w:pPr>
        <w:pStyle w:val="ListBullet"/>
      </w:pPr>
      <w:r>
        <w:t>Two Matrix accounts exchanging encrypted messages and attachments across devices.</w:t>
      </w:r>
    </w:p>
    <w:p>
      <w:pPr>
        <w:pStyle w:val="ListBullet"/>
      </w:pPr>
      <w:r>
        <w:t>Actual Razorpay Test Checkout with the owner’s test credentials and two funded test wallets.</w:t>
      </w:r>
    </w:p>
    <w:p>
      <w:pPr>
        <w:pStyle w:val="ListBullet"/>
      </w:pPr>
      <w:r>
        <w:t>Public test webhook delivery and recovery after network failure or missed callbacks.</w:t>
      </w:r>
    </w:p>
    <w:p>
      <w:pPr>
        <w:pStyle w:val="ListBullet"/>
      </w:pPr>
      <w:r>
        <w:t>Independent security review before using valuable assets or operating live fiat trading.</w:t>
      </w:r>
    </w:p>
    <w:p>
      <w:pPr>
        <w:pStyle w:val="Heading2"/>
      </w:pPr>
      <w:r>
        <w:t>Common problems</w:t>
      </w:r>
    </w:p>
    <w:tbl>
      <w:tblPr>
        <w:tblW w:type="auto" w:w="0"/>
        <w:tblLayout w:type="fixed"/>
        <w:tblLook w:firstColumn="1" w:firstRow="1" w:lastColumn="0" w:lastRow="0" w:noHBand="0" w:noVBand="1" w:val="04A0"/>
      </w:tblPr>
      <w:tblGrid>
        <w:gridCol w:w="2880"/>
        <w:gridCol w:w="6624"/>
      </w:tblGrid>
      <w:tr>
        <w:trPr>
          <w:cantSplit/>
          <w:cantSplit/>
          <w:tblHeader/>
        </w:trPr>
        <w:tc>
          <w:tcPr>
            <w:tcW w:type="dxa" w:w="2880"/>
            <w:tcBorders>
              <w:top w:val="single" w:sz="4" w:color="D9D9D9"/>
              <w:left w:val="single" w:sz="4" w:color="D9D9D9"/>
              <w:bottom w:val="single" w:sz="4" w:color="D9D9D9"/>
              <w:right w:val="single" w:sz="4" w:color="D9D9D9"/>
            </w:tcBorders>
            <w:shd w:fill="E8EDF2"/>
          </w:tcPr>
          <w:p>
            <w:pPr>
              <w:spacing w:after="100" w:before="100"/>
            </w:pPr>
            <w:r>
              <w:rPr>
                <w:b/>
                <w:sz w:val="18"/>
              </w:rPr>
              <w:t>Symptom</w:t>
            </w:r>
          </w:p>
        </w:tc>
        <w:tc>
          <w:tcPr>
            <w:tcW w:type="dxa" w:w="6624"/>
            <w:tcBorders>
              <w:top w:val="single" w:sz="4" w:color="D9D9D9"/>
              <w:left w:val="single" w:sz="4" w:color="D9D9D9"/>
              <w:bottom w:val="single" w:sz="4" w:color="D9D9D9"/>
              <w:right w:val="single" w:sz="4" w:color="D9D9D9"/>
            </w:tcBorders>
            <w:shd w:fill="E8EDF2"/>
          </w:tcPr>
          <w:p>
            <w:pPr>
              <w:spacing w:after="100" w:before="100"/>
            </w:pPr>
            <w:r>
              <w:rPr>
                <w:b/>
                <w:sz w:val="18"/>
              </w:rPr>
              <w:t>Checks and action</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Local page unavailable</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Start frontend on 5173 and relay on 3001; inspect process logs</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Google button fails</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Check public Client ID exact allowed origin test users and external script policies</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Wallet cannot unlock</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Use the original password and encrypted backup; Google alone cannot reset it</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Chat remains local</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Configure a reachable homeserver and sign in to Matrix separately</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Test payments unconfigured</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Add Test Mode API keys plus dedicated attestor and restart relay</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No tokens released</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Check capture status exact order trade window wallet approval gas and receipt</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Submitted transaction pending</w:t>
            </w:r>
          </w:p>
        </w:tc>
        <w:tc>
          <w:tcPr>
            <w:tcW w:type="dxa" w:w="6624"/>
            <w:tcBorders>
              <w:top w:val="single" w:sz="4" w:color="D9D9D9"/>
              <w:left w:val="single" w:sz="4" w:color="D9D9D9"/>
              <w:bottom w:val="single" w:sz="4" w:color="D9D9D9"/>
              <w:right w:val="single" w:sz="4" w:color="D9D9D9"/>
            </w:tcBorders>
            <w:shd w:fill="FFFFFF"/>
          </w:tcPr>
          <w:p>
            <w:pPr>
              <w:spacing w:after="100" w:before="100"/>
            </w:pPr>
            <w:r>
              <w:rPr>
                <w:b w:val="0"/>
                <w:sz w:val="18"/>
              </w:rPr>
              <w:t>Check its saved hash and wallet nonce before resubmitting</w:t>
            </w:r>
          </w:p>
        </w:tc>
      </w:tr>
      <w:tr>
        <w:trPr>
          <w:cantSplit/>
          <w:cantSplit/>
        </w:trPr>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18"/>
              </w:rPr>
              <w:t>Accepted trade cannot refund</w:t>
            </w:r>
          </w:p>
        </w:tc>
        <w:tc>
          <w:tcPr>
            <w:tcW w:type="dxa" w:w="6624"/>
            <w:tcBorders>
              <w:top w:val="single" w:sz="4" w:color="D9D9D9"/>
              <w:left w:val="single" w:sz="4" w:color="D9D9D9"/>
              <w:bottom w:val="single" w:sz="4" w:color="D9D9D9"/>
              <w:right w:val="single" w:sz="4" w:color="D9D9D9"/>
            </w:tcBorders>
            <w:shd w:fill="F5F7F9"/>
          </w:tcPr>
          <w:p>
            <w:pPr>
              <w:spacing w:after="100" w:before="100"/>
            </w:pPr>
            <w:r>
              <w:rPr>
                <w:b w:val="0"/>
                <w:sz w:val="18"/>
              </w:rPr>
              <w:t>Seller timeout refund is intentionally absent; buyer can return the allocation</w:t>
            </w:r>
          </w:p>
        </w:tc>
      </w:tr>
    </w:tbl>
    <w:p/>
    <w:p>
      <w:r>
        <w:br w:type="page"/>
      </w:r>
    </w:p>
    <w:p>
      <w:pPr>
        <w:pStyle w:val="Heading1"/>
      </w:pPr>
      <w:r>
        <w:t>Roadmap and reference material</w:t>
      </w:r>
    </w:p>
    <w:p>
      <w:pPr>
        <w:pStyle w:val="Heading2"/>
      </w:pPr>
      <w:r>
        <w:t>Immediate completion work</w:t>
      </w:r>
    </w:p>
    <w:p>
      <w:pPr>
        <w:pStyle w:val="ListBullet"/>
      </w:pPr>
      <w:r>
        <w:t>Activate owner-provided Razorpay Test Mode credentials and demonstrate public tMSTC funding and release with two wallets.</w:t>
      </w:r>
    </w:p>
    <w:p>
      <w:pPr>
        <w:pStyle w:val="ListBullet"/>
      </w:pPr>
      <w:r>
        <w:t>Connect the teammate’s Matrix homeserver and validate accounts, TLS, encryption and recovery.</w:t>
      </w:r>
    </w:p>
    <w:p>
      <w:pPr>
        <w:pStyle w:val="ListBullet"/>
      </w:pPr>
      <w:r>
        <w:t>Complete verification and backup setup UI for Matrix devices.</w:t>
      </w:r>
    </w:p>
    <w:p>
      <w:pPr>
        <w:pStyle w:val="ListBullet"/>
      </w:pPr>
      <w:r>
        <w:t>Document operational recovery for uncertain remote orders and stuck transactions.</w:t>
      </w:r>
    </w:p>
    <w:p>
      <w:pPr>
        <w:pStyle w:val="ListBullet"/>
      </w:pPr>
      <w:r>
        <w:t>Provide durable deployment, backups and monitoring for the new relay.</w:t>
      </w:r>
    </w:p>
    <w:p>
      <w:pPr>
        <w:pStyle w:val="Heading2"/>
      </w:pPr>
      <w:r>
        <w:t>Future live trading and ZK proofs</w:t>
      </w:r>
    </w:p>
    <w:p>
      <w:r>
        <w:t>The intended future model is real native MSTC on MST Mainnet with INR sent directly to each seller’s linked bank account. Linking a UPI ID does not grant access to bank credits. This model needs a provider that accepts the exact use case, authenticated beneficiary and payment evidence, canonical replay protection, dispute and reversal handling and a separately reviewed contract.</w:t>
      </w:r>
    </w:p>
    <w:p>
      <w:r>
        <w:t>Candidate proof research includes zkTLS over a supported authenticated source or ZKEmail over bank-issued DKIM-signed credit evidence with enough authenticated fields. Receipt hashes, ordinary backend signatures and provider webhooks are not zero-knowledge proofs. Peer documents UPI-related verification, but its documented settlement in the reviewed material uses Base USDC; native MSTC support was not established. Razorpay’s reviewed terms restrict cryptocurrency activity. Test Mode implementation is not live approval. Recheck external terms and protocol capabilities before decisions.</w:t>
      </w:r>
    </w:p>
    <w:p>
      <w:pPr>
        <w:pStyle w:val="Heading2"/>
      </w:pPr>
      <w:r>
        <w:t>Authoritative project source files</w:t>
      </w:r>
    </w:p>
    <w:p>
      <w:pPr>
        <w:pStyle w:val="ListBullet"/>
      </w:pPr>
      <w:r>
        <w:t>docs/GOOGLE-EMBEDDED-WALLET.md — current account and wallet design</w:t>
      </w:r>
    </w:p>
    <w:p>
      <w:pPr>
        <w:pStyle w:val="ListBullet"/>
      </w:pPr>
      <w:r>
        <w:t>docs/RAZORPAY-TEST-TRADING.md — activation and native demo recovery</w:t>
      </w:r>
    </w:p>
    <w:p>
      <w:pPr>
        <w:pStyle w:val="ListBullet"/>
      </w:pPr>
      <w:r>
        <w:t>docs/P2P-LIVE-TRADING-PLAN.md — future real MSTC and direct seller INR model</w:t>
      </w:r>
    </w:p>
    <w:p>
      <w:pPr>
        <w:pStyle w:val="ListBullet"/>
      </w:pPr>
      <w:r>
        <w:t>docs/UPI-GATEWAY-REVIEW.md — merchant wrapper and proof feasibility</w:t>
      </w:r>
    </w:p>
    <w:p>
      <w:pPr>
        <w:pStyle w:val="ListBullet"/>
      </w:pPr>
      <w:r>
        <w:t>docs/P2P-IMPLEMENTATION.md — legacy sandbox boundaries</w:t>
      </w:r>
    </w:p>
    <w:p>
      <w:pPr>
        <w:pStyle w:val="ListBullet"/>
      </w:pPr>
      <w:r>
        <w:t>infra/matrix/README.md and AWS-EC2.md — prepared homeserver operations</w:t>
      </w:r>
    </w:p>
    <w:p>
      <w:pPr>
        <w:pStyle w:val="ListBullet"/>
      </w:pPr>
      <w:r>
        <w:t>shared/network.ts and shared/testTrade.ts — chain and signing definitions</w:t>
      </w:r>
    </w:p>
    <w:p>
      <w:pPr>
        <w:pStyle w:val="ListBullet"/>
      </w:pPr>
      <w:r>
        <w:t>server/src/accounts.ts and testPayments.ts — account and payment enforcement</w:t>
      </w:r>
    </w:p>
    <w:p>
      <w:pPr>
        <w:pStyle w:val="ListBullet"/>
      </w:pPr>
      <w:r>
        <w:t>contracts/contracts/GhostChatTestTrade.sol — current native demo escrow</w:t>
      </w:r>
    </w:p>
    <w:p>
      <w:pPr>
        <w:pStyle w:val="Heading2"/>
      </w:pPr>
      <w:r>
        <w:t>External references</w:t>
      </w:r>
    </w:p>
    <w:p>
      <w:pPr>
        <w:spacing w:after="60"/>
      </w:pPr>
      <w:r>
        <w:rPr>
          <w:sz w:val="18"/>
        </w:rPr>
        <w:t>https://github.com/prembharne/GHostPay</w:t>
      </w:r>
    </w:p>
    <w:p>
      <w:pPr>
        <w:spacing w:after="60"/>
      </w:pPr>
      <w:r>
        <w:rPr>
          <w:sz w:val="18"/>
        </w:rPr>
        <w:t>https://developers.google.com/identity/gsi/web/guides/overview</w:t>
      </w:r>
    </w:p>
    <w:p>
      <w:pPr>
        <w:spacing w:after="60"/>
      </w:pPr>
      <w:r>
        <w:rPr>
          <w:sz w:val="18"/>
        </w:rPr>
        <w:t>https://developers.google.com/identity/gsi/web/guides/verify-google-id-token</w:t>
      </w:r>
    </w:p>
    <w:p>
      <w:pPr>
        <w:spacing w:after="60"/>
      </w:pPr>
      <w:r>
        <w:rPr>
          <w:sz w:val="18"/>
        </w:rPr>
        <w:t>https://matrix.org/docs/</w:t>
      </w:r>
    </w:p>
    <w:p>
      <w:pPr>
        <w:spacing w:after="60"/>
      </w:pPr>
      <w:r>
        <w:rPr>
          <w:sz w:val="18"/>
        </w:rPr>
        <w:t>https://element-hq.github.io/synapse/latest/</w:t>
      </w:r>
    </w:p>
    <w:p>
      <w:pPr>
        <w:spacing w:after="60"/>
      </w:pPr>
      <w:r>
        <w:rPr>
          <w:sz w:val="18"/>
        </w:rPr>
        <w:t>https://razorpay.com/docs/payments/payment-gateway/web-integration/standard/integration-steps/</w:t>
      </w:r>
    </w:p>
    <w:p>
      <w:pPr>
        <w:spacing w:after="60"/>
      </w:pPr>
      <w:r>
        <w:rPr>
          <w:sz w:val="18"/>
        </w:rPr>
        <w:t>https://razorpay.com/docs/webhooks/validate-test/</w:t>
      </w:r>
    </w:p>
    <w:p>
      <w:pPr>
        <w:spacing w:after="60"/>
      </w:pPr>
      <w:r>
        <w:rPr>
          <w:sz w:val="18"/>
        </w:rPr>
        <w:t>https://razorpay.com/terms/</w:t>
      </w:r>
    </w:p>
    <w:p>
      <w:pPr>
        <w:spacing w:after="60"/>
      </w:pPr>
      <w:r>
        <w:rPr>
          <w:sz w:val="18"/>
        </w:rPr>
        <w:t>https://docs.zk.email/architecture/security-considerations</w:t>
      </w:r>
    </w:p>
    <w:p>
      <w:pPr>
        <w:spacing w:after="60"/>
      </w:pPr>
      <w:r>
        <w:rPr>
          <w:sz w:val="18"/>
        </w:rPr>
        <w:t>https://github.com/zkp2p/peer-cash</w:t>
      </w:r>
    </w:p>
    <w:p>
      <w:r>
        <w:t>Founder contact: Prem Bharne • prembhrane455@gmail.com. References are supporting reading, not evidence of a deployed production service. No credentials, private keys, account records or private financial data are included in this document.</w:t>
      </w:r>
    </w:p>
    <w:sectPr w:rsidR="00FC693F" w:rsidRPr="0006063C" w:rsidSect="00034616">
      <w:headerReference w:type="default" r:id="rId9"/>
      <w:footerReference w:type="default" r:id="rId10"/>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29 October 2026     •     Development snapshot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GHOSTCHAT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GhostChat project documentation</dc:title>
  <dc:subject>Product architecture implementation and operations</dc:subject>
  <dc:creator>GhostChat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