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GhostChat project documentation</w:t>
      </w:r>
    </w:p>
    <w:p>
      <w:pPr>
        <w:pStyle w:val="Subtitle"/>
      </w:pPr>
      <w:r>
        <w:t>Current implementation and verified Mainnet contract deployment</w:t>
      </w:r>
    </w:p>
    <w:p>
      <w:r>
        <w:t>Prem Bharne   Pune India   31 October 2026</w:t>
      </w:r>
    </w:p>
    <w:p>
      <w:r>
        <w:t>This document explains the implemented account, messaging and payment workflows, their trust boundaries and the steps needed to operate the application. The Mainnet contract suite is deployed and verified. The hosted payment services still operate on MST Testnet; Mainnet application activation remains a separate integration task.</w:t>
      </w:r>
    </w:p>
    <w:p>
      <w:r>
        <w:t>Web application  https://ghostchat-rho.vercel.app</w:t>
      </w:r>
    </w:p>
    <w:p>
      <w:r>
        <w:t>Matrix homeserver  https://ghostchat-matrix-pune.duckdns.org</w:t>
      </w:r>
    </w:p>
    <w:p>
      <w:r>
        <w:t>Source of truth  Current working tree at D:\hackathon\ghostpay-github and the verified deployment record. This document makes no claim of a security audit or independent bank verification.</w:t>
      </w:r>
    </w:p>
    <w:p>
      <w:pPr>
        <w:pStyle w:val="Heading1"/>
      </w:pPr>
      <w:r>
        <w:t>Current implementation</w:t>
      </w:r>
    </w:p>
    <w:tbl>
      <w:tblPr>
        <w:tblStyle w:val="TableGrid"/>
        <w:tblW w:type="auto" w:w="0"/>
        <w:tblLayout w:type="fixed"/>
        <w:tblLook w:firstColumn="1" w:firstRow="1" w:lastColumn="0" w:lastRow="0" w:noHBand="0" w:noVBand="1" w:val="04A0"/>
      </w:tblPr>
      <w:tblGrid>
        <w:gridCol w:w="2880"/>
        <w:gridCol w:w="7200"/>
      </w:tblGrid>
      <w:tr>
        <w:trPr>
          <w:cantSplit/>
          <w:tblHeader/>
        </w:trPr>
        <w:tc>
          <w:tcPr>
            <w:tcW w:type="dxa" w:w="2880"/>
            <w:shd w:fill="E8EFED"/>
          </w:tcPr>
          <w:p>
            <w:pPr>
              <w:keepNext/>
              <w:spacing w:after="100" w:before="100"/>
            </w:pPr>
            <w:r>
              <w:rPr>
                <w:b/>
                <w:sz w:val="18"/>
              </w:rPr>
              <w:t>Area</w:t>
            </w:r>
          </w:p>
        </w:tc>
        <w:tc>
          <w:tcPr>
            <w:tcW w:type="dxa" w:w="7200"/>
            <w:shd w:fill="E8EFED"/>
          </w:tcPr>
          <w:p>
            <w:pPr>
              <w:keepNext/>
              <w:spacing w:after="100" w:before="100"/>
            </w:pPr>
            <w:r>
              <w:rPr>
                <w:b/>
                <w:sz w:val="18"/>
              </w:rPr>
              <w:t>Implemented behavior</w:t>
            </w:r>
          </w:p>
        </w:tc>
      </w:tr>
      <w:tr>
        <w:trPr>
          <w:cantSplit/>
        </w:trPr>
        <w:tc>
          <w:tcPr>
            <w:tcW w:type="dxa" w:w="2880"/>
          </w:tcPr>
          <w:p>
            <w:pPr>
              <w:spacing w:after="100" w:before="100"/>
            </w:pPr>
            <w:r>
              <w:rPr>
                <w:b w:val="0"/>
                <w:sz w:val="18"/>
              </w:rPr>
              <w:t>Identity</w:t>
            </w:r>
          </w:p>
        </w:tc>
        <w:tc>
          <w:tcPr>
            <w:tcW w:type="dxa" w:w="7200"/>
          </w:tcPr>
          <w:p>
            <w:pPr>
              <w:spacing w:after="100" w:before="100"/>
            </w:pPr>
            <w:r>
              <w:rPr>
                <w:b w:val="0"/>
                <w:sz w:val="18"/>
              </w:rPr>
              <w:t>BridgeKey discovery, signed wallet ownership challenge, unique username and profile</w:t>
            </w:r>
          </w:p>
        </w:tc>
      </w:tr>
      <w:tr>
        <w:trPr>
          <w:cantSplit/>
        </w:trPr>
        <w:tc>
          <w:tcPr>
            <w:tcW w:type="dxa" w:w="2880"/>
          </w:tcPr>
          <w:p>
            <w:pPr>
              <w:spacing w:after="100" w:before="100"/>
            </w:pPr>
            <w:r>
              <w:rPr>
                <w:b w:val="0"/>
                <w:sz w:val="18"/>
              </w:rPr>
              <w:t>Messaging</w:t>
            </w:r>
          </w:p>
        </w:tc>
        <w:tc>
          <w:tcPr>
            <w:tcW w:type="dxa" w:w="7200"/>
          </w:tcPr>
          <w:p>
            <w:pPr>
              <w:spacing w:after="100" w:before="100"/>
            </w:pPr>
            <w:r>
              <w:rPr>
                <w:b w:val="0"/>
                <w:sz w:val="18"/>
              </w:rPr>
              <w:t>Matrix encrypted direct and group conversations; community spaces with General and Announcements</w:t>
            </w:r>
          </w:p>
        </w:tc>
      </w:tr>
      <w:tr>
        <w:trPr>
          <w:cantSplit/>
        </w:trPr>
        <w:tc>
          <w:tcPr>
            <w:tcW w:type="dxa" w:w="2880"/>
          </w:tcPr>
          <w:p>
            <w:pPr>
              <w:spacing w:after="100" w:before="100"/>
            </w:pPr>
            <w:r>
              <w:rPr>
                <w:b w:val="0"/>
                <w:sz w:val="18"/>
              </w:rPr>
              <w:t>Chat tools</w:t>
            </w:r>
          </w:p>
        </w:tc>
        <w:tc>
          <w:tcPr>
            <w:tcW w:type="dxa" w:w="7200"/>
          </w:tcPr>
          <w:p>
            <w:pPr>
              <w:spacing w:after="100" w:before="100"/>
            </w:pPr>
            <w:r>
              <w:rPr>
                <w:b w:val="0"/>
                <w:sz w:val="18"/>
              </w:rPr>
              <w:t>Attachments, voice notes, typing, read receipts, message status, search, profile photos, pin/mute/archive preferences and resizable conversation list</w:t>
            </w:r>
          </w:p>
        </w:tc>
      </w:tr>
      <w:tr>
        <w:trPr>
          <w:cantSplit/>
        </w:trPr>
        <w:tc>
          <w:tcPr>
            <w:tcW w:type="dxa" w:w="2880"/>
          </w:tcPr>
          <w:p>
            <w:pPr>
              <w:spacing w:after="100" w:before="100"/>
            </w:pPr>
            <w:r>
              <w:rPr>
                <w:b w:val="0"/>
                <w:sz w:val="18"/>
              </w:rPr>
              <w:t>Recovery</w:t>
            </w:r>
          </w:p>
        </w:tc>
        <w:tc>
          <w:tcPr>
            <w:tcW w:type="dxa" w:w="7200"/>
          </w:tcPr>
          <w:p>
            <w:pPr>
              <w:spacing w:after="100" w:before="100"/>
            </w:pPr>
            <w:r>
              <w:rPr>
                <w:b w:val="0"/>
                <w:sz w:val="18"/>
              </w:rPr>
              <w:t>Persisted sessions and device crypto storage, encrypted room-key export/import and device recovery controls</w:t>
            </w:r>
          </w:p>
        </w:tc>
      </w:tr>
      <w:tr>
        <w:trPr>
          <w:cantSplit/>
        </w:trPr>
        <w:tc>
          <w:tcPr>
            <w:tcW w:type="dxa" w:w="2880"/>
          </w:tcPr>
          <w:p>
            <w:pPr>
              <w:spacing w:after="100" w:before="100"/>
            </w:pPr>
            <w:r>
              <w:rPr>
                <w:b w:val="0"/>
                <w:sz w:val="18"/>
              </w:rPr>
              <w:t>Payments</w:t>
            </w:r>
          </w:p>
        </w:tc>
        <w:tc>
          <w:tcPr>
            <w:tcW w:type="dxa" w:w="7200"/>
          </w:tcPr>
          <w:p>
            <w:pPr>
              <w:spacing w:after="100" w:before="100"/>
            </w:pPr>
            <w:r>
              <w:rPr>
                <w:b w:val="0"/>
                <w:sz w:val="18"/>
              </w:rPr>
              <w:t>Direct native-coin transfers, recipient-authorized payment links and community allocations</w:t>
            </w:r>
          </w:p>
        </w:tc>
      </w:tr>
      <w:tr>
        <w:trPr>
          <w:cantSplit/>
        </w:trPr>
        <w:tc>
          <w:tcPr>
            <w:tcW w:type="dxa" w:w="2880"/>
          </w:tcPr>
          <w:p>
            <w:pPr>
              <w:spacing w:after="100" w:before="100"/>
            </w:pPr>
            <w:r>
              <w:rPr>
                <w:b w:val="0"/>
                <w:sz w:val="18"/>
              </w:rPr>
              <w:t>P2P</w:t>
            </w:r>
          </w:p>
        </w:tc>
        <w:tc>
          <w:tcPr>
            <w:tcW w:type="dxa" w:w="7200"/>
          </w:tcPr>
          <w:p>
            <w:pPr>
              <w:spacing w:after="100" w:before="100"/>
            </w:pPr>
            <w:r>
              <w:rPr>
                <w:b w:val="0"/>
                <w:sz w:val="18"/>
              </w:rPr>
              <w:t>Buyer-posted requests, seller-funded escrow, saved private UPI ID/QR and matching participant confirmations</w:t>
            </w:r>
          </w:p>
        </w:tc>
      </w:tr>
    </w:tbl>
    <w:p/>
    <w:p>
      <w:r>
        <w:t>The integrated payment and P2P workflow currently uses MST Testnet tMSTC. UPI transfers in this P2P flow use real INR, directly between participants. Test coins have no redeemable value. GhostChat does not collect INR or verify bank settlement.</w:t>
      </w:r>
    </w:p>
    <w:p>
      <w:pPr>
        <w:pStyle w:val="Heading1"/>
      </w:pPr>
      <w:r>
        <w:t>Account and messaging workflow</w:t>
      </w:r>
    </w:p>
    <w:p>
      <w:pPr>
        <w:ind w:left="317" w:hanging="317"/>
      </w:pPr>
      <w:r>
        <w:t>1. Open the app, choose Continue and connect the official BridgeKey (https://bridgekey.io/) extension.</w:t>
      </w:r>
    </w:p>
    <w:p>
      <w:pPr>
        <w:ind w:left="317" w:hanging="317"/>
      </w:pPr>
      <w:r>
        <w:t>2. Sign the single-use wallet ownership challenge. This signs you in; it does not authorize a payment.</w:t>
      </w:r>
    </w:p>
    <w:p>
      <w:pPr>
        <w:ind w:left="317" w:hanging="317"/>
      </w:pPr>
      <w:r>
        <w:t>3. Complete your name, unique username and private mobile field. Collecting the number does not verify it.</w:t>
      </w:r>
    </w:p>
    <w:p>
      <w:pPr>
        <w:ind w:left="317" w:hanging="317"/>
      </w:pPr>
      <w:r>
        <w:t>4. Open chat. The account relay issues a short-lived Matrix ticket; Synapse provisions or restores the wallet-linked account.</w:t>
      </w:r>
    </w:p>
    <w:p>
      <w:pPr>
        <w:ind w:left="317" w:hanging="317"/>
      </w:pPr>
      <w:r>
        <w:t>5. Start a conversation by username, create a group or create a community. General and Announcements are separate intentional channels inside a community.</w:t>
      </w:r>
    </w:p>
    <w:p>
      <w:r>
        <w:t>Community creation coalesces repeated clicks and recovers interrupted setup through deterministic room aliases. Encrypted content needs the device's room keys: wallet sign-in alone cannot recreate missing chat keys. Keep an encrypted room-key backup and its password separately.</w:t>
      </w:r>
    </w:p>
    <w:p>
      <w:pPr>
        <w:pStyle w:val="Heading1"/>
      </w:pPr>
      <w:r>
        <w:t>Payments</w:t>
      </w:r>
    </w:p>
    <w:p>
      <w:pPr>
        <w:pStyle w:val="Heading2"/>
      </w:pPr>
      <w:r>
        <w:t>Direct transfer</w:t>
      </w:r>
    </w:p>
    <w:p>
      <w:r>
        <w:t>Resolve a username or use a complete wallet address, enter the native-coin amount, review the recipient and approve in BridgeKey. The sender pays network gas. The recipient receives funds without executing a claim.</w:t>
      </w:r>
    </w:p>
    <w:p>
      <w:pPr>
        <w:pStyle w:val="Heading2"/>
      </w:pPr>
      <w:r>
        <w:t>Payment link</w:t>
      </w:r>
    </w:p>
    <w:p>
      <w:r>
        <w:t>The sender deposits into GhostPayNativeEscrow with an expiry. A recipient requests approval for their wallet. The sender signs an EIP-712 authorization binding the payment ID, recipient and deadline. Only that recipient can claim. After expiry, the sender can reclaim an unclaimed payment. There is no owner withdrawal or upgrade path.</w:t>
      </w:r>
    </w:p>
    <w:p>
      <w:pPr>
        <w:pStyle w:val="Heading2"/>
      </w:pPr>
      <w:r>
        <w:t>Community fund</w:t>
      </w:r>
    </w:p>
    <w:p>
      <w:r>
        <w:t>An organizer selects registered people and amounts, or divides a total pool equally across selected wallets. One transaction fixes up to 100 wallet allocations and deposits the exact total. Recipients choose View my eligibility and claim once from the allocated wallet before expiry. Community membership alone grants no financial entitlement. After expiry, the organizer can refund the unclaimed remainder.</w:t>
      </w:r>
    </w:p>
    <w:p>
      <w:r>
        <w:t>Trusted pasted campaign URLs render as fund cards, including valid links already present in chat. No second funding transaction is needed to show the card. Titles, wallets and allocations are public on-chain.</w:t>
      </w:r>
    </w:p>
    <w:p>
      <w:pPr>
        <w:pStyle w:val="Heading1"/>
      </w:pPr>
      <w:r>
        <w:t>P2P trading</w:t>
      </w:r>
    </w:p>
    <w:p>
      <w:pPr>
        <w:ind w:left="317" w:hanging="317"/>
      </w:pPr>
      <w:r>
        <w:t>1. Buyer posts a request: token amount and desired INR rate. Market, My buy offers and My sell trades organize the requests.</w:t>
      </w:r>
    </w:p>
    <w:p>
      <w:pPr>
        <w:ind w:left="317" w:hanging="317"/>
      </w:pPr>
      <w:r>
        <w:t>2. Seller selects the request: the buyer and amounts come from its fixed terms. The seller saves their private UPI ID and QR once and reuses them.</w:t>
      </w:r>
    </w:p>
    <w:p>
      <w:pPr>
        <w:ind w:left="317" w:hanging="317"/>
      </w:pPr>
      <w:r>
        <w:t>3. Seller locks tokens: BridgeKey deposits the exact tMSTC into escrow. The assigned buyer can access that trade's seller payment snapshot after funding and attachment succeed.</w:t>
      </w:r>
    </w:p>
    <w:p>
      <w:pPr>
        <w:ind w:left="317" w:hanging="317"/>
      </w:pPr>
      <w:r>
        <w:t>4. Buyer pays INR: the buyer pays the exact amount to the seller using an external UPI app. The seller receives INR and does not pay their own QR.</w:t>
      </w:r>
    </w:p>
    <w:p>
      <w:pPr>
        <w:ind w:left="317" w:hanging="317"/>
      </w:pPr>
      <w:r>
        <w:t>5. Both confirm independently: the buyer enters the shared UPI transaction reference after paying. The seller checks their bank/UPI app, enters the same reference and confirms receipt. Each approves their own on-chain confirmation in BridgeKey.</w:t>
      </w:r>
    </w:p>
    <w:p>
      <w:pPr>
        <w:ind w:left="317" w:hanging="317"/>
      </w:pPr>
      <w:r>
        <w:t>6. Escrow settles: matching wallet-bound commitments release all locked tokens to the fixed buyer. Different references keep funds locked and allow an independently attested correction.</w:t>
      </w:r>
    </w:p>
    <w:p>
      <w:r>
        <w:t>The relay normalizes an 8–32 character bank reference, creates a trade-scoped HMAC-SHA256 commitment, and signs EIP-712 data bound to chain, contract, trade and actor. Raw references are not stored in the confirmation table or returned to the counterparty. The relay processes the raw input and is inside the trust boundary.</w:t>
      </w:r>
    </w:p>
    <w:p>
      <w:r>
        <w:t>Matching references establish participant agreement, not proof of a bank credit. Both people can agree on an invented reference. The active flow uses no zero-knowledge proof or payment gateway. App-specific receipt/order IDs may differ; both people must use the shared bank transaction reference.</w:t>
      </w:r>
    </w:p>
    <w:p>
      <w:r>
        <w:t>Cancellation requires both participants' approvals to return tokens to the seller. This module has no arbitrator, unilateral seller reclaim or automatic timeout winner. Non-cooperation can leave funds locked. New confirmations depend on the relay signer remaining available.</w:t>
      </w:r>
    </w:p>
    <w:p>
      <w:r>
        <w:t>Contract bounds: greater than zero and at most 10 native coins, INR total ₹1–₹100,000. These bounds do not recommend exchanging real money for test coins.</w:t>
      </w:r>
    </w:p>
    <w:p>
      <w:pPr>
        <w:pStyle w:val="Heading1"/>
      </w:pPr>
      <w:r>
        <w:t>Architecture and technical stack</w:t>
      </w:r>
    </w:p>
    <w:tbl>
      <w:tblPr>
        <w:tblStyle w:val="TableGrid"/>
        <w:tblW w:type="auto" w:w="0"/>
        <w:tblLayout w:type="fixed"/>
        <w:tblLook w:firstColumn="1" w:firstRow="1" w:lastColumn="0" w:lastRow="0" w:noHBand="0" w:noVBand="1" w:val="04A0"/>
      </w:tblPr>
      <w:tblGrid>
        <w:gridCol w:w="2880"/>
        <w:gridCol w:w="7200"/>
      </w:tblGrid>
      <w:tr>
        <w:trPr>
          <w:cantSplit/>
          <w:tblHeader/>
        </w:trPr>
        <w:tc>
          <w:tcPr>
            <w:tcW w:type="dxa" w:w="2880"/>
            <w:shd w:fill="E8EFED"/>
          </w:tcPr>
          <w:p>
            <w:pPr>
              <w:keepNext/>
              <w:spacing w:after="100" w:before="100"/>
            </w:pPr>
            <w:r>
              <w:rPr>
                <w:b/>
                <w:sz w:val="18"/>
              </w:rPr>
              <w:t>Component</w:t>
            </w:r>
          </w:p>
        </w:tc>
        <w:tc>
          <w:tcPr>
            <w:tcW w:type="dxa" w:w="7200"/>
            <w:shd w:fill="E8EFED"/>
          </w:tcPr>
          <w:p>
            <w:pPr>
              <w:keepNext/>
              <w:spacing w:after="100" w:before="100"/>
            </w:pPr>
            <w:r>
              <w:rPr>
                <w:b/>
                <w:sz w:val="18"/>
              </w:rPr>
              <w:t>Technology and responsibility</w:t>
            </w:r>
          </w:p>
        </w:tc>
      </w:tr>
      <w:tr>
        <w:trPr>
          <w:cantSplit/>
        </w:trPr>
        <w:tc>
          <w:tcPr>
            <w:tcW w:type="dxa" w:w="2880"/>
          </w:tcPr>
          <w:p>
            <w:pPr>
              <w:spacing w:after="100" w:before="100"/>
            </w:pPr>
            <w:r>
              <w:rPr>
                <w:b w:val="0"/>
                <w:sz w:val="18"/>
              </w:rPr>
              <w:t>Browser</w:t>
            </w:r>
          </w:p>
        </w:tc>
        <w:tc>
          <w:tcPr>
            <w:tcW w:type="dxa" w:w="7200"/>
          </w:tcPr>
          <w:p>
            <w:pPr>
              <w:spacing w:after="100" w:before="100"/>
            </w:pPr>
            <w:r>
              <w:rPr>
                <w:b w:val="0"/>
                <w:sz w:val="18"/>
              </w:rPr>
              <w:t>React 19, TypeScript, Vite 7, React Router, TanStack Query, Tailwind/CSS, Three.js backgrounds</w:t>
            </w:r>
          </w:p>
        </w:tc>
      </w:tr>
      <w:tr>
        <w:trPr>
          <w:cantSplit/>
        </w:trPr>
        <w:tc>
          <w:tcPr>
            <w:tcW w:type="dxa" w:w="2880"/>
          </w:tcPr>
          <w:p>
            <w:pPr>
              <w:spacing w:after="100" w:before="100"/>
            </w:pPr>
            <w:r>
              <w:rPr>
                <w:b w:val="0"/>
                <w:sz w:val="18"/>
              </w:rPr>
              <w:t>Wallet</w:t>
            </w:r>
          </w:p>
        </w:tc>
        <w:tc>
          <w:tcPr>
            <w:tcW w:type="dxa" w:w="7200"/>
          </w:tcPr>
          <w:p>
            <w:pPr>
              <w:spacing w:after="100" w:before="100"/>
            </w:pPr>
            <w:r>
              <w:rPr>
                <w:b w:val="0"/>
                <w:sz w:val="18"/>
              </w:rPr>
              <w:t>BridgeKey EIP-6963 discovery, wagmi 2, viem 2; ethers 6 in the deployment tool</w:t>
            </w:r>
          </w:p>
        </w:tc>
      </w:tr>
      <w:tr>
        <w:trPr>
          <w:cantSplit/>
        </w:trPr>
        <w:tc>
          <w:tcPr>
            <w:tcW w:type="dxa" w:w="2880"/>
          </w:tcPr>
          <w:p>
            <w:pPr>
              <w:spacing w:after="100" w:before="100"/>
            </w:pPr>
            <w:r>
              <w:rPr>
                <w:b w:val="0"/>
                <w:sz w:val="18"/>
              </w:rPr>
              <w:t>Messaging</w:t>
            </w:r>
          </w:p>
        </w:tc>
        <w:tc>
          <w:tcPr>
            <w:tcW w:type="dxa" w:w="7200"/>
          </w:tcPr>
          <w:p>
            <w:pPr>
              <w:spacing w:after="100" w:before="100"/>
            </w:pPr>
            <w:r>
              <w:rPr>
                <w:b w:val="0"/>
                <w:sz w:val="18"/>
              </w:rPr>
              <w:t>matrix-js-sdk 44, encrypted attachments and Synapse</w:t>
            </w:r>
          </w:p>
        </w:tc>
      </w:tr>
      <w:tr>
        <w:trPr>
          <w:cantSplit/>
        </w:trPr>
        <w:tc>
          <w:tcPr>
            <w:tcW w:type="dxa" w:w="2880"/>
          </w:tcPr>
          <w:p>
            <w:pPr>
              <w:spacing w:after="100" w:before="100"/>
            </w:pPr>
            <w:r>
              <w:rPr>
                <w:b w:val="0"/>
                <w:sz w:val="18"/>
              </w:rPr>
              <w:t>Application API</w:t>
            </w:r>
          </w:p>
        </w:tc>
        <w:tc>
          <w:tcPr>
            <w:tcW w:type="dxa" w:w="7200"/>
          </w:tcPr>
          <w:p>
            <w:pPr>
              <w:spacing w:after="100" w:before="100"/>
            </w:pPr>
            <w:r>
              <w:rPr>
                <w:b w:val="0"/>
                <w:sz w:val="18"/>
              </w:rPr>
              <w:t>Node.js 24, Express 5, origin checks, rate limits, wallet challenges and hashed bearer sessions</w:t>
            </w:r>
          </w:p>
        </w:tc>
      </w:tr>
      <w:tr>
        <w:trPr>
          <w:cantSplit/>
        </w:trPr>
        <w:tc>
          <w:tcPr>
            <w:tcW w:type="dxa" w:w="2880"/>
          </w:tcPr>
          <w:p>
            <w:pPr>
              <w:spacing w:after="100" w:before="100"/>
            </w:pPr>
            <w:r>
              <w:rPr>
                <w:b w:val="0"/>
                <w:sz w:val="18"/>
              </w:rPr>
              <w:t>Application data</w:t>
            </w:r>
          </w:p>
        </w:tc>
        <w:tc>
          <w:tcPr>
            <w:tcW w:type="dxa" w:w="7200"/>
          </w:tcPr>
          <w:p>
            <w:pPr>
              <w:spacing w:after="100" w:before="100"/>
            </w:pPr>
            <w:r>
              <w:rPr>
                <w:b w:val="0"/>
                <w:sz w:val="18"/>
              </w:rPr>
              <w:t>SQLite and persistent server volumes; encrypted private profile and UPI records</w:t>
            </w:r>
          </w:p>
        </w:tc>
      </w:tr>
      <w:tr>
        <w:trPr>
          <w:cantSplit/>
        </w:trPr>
        <w:tc>
          <w:tcPr>
            <w:tcW w:type="dxa" w:w="2880"/>
          </w:tcPr>
          <w:p>
            <w:pPr>
              <w:spacing w:after="100" w:before="100"/>
            </w:pPr>
            <w:r>
              <w:rPr>
                <w:b w:val="0"/>
                <w:sz w:val="18"/>
              </w:rPr>
              <w:t>Messaging data</w:t>
            </w:r>
          </w:p>
        </w:tc>
        <w:tc>
          <w:tcPr>
            <w:tcW w:type="dxa" w:w="7200"/>
          </w:tcPr>
          <w:p>
            <w:pPr>
              <w:spacing w:after="100" w:before="100"/>
            </w:pPr>
            <w:r>
              <w:rPr>
                <w:b w:val="0"/>
                <w:sz w:val="18"/>
              </w:rPr>
              <w:t>Synapse PostgreSQL; browser device crypto storage; encrypted key backups</w:t>
            </w:r>
          </w:p>
        </w:tc>
      </w:tr>
      <w:tr>
        <w:trPr>
          <w:cantSplit/>
        </w:trPr>
        <w:tc>
          <w:tcPr>
            <w:tcW w:type="dxa" w:w="2880"/>
          </w:tcPr>
          <w:p>
            <w:pPr>
              <w:spacing w:after="100" w:before="100"/>
            </w:pPr>
            <w:r>
              <w:rPr>
                <w:b w:val="0"/>
                <w:sz w:val="18"/>
              </w:rPr>
              <w:t>Contracts</w:t>
            </w:r>
          </w:p>
        </w:tc>
        <w:tc>
          <w:tcPr>
            <w:tcW w:type="dxa" w:w="7200"/>
          </w:tcPr>
          <w:p>
            <w:pPr>
              <w:spacing w:after="100" w:before="100"/>
            </w:pPr>
            <w:r>
              <w:rPr>
                <w:b w:val="0"/>
                <w:sz w:val="18"/>
              </w:rPr>
              <w:t>Solidity 0.8.28, Hardhat 3, OpenZeppelin utilities; Paris EVM for native/community/Mainnet suite</w:t>
            </w:r>
          </w:p>
        </w:tc>
      </w:tr>
      <w:tr>
        <w:trPr>
          <w:cantSplit/>
        </w:trPr>
        <w:tc>
          <w:tcPr>
            <w:tcW w:type="dxa" w:w="2880"/>
          </w:tcPr>
          <w:p>
            <w:pPr>
              <w:spacing w:after="100" w:before="100"/>
            </w:pPr>
            <w:r>
              <w:rPr>
                <w:b w:val="0"/>
                <w:sz w:val="18"/>
              </w:rPr>
              <w:t>Hosting</w:t>
            </w:r>
          </w:p>
        </w:tc>
        <w:tc>
          <w:tcPr>
            <w:tcW w:type="dxa" w:w="7200"/>
          </w:tcPr>
          <w:p>
            <w:pPr>
              <w:spacing w:after="100" w:before="100"/>
            </w:pPr>
            <w:r>
              <w:rPr>
                <w:b w:val="0"/>
                <w:sz w:val="18"/>
              </w:rPr>
              <w:t>Vercel frontend/API proxy; AWS EC2 Docker Compose with Synapse, PostgreSQL, Caddy HTTPS and GhostChat API</w:t>
            </w:r>
          </w:p>
        </w:tc>
      </w:tr>
    </w:tbl>
    <w:p/>
    <w:p>
      <w:r>
        <w:t>The API issues login tickets and reference attestations; it is not a gas-sponsoring transaction relayer. Users pay gas for their own transactions. The current native-link, community and mutual-confirmation contracts deduct no platform fee.</w:t>
      </w:r>
    </w:p>
    <w:p>
      <w:pPr>
        <w:pStyle w:val="Heading1"/>
      </w:pPr>
      <w:r>
        <w:t>Networks and deployments</w:t>
      </w:r>
    </w:p>
    <w:tbl>
      <w:tblPr>
        <w:tblStyle w:val="TableGrid"/>
        <w:tblW w:type="auto" w:w="0"/>
        <w:tblLayout w:type="fixed"/>
        <w:tblLook w:firstColumn="1" w:firstRow="1" w:lastColumn="0" w:lastRow="0" w:noHBand="0" w:noVBand="1" w:val="04A0"/>
      </w:tblPr>
      <w:tblGrid>
        <w:gridCol w:w="2520"/>
        <w:gridCol w:w="2520"/>
        <w:gridCol w:w="2520"/>
        <w:gridCol w:w="2520"/>
      </w:tblGrid>
      <w:tr>
        <w:trPr>
          <w:cantSplit/>
          <w:tblHeader/>
        </w:trPr>
        <w:tc>
          <w:tcPr>
            <w:tcW w:type="dxa" w:w="2520"/>
            <w:shd w:fill="E8EFED"/>
          </w:tcPr>
          <w:p>
            <w:pPr>
              <w:keepNext/>
              <w:spacing w:after="100" w:before="100"/>
            </w:pPr>
            <w:r>
              <w:rPr>
                <w:b/>
                <w:sz w:val="18"/>
              </w:rPr>
              <w:t>Network</w:t>
            </w:r>
          </w:p>
        </w:tc>
        <w:tc>
          <w:tcPr>
            <w:tcW w:type="dxa" w:w="2520"/>
            <w:shd w:fill="E8EFED"/>
          </w:tcPr>
          <w:p>
            <w:pPr>
              <w:keepNext/>
              <w:spacing w:after="100" w:before="100"/>
            </w:pPr>
            <w:r>
              <w:rPr>
                <w:b/>
                <w:sz w:val="18"/>
              </w:rPr>
              <w:t>Chain ID</w:t>
            </w:r>
          </w:p>
        </w:tc>
        <w:tc>
          <w:tcPr>
            <w:tcW w:type="dxa" w:w="2520"/>
            <w:shd w:fill="E8EFED"/>
          </w:tcPr>
          <w:p>
            <w:pPr>
              <w:keepNext/>
              <w:spacing w:after="100" w:before="100"/>
            </w:pPr>
            <w:r>
              <w:rPr>
                <w:b/>
                <w:sz w:val="18"/>
              </w:rPr>
              <w:t>Coin</w:t>
            </w:r>
          </w:p>
        </w:tc>
        <w:tc>
          <w:tcPr>
            <w:tcW w:type="dxa" w:w="2520"/>
            <w:shd w:fill="E8EFED"/>
          </w:tcPr>
          <w:p>
            <w:pPr>
              <w:keepNext/>
              <w:spacing w:after="100" w:before="100"/>
            </w:pPr>
            <w:r>
              <w:rPr>
                <w:b/>
                <w:sz w:val="18"/>
              </w:rPr>
              <w:t>Status</w:t>
            </w:r>
          </w:p>
        </w:tc>
      </w:tr>
      <w:tr>
        <w:trPr>
          <w:cantSplit/>
        </w:trPr>
        <w:tc>
          <w:tcPr>
            <w:tcW w:type="dxa" w:w="2520"/>
          </w:tcPr>
          <w:p>
            <w:pPr>
              <w:spacing w:after="100" w:before="100"/>
            </w:pPr>
            <w:r>
              <w:rPr>
                <w:b w:val="0"/>
                <w:sz w:val="18"/>
              </w:rPr>
              <w:t>MST Testnet</w:t>
            </w:r>
          </w:p>
        </w:tc>
        <w:tc>
          <w:tcPr>
            <w:tcW w:type="dxa" w:w="2520"/>
          </w:tcPr>
          <w:p>
            <w:pPr>
              <w:spacing w:after="100" w:before="100"/>
            </w:pPr>
            <w:r>
              <w:rPr>
                <w:b w:val="0"/>
                <w:sz w:val="18"/>
              </w:rPr>
              <w:t>91562037</w:t>
            </w:r>
          </w:p>
        </w:tc>
        <w:tc>
          <w:tcPr>
            <w:tcW w:type="dxa" w:w="2520"/>
          </w:tcPr>
          <w:p>
            <w:pPr>
              <w:spacing w:after="100" w:before="100"/>
            </w:pPr>
            <w:r>
              <w:rPr>
                <w:b w:val="0"/>
                <w:sz w:val="18"/>
              </w:rPr>
              <w:t>tMSTC</w:t>
            </w:r>
          </w:p>
        </w:tc>
        <w:tc>
          <w:tcPr>
            <w:tcW w:type="dxa" w:w="2520"/>
          </w:tcPr>
          <w:p>
            <w:pPr>
              <w:spacing w:after="100" w:before="100"/>
            </w:pPr>
            <w:r>
              <w:rPr>
                <w:b w:val="0"/>
                <w:sz w:val="18"/>
              </w:rPr>
              <w:t>Integrated application payment and P2P flow</w:t>
            </w:r>
          </w:p>
        </w:tc>
      </w:tr>
      <w:tr>
        <w:trPr>
          <w:cantSplit/>
        </w:trPr>
        <w:tc>
          <w:tcPr>
            <w:tcW w:type="dxa" w:w="2520"/>
          </w:tcPr>
          <w:p>
            <w:pPr>
              <w:spacing w:after="100" w:before="100"/>
            </w:pPr>
            <w:r>
              <w:rPr>
                <w:b w:val="0"/>
                <w:sz w:val="18"/>
              </w:rPr>
              <w:t>MST Mainnet</w:t>
            </w:r>
          </w:p>
        </w:tc>
        <w:tc>
          <w:tcPr>
            <w:tcW w:type="dxa" w:w="2520"/>
          </w:tcPr>
          <w:p>
            <w:pPr>
              <w:spacing w:after="100" w:before="100"/>
            </w:pPr>
            <w:r>
              <w:rPr>
                <w:b w:val="0"/>
                <w:sz w:val="18"/>
              </w:rPr>
              <w:t>4646</w:t>
            </w:r>
          </w:p>
        </w:tc>
        <w:tc>
          <w:tcPr>
            <w:tcW w:type="dxa" w:w="2520"/>
          </w:tcPr>
          <w:p>
            <w:pPr>
              <w:spacing w:after="100" w:before="100"/>
            </w:pPr>
            <w:r>
              <w:rPr>
                <w:b w:val="0"/>
                <w:sz w:val="18"/>
              </w:rPr>
              <w:t>MSTC</w:t>
            </w:r>
          </w:p>
        </w:tc>
        <w:tc>
          <w:tcPr>
            <w:tcW w:type="dxa" w:w="2520"/>
          </w:tcPr>
          <w:p>
            <w:pPr>
              <w:spacing w:after="100" w:before="100"/>
            </w:pPr>
            <w:r>
              <w:rPr>
                <w:b w:val="0"/>
                <w:sz w:val="18"/>
              </w:rPr>
              <w:t>All three payment modules deployed and verified; application activation is separate</w:t>
            </w:r>
          </w:p>
        </w:tc>
      </w:tr>
    </w:tbl>
    <w:p/>
    <w:p>
      <w:pPr>
        <w:pStyle w:val="Heading2"/>
      </w:pPr>
      <w:r>
        <w:t>Mainnet addresses</w:t>
      </w:r>
    </w:p>
    <w:p>
      <w:r>
        <w:t>Verified MST Mainnet deployment (chain 4646):</w:t>
      </w:r>
    </w:p>
    <w:tbl>
      <w:tblPr>
        <w:tblStyle w:val="TableGrid"/>
        <w:tblW w:type="auto" w:w="0"/>
        <w:tblLayout w:type="fixed"/>
        <w:tblLook w:firstColumn="1" w:firstRow="1" w:lastColumn="0" w:lastRow="0" w:noHBand="0" w:noVBand="1" w:val="04A0"/>
      </w:tblPr>
      <w:tblGrid>
        <w:gridCol w:w="2880"/>
        <w:gridCol w:w="7200"/>
      </w:tblGrid>
      <w:tr>
        <w:trPr>
          <w:cantSplit/>
          <w:tblHeader/>
        </w:trPr>
        <w:tc>
          <w:tcPr>
            <w:tcW w:type="dxa" w:w="2880"/>
            <w:shd w:fill="E8EFED"/>
          </w:tcPr>
          <w:p>
            <w:pPr>
              <w:keepNext/>
              <w:spacing w:after="100" w:before="100"/>
            </w:pPr>
            <w:r>
              <w:rPr>
                <w:b/>
                <w:sz w:val="18"/>
              </w:rPr>
              <w:t>Module</w:t>
            </w:r>
          </w:p>
        </w:tc>
        <w:tc>
          <w:tcPr>
            <w:tcW w:type="dxa" w:w="7200"/>
            <w:shd w:fill="E8EFED"/>
          </w:tcPr>
          <w:p>
            <w:pPr>
              <w:keepNext/>
              <w:spacing w:after="100" w:before="100"/>
            </w:pPr>
            <w:r>
              <w:rPr>
                <w:b/>
                <w:sz w:val="18"/>
              </w:rPr>
              <w:t>Address</w:t>
            </w:r>
          </w:p>
        </w:tc>
      </w:tr>
      <w:tr>
        <w:trPr>
          <w:cantSplit/>
        </w:trPr>
        <w:tc>
          <w:tcPr>
            <w:tcW w:type="dxa" w:w="2880"/>
          </w:tcPr>
          <w:p>
            <w:pPr>
              <w:spacing w:after="100" w:before="100"/>
            </w:pPr>
            <w:r>
              <w:rPr>
                <w:b w:val="0"/>
                <w:sz w:val="18"/>
              </w:rPr>
              <w:t>Suite</w:t>
            </w:r>
          </w:p>
        </w:tc>
        <w:tc>
          <w:tcPr>
            <w:tcW w:type="dxa" w:w="7200"/>
          </w:tcPr>
          <w:p>
            <w:pPr>
              <w:spacing w:after="100" w:before="100"/>
            </w:pPr>
            <w:r>
              <w:rPr>
                <w:b w:val="0"/>
                <w:sz w:val="18"/>
              </w:rPr>
              <w:t>0xC6415aDfE9b2793200aDFB71918043F054ea5E11</w:t>
            </w:r>
          </w:p>
        </w:tc>
      </w:tr>
      <w:tr>
        <w:trPr>
          <w:cantSplit/>
        </w:trPr>
        <w:tc>
          <w:tcPr>
            <w:tcW w:type="dxa" w:w="2880"/>
          </w:tcPr>
          <w:p>
            <w:pPr>
              <w:spacing w:after="100" w:before="100"/>
            </w:pPr>
            <w:r>
              <w:rPr>
                <w:b w:val="0"/>
                <w:sz w:val="18"/>
              </w:rPr>
              <w:t>Payment links</w:t>
            </w:r>
          </w:p>
        </w:tc>
        <w:tc>
          <w:tcPr>
            <w:tcW w:type="dxa" w:w="7200"/>
          </w:tcPr>
          <w:p>
            <w:pPr>
              <w:spacing w:after="100" w:before="100"/>
            </w:pPr>
            <w:r>
              <w:rPr>
                <w:b w:val="0"/>
                <w:sz w:val="18"/>
              </w:rPr>
              <w:t>0x4Fa57c8F3046ceF96371EC181c1dc123F2516247</w:t>
            </w:r>
          </w:p>
        </w:tc>
      </w:tr>
      <w:tr>
        <w:trPr>
          <w:cantSplit/>
        </w:trPr>
        <w:tc>
          <w:tcPr>
            <w:tcW w:type="dxa" w:w="2880"/>
          </w:tcPr>
          <w:p>
            <w:pPr>
              <w:spacing w:after="100" w:before="100"/>
            </w:pPr>
            <w:r>
              <w:rPr>
                <w:b w:val="0"/>
                <w:sz w:val="18"/>
              </w:rPr>
              <w:t>Community funds</w:t>
            </w:r>
          </w:p>
        </w:tc>
        <w:tc>
          <w:tcPr>
            <w:tcW w:type="dxa" w:w="7200"/>
          </w:tcPr>
          <w:p>
            <w:pPr>
              <w:spacing w:after="100" w:before="100"/>
            </w:pPr>
            <w:r>
              <w:rPr>
                <w:b w:val="0"/>
                <w:sz w:val="18"/>
              </w:rPr>
              <w:t>0xf94C7F000f6e39eB5fcF4079660D9cebdE298C00</w:t>
            </w:r>
          </w:p>
        </w:tc>
      </w:tr>
      <w:tr>
        <w:trPr>
          <w:cantSplit/>
        </w:trPr>
        <w:tc>
          <w:tcPr>
            <w:tcW w:type="dxa" w:w="2880"/>
          </w:tcPr>
          <w:p>
            <w:pPr>
              <w:spacing w:after="100" w:before="100"/>
            </w:pPr>
            <w:r>
              <w:rPr>
                <w:b w:val="0"/>
                <w:sz w:val="18"/>
              </w:rPr>
              <w:t>P2P escrow</w:t>
            </w:r>
          </w:p>
        </w:tc>
        <w:tc>
          <w:tcPr>
            <w:tcW w:type="dxa" w:w="7200"/>
          </w:tcPr>
          <w:p>
            <w:pPr>
              <w:spacing w:after="100" w:before="100"/>
            </w:pPr>
            <w:r>
              <w:rPr>
                <w:b w:val="0"/>
                <w:sz w:val="18"/>
              </w:rPr>
              <w:t>0x652bfc4fAE71303951B5f9D562B229b58233aB66</w:t>
            </w:r>
          </w:p>
        </w:tc>
      </w:tr>
    </w:tbl>
    <w:p/>
    <w:p>
      <w:r>
        <w:t>Deployment transaction (https://mstscan.com/tx/0xc53450bd1f98aa6ab29e4d78e5b27aab696205f8c1569fd9f5c1a2c113eadaa8). These contracts are deployed; the hosted application's Mainnet payment integration remains disabled until separately configured and validated.</w:t>
      </w:r>
    </w:p>
    <w:p>
      <w:pPr>
        <w:pStyle w:val="Heading2"/>
      </w:pPr>
      <w:r>
        <w:t>One transaction deployment</w:t>
      </w:r>
    </w:p>
    <w:p>
      <w:pPr>
        <w:spacing w:after="40"/>
      </w:pPr>
      <w:r>
        <w:rPr>
          <w:rFonts w:ascii="Consolas" w:hAnsi="Consolas"/>
          <w:sz w:val="17"/>
        </w:rPr>
        <w:t>cd D:\hackathon\ghostpay-github</w:t>
      </w:r>
    </w:p>
    <w:p>
      <w:pPr>
        <w:spacing w:after="40"/>
      </w:pPr>
      <w:r>
        <w:rPr>
          <w:rFonts w:ascii="Consolas" w:hAnsi="Consolas"/>
          <w:sz w:val="17"/>
        </w:rPr>
        <w:t>npm run deploy:mainnet:wallet</w:t>
      </w:r>
    </w:p>
    <w:p>
      <w:r>
        <w:t>Open http://127.0.0.1:5180 in the browser containing BridgeKey. Connect, review the gas estimate and acknowledgement, then choose Deploy all three contracts. One suite constructor creates GhostPayNativeEscrow, GhostPayCommunity and GhostChatMainnetTrade. Direct transfers need no contract.</w:t>
      </w:r>
    </w:p>
    <w:p>
      <w:r>
        <w:t>The transaction sends zero principal and spends real MSTC on gas. The suite has no owner/admin powers. The tool reads no wallet private key. If the page closes after signing, use its recovery field with the existing hash instead of deploying again.</w:t>
      </w:r>
    </w:p>
    <w:p>
      <w:r>
        <w:t>After two confirmations, the tool verifies exact creation input and all runtime bytecodes, writes deployments/mst-mainnet.json and updates this README. It never commits, pushes, deploys Vercel or enables Mainnet trading. Preserve the suite build-info: imported child bytecode metadata belongs to the suite compilation job.</w:t>
      </w:r>
    </w:p>
    <w:p>
      <w:r>
        <w:t>Before Mainnet application activation, configure chain-aware frontend discovery, backend contract validation, deployment records, signature domains, private-trade storage namespaces and payment services for chain 4646. Validate the complete workflow with controlled amounts. Pasting Mainnet addresses into the Testnet service is insufficient. The contracts are experimental and unaudited.</w:t>
      </w:r>
    </w:p>
    <w:p>
      <w:pPr>
        <w:pStyle w:val="Heading1"/>
      </w:pPr>
      <w:r>
        <w:t>Local installation</w:t>
      </w:r>
    </w:p>
    <w:p>
      <w:r>
        <w:t>Use Node.js 24, npm, BridgeKey, a reachable Matrix homeserver and Testnet coins for transaction testing.</w:t>
      </w:r>
    </w:p>
    <w:p>
      <w:pPr>
        <w:spacing w:after="40"/>
      </w:pPr>
      <w:r>
        <w:rPr>
          <w:rFonts w:ascii="Consolas" w:hAnsi="Consolas"/>
          <w:sz w:val="17"/>
        </w:rPr>
        <w:t>npm install</w:t>
      </w:r>
    </w:p>
    <w:p>
      <w:pPr>
        <w:spacing w:after="40"/>
      </w:pPr>
      <w:r>
        <w:rPr>
          <w:rFonts w:ascii="Consolas" w:hAnsi="Consolas"/>
          <w:sz w:val="17"/>
        </w:rPr>
        <w:t>npm run compile</w:t>
      </w:r>
    </w:p>
    <w:p>
      <w:pPr>
        <w:spacing w:after="40"/>
      </w:pPr>
      <w:r>
        <w:rPr>
          <w:rFonts w:ascii="Consolas" w:hAnsi="Consolas"/>
          <w:sz w:val="17"/>
        </w:rPr>
        <w:t>npm run build:services</w:t>
      </w:r>
    </w:p>
    <w:p>
      <w:r>
        <w:t>Copy .env.example to the ignored root .env. Configure active settings privately:</w:t>
      </w:r>
    </w:p>
    <w:tbl>
      <w:tblPr>
        <w:tblStyle w:val="TableGrid"/>
        <w:tblW w:type="auto" w:w="0"/>
        <w:tblLayout w:type="fixed"/>
        <w:tblLook w:firstColumn="1" w:firstRow="1" w:lastColumn="0" w:lastRow="0" w:noHBand="0" w:noVBand="1" w:val="04A0"/>
      </w:tblPr>
      <w:tblGrid>
        <w:gridCol w:w="2880"/>
        <w:gridCol w:w="7200"/>
      </w:tblGrid>
      <w:tr>
        <w:trPr>
          <w:cantSplit/>
          <w:tblHeader/>
        </w:trPr>
        <w:tc>
          <w:tcPr>
            <w:tcW w:type="dxa" w:w="2880"/>
            <w:shd w:fill="E8EFED"/>
          </w:tcPr>
          <w:p>
            <w:pPr>
              <w:keepNext/>
              <w:spacing w:after="100" w:before="100"/>
            </w:pPr>
            <w:r>
              <w:rPr>
                <w:b/>
                <w:sz w:val="18"/>
              </w:rPr>
              <w:t>Setting</w:t>
            </w:r>
          </w:p>
        </w:tc>
        <w:tc>
          <w:tcPr>
            <w:tcW w:type="dxa" w:w="7200"/>
            <w:shd w:fill="E8EFED"/>
          </w:tcPr>
          <w:p>
            <w:pPr>
              <w:keepNext/>
              <w:spacing w:after="100" w:before="100"/>
            </w:pPr>
            <w:r>
              <w:rPr>
                <w:b/>
                <w:sz w:val="18"/>
              </w:rPr>
              <w:t>Purpose</w:t>
            </w:r>
          </w:p>
        </w:tc>
      </w:tr>
      <w:tr>
        <w:trPr>
          <w:cantSplit/>
        </w:trPr>
        <w:tc>
          <w:tcPr>
            <w:tcW w:type="dxa" w:w="2880"/>
          </w:tcPr>
          <w:p>
            <w:pPr>
              <w:spacing w:after="100" w:before="100"/>
            </w:pPr>
            <w:r>
              <w:rPr>
                <w:b w:val="0"/>
                <w:sz w:val="18"/>
              </w:rPr>
              <w:t>MST_RPC_URL</w:t>
            </w:r>
          </w:p>
        </w:tc>
        <w:tc>
          <w:tcPr>
            <w:tcW w:type="dxa" w:w="7200"/>
          </w:tcPr>
          <w:p>
            <w:pPr>
              <w:spacing w:after="100" w:before="100"/>
            </w:pPr>
            <w:r>
              <w:rPr>
                <w:b w:val="0"/>
                <w:sz w:val="18"/>
              </w:rPr>
              <w:t>Testnet RPC endpoint</w:t>
            </w:r>
          </w:p>
        </w:tc>
      </w:tr>
      <w:tr>
        <w:trPr>
          <w:cantSplit/>
        </w:trPr>
        <w:tc>
          <w:tcPr>
            <w:tcW w:type="dxa" w:w="2880"/>
          </w:tcPr>
          <w:p>
            <w:pPr>
              <w:spacing w:after="100" w:before="100"/>
            </w:pPr>
            <w:r>
              <w:rPr>
                <w:b w:val="0"/>
                <w:sz w:val="18"/>
              </w:rPr>
              <w:t>MST_MAINNET_RPC_URL</w:t>
            </w:r>
          </w:p>
        </w:tc>
        <w:tc>
          <w:tcPr>
            <w:tcW w:type="dxa" w:w="7200"/>
          </w:tcPr>
          <w:p>
            <w:pPr>
              <w:spacing w:after="100" w:before="100"/>
            </w:pPr>
            <w:r>
              <w:rPr>
                <w:b w:val="0"/>
                <w:sz w:val="18"/>
              </w:rPr>
              <w:t>Mainnet inspection/deployment endpoint</w:t>
            </w:r>
          </w:p>
        </w:tc>
      </w:tr>
      <w:tr>
        <w:trPr>
          <w:cantSplit/>
        </w:trPr>
        <w:tc>
          <w:tcPr>
            <w:tcW w:type="dxa" w:w="2880"/>
          </w:tcPr>
          <w:p>
            <w:pPr>
              <w:spacing w:after="100" w:before="100"/>
            </w:pPr>
            <w:r>
              <w:rPr>
                <w:b w:val="0"/>
                <w:sz w:val="18"/>
              </w:rPr>
              <w:t>FRONTEND_ORIGIN</w:t>
            </w:r>
          </w:p>
        </w:tc>
        <w:tc>
          <w:tcPr>
            <w:tcW w:type="dxa" w:w="7200"/>
          </w:tcPr>
          <w:p>
            <w:pPr>
              <w:spacing w:after="100" w:before="100"/>
            </w:pPr>
            <w:r>
              <w:rPr>
                <w:b w:val="0"/>
                <w:sz w:val="18"/>
              </w:rPr>
              <w:t>Allowed browser origins, including the Vercel URL</w:t>
            </w:r>
          </w:p>
        </w:tc>
      </w:tr>
      <w:tr>
        <w:trPr>
          <w:cantSplit/>
        </w:trPr>
        <w:tc>
          <w:tcPr>
            <w:tcW w:type="dxa" w:w="2880"/>
          </w:tcPr>
          <w:p>
            <w:pPr>
              <w:spacing w:after="100" w:before="100"/>
            </w:pPr>
            <w:r>
              <w:rPr>
                <w:b w:val="0"/>
                <w:sz w:val="18"/>
              </w:rPr>
              <w:t>PROFILE_ENCRYPTION_KEY</w:t>
            </w:r>
          </w:p>
        </w:tc>
        <w:tc>
          <w:tcPr>
            <w:tcW w:type="dxa" w:w="7200"/>
          </w:tcPr>
          <w:p>
            <w:pPr>
              <w:spacing w:after="100" w:before="100"/>
            </w:pPr>
            <w:r>
              <w:rPr>
                <w:b w:val="0"/>
                <w:sz w:val="18"/>
              </w:rPr>
              <w:t>Stable private profile encryption key</w:t>
            </w:r>
          </w:p>
        </w:tc>
      </w:tr>
      <w:tr>
        <w:trPr>
          <w:cantSplit/>
        </w:trPr>
        <w:tc>
          <w:tcPr>
            <w:tcW w:type="dxa" w:w="2880"/>
          </w:tcPr>
          <w:p>
            <w:pPr>
              <w:spacing w:after="100" w:before="100"/>
            </w:pPr>
            <w:r>
              <w:rPr>
                <w:b w:val="0"/>
                <w:sz w:val="18"/>
              </w:rPr>
              <w:t>MATRIX_HOMESERVER</w:t>
            </w:r>
          </w:p>
        </w:tc>
        <w:tc>
          <w:tcPr>
            <w:tcW w:type="dxa" w:w="7200"/>
          </w:tcPr>
          <w:p>
            <w:pPr>
              <w:spacing w:after="100" w:before="100"/>
            </w:pPr>
            <w:r>
              <w:rPr>
                <w:b w:val="0"/>
                <w:sz w:val="18"/>
              </w:rPr>
              <w:t>HTTPS homeserver origin</w:t>
            </w:r>
          </w:p>
        </w:tc>
      </w:tr>
      <w:tr>
        <w:trPr>
          <w:cantSplit/>
        </w:trPr>
        <w:tc>
          <w:tcPr>
            <w:tcW w:type="dxa" w:w="2880"/>
          </w:tcPr>
          <w:p>
            <w:pPr>
              <w:spacing w:after="100" w:before="100"/>
            </w:pPr>
            <w:r>
              <w:rPr>
                <w:b w:val="0"/>
                <w:sz w:val="18"/>
              </w:rPr>
              <w:t>MATRIX_JWT_SECRET</w:t>
            </w:r>
          </w:p>
        </w:tc>
        <w:tc>
          <w:tcPr>
            <w:tcW w:type="dxa" w:w="7200"/>
          </w:tcPr>
          <w:p>
            <w:pPr>
              <w:spacing w:after="100" w:before="100"/>
            </w:pPr>
            <w:r>
              <w:rPr>
                <w:b w:val="0"/>
                <w:sz w:val="18"/>
              </w:rPr>
              <w:t>Private secret shared by the account API and Synapse</w:t>
            </w:r>
          </w:p>
        </w:tc>
      </w:tr>
      <w:tr>
        <w:trPr>
          <w:cantSplit/>
        </w:trPr>
        <w:tc>
          <w:tcPr>
            <w:tcW w:type="dxa" w:w="2880"/>
          </w:tcPr>
          <w:p>
            <w:pPr>
              <w:spacing w:after="100" w:before="100"/>
            </w:pPr>
            <w:r>
              <w:rPr>
                <w:b w:val="0"/>
                <w:sz w:val="18"/>
              </w:rPr>
              <w:t>VITE_MATRIX_HOMESERVER</w:t>
            </w:r>
          </w:p>
        </w:tc>
        <w:tc>
          <w:tcPr>
            <w:tcW w:type="dxa" w:w="7200"/>
          </w:tcPr>
          <w:p>
            <w:pPr>
              <w:spacing w:after="100" w:before="100"/>
            </w:pPr>
            <w:r>
              <w:rPr>
                <w:b w:val="0"/>
                <w:sz w:val="18"/>
              </w:rPr>
              <w:t>Optional public setting in frontend/.env.local</w:t>
            </w:r>
          </w:p>
        </w:tc>
      </w:tr>
    </w:tbl>
    <w:p/>
    <w:p>
      <w:r>
        <w:t>Use infra/matrix configuration scripts for server setup. Keep existing encryption keys stable and backed up. No gateway credentials are needed for the current UPI flow. Never put signing or encryption secrets in VITE_ variables.</w:t>
      </w:r>
    </w:p>
    <w:p>
      <w:pPr>
        <w:spacing w:after="40"/>
      </w:pPr>
      <w:r>
        <w:rPr>
          <w:rFonts w:ascii="Consolas" w:hAnsi="Consolas"/>
          <w:sz w:val="17"/>
        </w:rPr>
        <w:t>npm start</w:t>
      </w:r>
    </w:p>
    <w:p>
      <w:pPr>
        <w:spacing w:after="40"/>
      </w:pPr>
      <w:r>
        <w:rPr>
          <w:rFonts w:ascii="Consolas" w:hAnsi="Consolas"/>
          <w:sz w:val="17"/>
        </w:rPr>
        <w:t># or development watchers:</w:t>
      </w:r>
    </w:p>
    <w:p>
      <w:pPr>
        <w:spacing w:after="40"/>
      </w:pPr>
      <w:r>
        <w:rPr>
          <w:rFonts w:ascii="Consolas" w:hAnsi="Consolas"/>
          <w:sz w:val="17"/>
        </w:rPr>
        <w:t>npm run dev</w:t>
      </w:r>
    </w:p>
    <w:p>
      <w:r>
        <w:t>Frontend: http://localhost:5173. API: http://127.0.0.1:3001. / is the landing page, /start handles onboarding, /chat opens messaging. /trade, /payments, /create and campaign/payment links open workspace tools.</w:t>
      </w:r>
    </w:p>
    <w:p>
      <w:pPr>
        <w:pStyle w:val="Heading1"/>
      </w:pPr>
      <w:r>
        <w:t>Repository map</w:t>
      </w:r>
    </w:p>
    <w:tbl>
      <w:tblPr>
        <w:tblStyle w:val="TableGrid"/>
        <w:tblW w:type="auto" w:w="0"/>
        <w:tblLayout w:type="fixed"/>
        <w:tblLook w:firstColumn="1" w:firstRow="1" w:lastColumn="0" w:lastRow="0" w:noHBand="0" w:noVBand="1" w:val="04A0"/>
      </w:tblPr>
      <w:tblGrid>
        <w:gridCol w:w="2880"/>
        <w:gridCol w:w="7200"/>
      </w:tblGrid>
      <w:tr>
        <w:trPr>
          <w:cantSplit/>
          <w:tblHeader/>
        </w:trPr>
        <w:tc>
          <w:tcPr>
            <w:tcW w:type="dxa" w:w="2880"/>
            <w:shd w:fill="E8EFED"/>
          </w:tcPr>
          <w:p>
            <w:pPr>
              <w:keepNext/>
              <w:spacing w:after="100" w:before="100"/>
            </w:pPr>
            <w:r>
              <w:rPr>
                <w:b/>
                <w:sz w:val="18"/>
              </w:rPr>
              <w:t>Path</w:t>
            </w:r>
          </w:p>
        </w:tc>
        <w:tc>
          <w:tcPr>
            <w:tcW w:type="dxa" w:w="7200"/>
            <w:shd w:fill="E8EFED"/>
          </w:tcPr>
          <w:p>
            <w:pPr>
              <w:keepNext/>
              <w:spacing w:after="100" w:before="100"/>
            </w:pPr>
            <w:r>
              <w:rPr>
                <w:b/>
                <w:sz w:val="18"/>
              </w:rPr>
              <w:t>Responsibility</w:t>
            </w:r>
          </w:p>
        </w:tc>
      </w:tr>
      <w:tr>
        <w:trPr>
          <w:cantSplit/>
        </w:trPr>
        <w:tc>
          <w:tcPr>
            <w:tcW w:type="dxa" w:w="2880"/>
          </w:tcPr>
          <w:p>
            <w:pPr>
              <w:spacing w:after="100" w:before="100"/>
            </w:pPr>
            <w:r>
              <w:rPr>
                <w:b w:val="0"/>
                <w:sz w:val="18"/>
              </w:rPr>
              <w:t>frontend/src/messenger</w:t>
            </w:r>
          </w:p>
        </w:tc>
        <w:tc>
          <w:tcPr>
            <w:tcW w:type="dxa" w:w="7200"/>
          </w:tcPr>
          <w:p>
            <w:pPr>
              <w:spacing w:after="100" w:before="100"/>
            </w:pPr>
            <w:r>
              <w:rPr>
                <w:b w:val="0"/>
                <w:sz w:val="18"/>
              </w:rPr>
              <w:t>Matrix client, sessions, rooms and chat controls</w:t>
            </w:r>
          </w:p>
        </w:tc>
      </w:tr>
      <w:tr>
        <w:trPr>
          <w:cantSplit/>
        </w:trPr>
        <w:tc>
          <w:tcPr>
            <w:tcW w:type="dxa" w:w="2880"/>
          </w:tcPr>
          <w:p>
            <w:pPr>
              <w:spacing w:after="100" w:before="100"/>
            </w:pPr>
            <w:r>
              <w:rPr>
                <w:b w:val="0"/>
                <w:sz w:val="18"/>
              </w:rPr>
              <w:t>frontend/src/wallet</w:t>
            </w:r>
          </w:p>
        </w:tc>
        <w:tc>
          <w:tcPr>
            <w:tcW w:type="dxa" w:w="7200"/>
          </w:tcPr>
          <w:p>
            <w:pPr>
              <w:spacing w:after="100" w:before="100"/>
            </w:pPr>
            <w:r>
              <w:rPr>
                <w:b w:val="0"/>
                <w:sz w:val="18"/>
              </w:rPr>
              <w:t>BridgeKey login, profiles and session restoration</w:t>
            </w:r>
          </w:p>
        </w:tc>
      </w:tr>
      <w:tr>
        <w:trPr>
          <w:cantSplit/>
        </w:trPr>
        <w:tc>
          <w:tcPr>
            <w:tcW w:type="dxa" w:w="2880"/>
          </w:tcPr>
          <w:p>
            <w:pPr>
              <w:spacing w:after="100" w:before="100"/>
            </w:pPr>
            <w:r>
              <w:rPr>
                <w:b w:val="0"/>
                <w:sz w:val="18"/>
              </w:rPr>
              <w:t>frontend/src/payments</w:t>
            </w:r>
          </w:p>
        </w:tc>
        <w:tc>
          <w:tcPr>
            <w:tcW w:type="dxa" w:w="7200"/>
          </w:tcPr>
          <w:p>
            <w:pPr>
              <w:spacing w:after="100" w:before="100"/>
            </w:pPr>
            <w:r>
              <w:rPr>
                <w:b w:val="0"/>
                <w:sz w:val="18"/>
              </w:rPr>
              <w:t>Transfers, links, allocations, claims and activity</w:t>
            </w:r>
          </w:p>
        </w:tc>
      </w:tr>
      <w:tr>
        <w:trPr>
          <w:cantSplit/>
        </w:trPr>
        <w:tc>
          <w:tcPr>
            <w:tcW w:type="dxa" w:w="2880"/>
          </w:tcPr>
          <w:p>
            <w:pPr>
              <w:spacing w:after="100" w:before="100"/>
            </w:pPr>
            <w:r>
              <w:rPr>
                <w:b w:val="0"/>
                <w:sz w:val="18"/>
              </w:rPr>
              <w:t>frontend/src/p2p</w:t>
            </w:r>
          </w:p>
        </w:tc>
        <w:tc>
          <w:tcPr>
            <w:tcW w:type="dxa" w:w="7200"/>
          </w:tcPr>
          <w:p>
            <w:pPr>
              <w:spacing w:after="100" w:before="100"/>
            </w:pPr>
            <w:r>
              <w:rPr>
                <w:b w:val="0"/>
                <w:sz w:val="18"/>
              </w:rPr>
              <w:t>Offer board, private UPI details and confirmations</w:t>
            </w:r>
          </w:p>
        </w:tc>
      </w:tr>
      <w:tr>
        <w:trPr>
          <w:cantSplit/>
        </w:trPr>
        <w:tc>
          <w:tcPr>
            <w:tcW w:type="dxa" w:w="2880"/>
          </w:tcPr>
          <w:p>
            <w:pPr>
              <w:spacing w:after="100" w:before="100"/>
            </w:pPr>
            <w:r>
              <w:rPr>
                <w:b w:val="0"/>
                <w:sz w:val="18"/>
              </w:rPr>
              <w:t>server/src</w:t>
            </w:r>
          </w:p>
        </w:tc>
        <w:tc>
          <w:tcPr>
            <w:tcW w:type="dxa" w:w="7200"/>
          </w:tcPr>
          <w:p>
            <w:pPr>
              <w:spacing w:after="100" w:before="100"/>
            </w:pPr>
            <w:r>
              <w:rPr>
                <w:b w:val="0"/>
                <w:sz w:val="18"/>
              </w:rPr>
              <w:t>Account API, private storage and chain validation</w:t>
            </w:r>
          </w:p>
        </w:tc>
      </w:tr>
      <w:tr>
        <w:trPr>
          <w:cantSplit/>
        </w:trPr>
        <w:tc>
          <w:tcPr>
            <w:tcW w:type="dxa" w:w="2880"/>
          </w:tcPr>
          <w:p>
            <w:pPr>
              <w:spacing w:after="100" w:before="100"/>
            </w:pPr>
            <w:r>
              <w:rPr>
                <w:b w:val="0"/>
                <w:sz w:val="18"/>
              </w:rPr>
              <w:t>shared</w:t>
            </w:r>
          </w:p>
        </w:tc>
        <w:tc>
          <w:tcPr>
            <w:tcW w:type="dxa" w:w="7200"/>
          </w:tcPr>
          <w:p>
            <w:pPr>
              <w:spacing w:after="100" w:before="100"/>
            </w:pPr>
            <w:r>
              <w:rPr>
                <w:b w:val="0"/>
                <w:sz w:val="18"/>
              </w:rPr>
              <w:t>Networks, identities and signed payload definitions</w:t>
            </w:r>
          </w:p>
        </w:tc>
      </w:tr>
      <w:tr>
        <w:trPr>
          <w:cantSplit/>
        </w:trPr>
        <w:tc>
          <w:tcPr>
            <w:tcW w:type="dxa" w:w="2880"/>
          </w:tcPr>
          <w:p>
            <w:pPr>
              <w:spacing w:after="100" w:before="100"/>
            </w:pPr>
            <w:r>
              <w:rPr>
                <w:b w:val="0"/>
                <w:sz w:val="18"/>
              </w:rPr>
              <w:t>contracts/contracts</w:t>
            </w:r>
          </w:p>
        </w:tc>
        <w:tc>
          <w:tcPr>
            <w:tcW w:type="dxa" w:w="7200"/>
          </w:tcPr>
          <w:p>
            <w:pPr>
              <w:spacing w:after="100" w:before="100"/>
            </w:pPr>
            <w:r>
              <w:rPr>
                <w:b w:val="0"/>
                <w:sz w:val="18"/>
              </w:rPr>
              <w:t>Solidity payment modules</w:t>
            </w:r>
          </w:p>
        </w:tc>
      </w:tr>
      <w:tr>
        <w:trPr>
          <w:cantSplit/>
        </w:trPr>
        <w:tc>
          <w:tcPr>
            <w:tcW w:type="dxa" w:w="2880"/>
          </w:tcPr>
          <w:p>
            <w:pPr>
              <w:spacing w:after="100" w:before="100"/>
            </w:pPr>
            <w:r>
              <w:rPr>
                <w:b w:val="0"/>
                <w:sz w:val="18"/>
              </w:rPr>
              <w:t>infra/matrix</w:t>
            </w:r>
          </w:p>
        </w:tc>
        <w:tc>
          <w:tcPr>
            <w:tcW w:type="dxa" w:w="7200"/>
          </w:tcPr>
          <w:p>
            <w:pPr>
              <w:spacing w:after="100" w:before="100"/>
            </w:pPr>
            <w:r>
              <w:rPr>
                <w:b w:val="0"/>
                <w:sz w:val="18"/>
              </w:rPr>
              <w:t>EC2, Docker, Synapse, PostgreSQL and Caddy configuration</w:t>
            </w:r>
          </w:p>
        </w:tc>
      </w:tr>
      <w:tr>
        <w:trPr>
          <w:cantSplit/>
        </w:trPr>
        <w:tc>
          <w:tcPr>
            <w:tcW w:type="dxa" w:w="2880"/>
          </w:tcPr>
          <w:p>
            <w:pPr>
              <w:spacing w:after="100" w:before="100"/>
            </w:pPr>
            <w:r>
              <w:rPr>
                <w:b w:val="0"/>
                <w:sz w:val="18"/>
              </w:rPr>
              <w:t>scripts/mainnet-deployment</w:t>
            </w:r>
          </w:p>
        </w:tc>
        <w:tc>
          <w:tcPr>
            <w:tcW w:type="dxa" w:w="7200"/>
          </w:tcPr>
          <w:p>
            <w:pPr>
              <w:spacing w:after="100" w:before="100"/>
            </w:pPr>
            <w:r>
              <w:rPr>
                <w:b w:val="0"/>
                <w:sz w:val="18"/>
              </w:rPr>
              <w:t>Local BridgeKey batch deployer and receipt verifier</w:t>
            </w:r>
          </w:p>
        </w:tc>
      </w:tr>
      <w:tr>
        <w:trPr>
          <w:cantSplit/>
        </w:trPr>
        <w:tc>
          <w:tcPr>
            <w:tcW w:type="dxa" w:w="2880"/>
          </w:tcPr>
          <w:p>
            <w:pPr>
              <w:spacing w:after="100" w:before="100"/>
            </w:pPr>
            <w:r>
              <w:rPr>
                <w:b w:val="0"/>
                <w:sz w:val="18"/>
              </w:rPr>
              <w:t>deployments</w:t>
            </w:r>
          </w:p>
        </w:tc>
        <w:tc>
          <w:tcPr>
            <w:tcW w:type="dxa" w:w="7200"/>
          </w:tcPr>
          <w:p>
            <w:pPr>
              <w:spacing w:after="100" w:before="100"/>
            </w:pPr>
            <w:r>
              <w:rPr>
                <w:b w:val="0"/>
                <w:sz w:val="18"/>
              </w:rPr>
              <w:t>Public deployment records</w:t>
            </w:r>
          </w:p>
        </w:tc>
      </w:tr>
      <w:tr>
        <w:trPr>
          <w:cantSplit/>
        </w:trPr>
        <w:tc>
          <w:tcPr>
            <w:tcW w:type="dxa" w:w="2880"/>
          </w:tcPr>
          <w:p>
            <w:pPr>
              <w:spacing w:after="100" w:before="100"/>
            </w:pPr>
            <w:r>
              <w:rPr>
                <w:b w:val="0"/>
                <w:sz w:val="18"/>
              </w:rPr>
              <w:t>vercel-site</w:t>
            </w:r>
          </w:p>
        </w:tc>
        <w:tc>
          <w:tcPr>
            <w:tcW w:type="dxa" w:w="7200"/>
          </w:tcPr>
          <w:p>
            <w:pPr>
              <w:spacing w:after="100" w:before="100"/>
            </w:pPr>
            <w:r>
              <w:rPr>
                <w:b w:val="0"/>
                <w:sz w:val="18"/>
              </w:rPr>
              <w:t>Hosted assets and API proxy allowlist</w:t>
            </w:r>
          </w:p>
        </w:tc>
      </w:tr>
    </w:tbl>
    <w:p/>
    <w:p>
      <w:pPr>
        <w:pStyle w:val="Heading1"/>
      </w:pPr>
      <w:r>
        <w:t>Operations and validation</w:t>
      </w:r>
    </w:p>
    <w:p>
      <w:r>
        <w:t>Build the frontend using npm run build -w frontend; node scripts/sync-vercel.mjs prepares Vercel assets. Preserve required operations assets when refreshing that directory. The proxy forwards permitted API routes to the configured EC2 origin.</w:t>
      </w:r>
    </w:p>
    <w:p>
      <w:r>
        <w:t>The EC2 bundle lives at /home/ubuntu/ghostchat-matrix; the app service is ghostchat-api. Use explicit Compose paths to avoid inherited relative COMPOSE_FILE errors:</w:t>
      </w:r>
    </w:p>
    <w:p>
      <w:pPr>
        <w:spacing w:after="40"/>
      </w:pPr>
      <w:r>
        <w:rPr>
          <w:rFonts w:ascii="Consolas" w:hAnsi="Consolas"/>
          <w:sz w:val="17"/>
        </w:rPr>
        <w:t>sudo docker compose --project-directory /home/ubuntu/ghostchat-matrix \</w:t>
      </w:r>
    </w:p>
    <w:p>
      <w:pPr>
        <w:spacing w:after="40"/>
      </w:pPr>
      <w:r>
        <w:rPr>
          <w:rFonts w:ascii="Consolas" w:hAnsi="Consolas"/>
          <w:sz w:val="17"/>
        </w:rPr>
        <w:t xml:space="preserve">  -f /home/ubuntu/ghostchat-matrix/compose.yaml \</w:t>
      </w:r>
    </w:p>
    <w:p>
      <w:pPr>
        <w:spacing w:after="40"/>
      </w:pPr>
      <w:r>
        <w:rPr>
          <w:rFonts w:ascii="Consolas" w:hAnsi="Consolas"/>
          <w:sz w:val="17"/>
        </w:rPr>
        <w:t xml:space="preserve">  -f /home/ubuntu/ghostchat-matrix/relay.compose.yaml ps</w:t>
      </w:r>
    </w:p>
    <w:p>
      <w:r>
        <w:t>Back up PostgreSQL, Synapse data, relay databases, profile/UPI keys and JWT settings. Keep browser room-key backups. Frontend hosting alone cannot provide messaging without the Matrix and account services.</w:t>
      </w:r>
    </w:p>
    <w:p>
      <w:pPr>
        <w:spacing w:after="40"/>
      </w:pPr>
      <w:r>
        <w:rPr>
          <w:rFonts w:ascii="Consolas" w:hAnsi="Consolas"/>
          <w:sz w:val="17"/>
        </w:rPr>
        <w:t>npm run test -w contracts</w:t>
      </w:r>
    </w:p>
    <w:p>
      <w:pPr>
        <w:spacing w:after="40"/>
      </w:pPr>
      <w:r>
        <w:rPr>
          <w:rFonts w:ascii="Consolas" w:hAnsi="Consolas"/>
          <w:sz w:val="17"/>
        </w:rPr>
        <w:t>npm run test -w server</w:t>
      </w:r>
    </w:p>
    <w:p>
      <w:pPr>
        <w:spacing w:after="40"/>
      </w:pPr>
      <w:r>
        <w:rPr>
          <w:rFonts w:ascii="Consolas" w:hAnsi="Consolas"/>
          <w:sz w:val="17"/>
        </w:rPr>
        <w:t>npm run test:messenger</w:t>
      </w:r>
    </w:p>
    <w:p>
      <w:pPr>
        <w:spacing w:after="40"/>
      </w:pPr>
      <w:r>
        <w:rPr>
          <w:rFonts w:ascii="Consolas" w:hAnsi="Consolas"/>
          <w:sz w:val="17"/>
        </w:rPr>
        <w:t>npm run test:matrix</w:t>
      </w:r>
    </w:p>
    <w:p>
      <w:pPr>
        <w:spacing w:after="40"/>
      </w:pPr>
      <w:r>
        <w:rPr>
          <w:rFonts w:ascii="Consolas" w:hAnsi="Consolas"/>
          <w:sz w:val="17"/>
        </w:rPr>
        <w:t>npm run build -w frontend</w:t>
      </w:r>
    </w:p>
    <w:p>
      <w:r>
        <w:t>Mainnet suite tests use a local EVM with chain ID 4646 to check atomic deployment, exact child runtimes and mutual confirmation settlement. Tests also reject deploying the suite on Testnet. Local tests do not establish an external Mainnet deployment or bank payment.</w:t>
      </w:r>
    </w:p>
    <w:p>
      <w:pPr>
        <w:pStyle w:val="Heading1"/>
      </w:pPr>
      <w:r>
        <w:t>Security and practical limits</w:t>
      </w:r>
    </w:p>
    <w:p>
      <w:pPr>
        <w:pStyle w:val="ListBullet"/>
      </w:pPr>
      <w:r>
        <w:t>Matrix encrypts room content; membership, community names and timing metadata can remain visible. Device verification and key backups matter.</w:t>
      </w:r>
    </w:p>
    <w:p>
      <w:pPr>
        <w:pStyle w:val="ListBullet"/>
      </w:pPr>
      <w:r>
        <w:t>Wallet ownership proves key control, not legal identity. Username resolution relies on the application directory.</w:t>
      </w:r>
    </w:p>
    <w:p>
      <w:pPr>
        <w:pStyle w:val="ListBullet"/>
      </w:pPr>
      <w:r>
        <w:t>Private UPI details stay out of public offers, chain events and chat shares. The server can decrypt them; an authorized participant can copy what they see.</w:t>
      </w:r>
    </w:p>
    <w:p>
      <w:pPr>
        <w:pStyle w:val="ListBullet"/>
      </w:pPr>
      <w:r>
        <w:t>Wallets, amounts, allocations, commitments and transaction activity are public on-chain.</w:t>
      </w:r>
    </w:p>
    <w:p>
      <w:pPr>
        <w:pStyle w:val="ListBullet"/>
      </w:pPr>
      <w:r>
        <w:t>UPI reference equality is mutual confirmation, not independent bank verification or a ZK proof.</w:t>
      </w:r>
    </w:p>
    <w:p>
      <w:pPr>
        <w:pStyle w:val="ListBullet"/>
      </w:pPr>
      <w:r>
        <w:t>Users currently pay network gas. A backend proxy/signer does not make transactions gasless.</w:t>
      </w:r>
    </w:p>
    <w:p>
      <w:pPr>
        <w:pStyle w:val="Heading1"/>
      </w:pPr>
      <w:r>
        <w:t>Project documents</w:t>
      </w:r>
    </w:p>
    <w:p>
      <w:pPr>
        <w:pStyle w:val="ListBullet"/>
      </w:pPr>
      <w:r>
        <w:t>Current implementation documentation (docs/GhostChat-Current-Implementation.docx)</w:t>
      </w:r>
    </w:p>
    <w:p>
      <w:pPr>
        <w:pStyle w:val="ListBullet"/>
      </w:pPr>
      <w:r>
        <w:t>Current implementation presentation (docs/GhostChat-Current-Implementation.pptx)</w:t>
      </w:r>
    </w:p>
    <w:p>
      <w:pPr>
        <w:pStyle w:val="ListBullet"/>
      </w:pPr>
      <w:r>
        <w:t>Mainnet batch deployment instructions (docs/MAINNET-BATCH-DEPLOYMENT.md)</w:t>
      </w:r>
    </w:p>
    <w:p>
      <w:r>
        <w:t>Maintainer: Prem Bharne, Pune, India. Public contact: prembhrane455@gmail.com.</w:t>
      </w:r>
    </w:p>
    <w:p>
      <w:pPr>
        <w:pStyle w:val="Heading1"/>
      </w:pPr>
      <w:r>
        <w:t>Technical reference</w:t>
      </w:r>
    </w:p>
    <w:p>
      <w:pPr>
        <w:pStyle w:val="Heading2"/>
      </w:pPr>
      <w:r>
        <w:t>Identity and account lifecycle</w:t>
      </w:r>
    </w:p>
    <w:p>
      <w:r>
        <w:t>WalletAccounts stores five minute origin-bound challenges and hashed bearer sessions in SQLite. A challenge is single use. A successful signature establishes a one hour application session. Matrix login uses a JWT with a 60 second lifetime, signed privately by the API for the configured Synapse server. The account localpart derives from the wallet address; public usernames remain an application directory mapping.</w:t>
      </w:r>
    </w:p>
    <w:p>
      <w:pPr>
        <w:pStyle w:val="Heading2"/>
      </w:pPr>
      <w:r>
        <w:t>Active API surfaces</w:t>
      </w:r>
    </w:p>
    <w:p>
      <w:r>
        <w:t>GET /api/account/config reports account and Matrix availability. POST /api/account/wallet-auth/challenge and /login authenticate wallet ownership.</w:t>
      </w:r>
    </w:p>
    <w:p>
      <w:r>
        <w:t>The /api/account endpoints serve the authenticated profile and Matrix ticket. /api/profiles resolves registered identities. Sensitive account responses use no-store caching.</w:t>
      </w:r>
    </w:p>
    <w:p>
      <w:r>
        <w:t>Under /api/account/p2p-details, profile-read and profile-save manage reusable UPI details. read and save handle trade-specific snapshots. simple-config and simple-register manage the configured P2P deployment.</w:t>
      </w:r>
    </w:p>
    <w:p>
      <w:r>
        <w:t>The utr operation produces reference status and actor-bound attestations; offers-* operations manage the buyer offer board. A wallet session and current on-chain party validation protect private trade data.</w:t>
      </w:r>
    </w:p>
    <w:p>
      <w:r>
        <w:t>/api/deployment and /api/health report deployment and RPC status. /api/requests handles payment-link claim requests and the sender authorization/rejection flow. Vercel forwards only permitted proxy paths.</w:t>
      </w:r>
    </w:p>
    <w:p>
      <w:pPr>
        <w:pStyle w:val="Heading2"/>
      </w:pPr>
      <w:r>
        <w:t>P2P states and trust</w:t>
      </w:r>
    </w:p>
    <w:p>
      <w:r>
        <w:t>The mutual-confirmation contract uses states 1 funded, 3 confirmation pending, 4 released, 5 returned and 6 mismatch or dispute. Confirmations bind actor, trade, escrow and chain. Active trades accept corrected independently signed references. Both cancellation approvals return the deposit to the seller. No participant may unilaterally withdraw an active trade, and no administrator adjudicates a bank transfer.</w:t>
      </w:r>
    </w:p>
    <w:p>
      <w:r>
        <w:t>The relay sees each submitted reference, normalizes it, and derives a stable commitment with a private HMAC key. An EIP-712 signature authenticates that commitment to the escrow. The signer is derived from the persistent private P2P key; losing or changing that key can prevent confirmation of existing trades. The Mainnet suite currently has no corresponding activated Mainnet attestation service.</w:t>
      </w:r>
    </w:p>
    <w:p>
      <w:pPr>
        <w:pStyle w:val="Heading2"/>
      </w:pPr>
      <w:r>
        <w:t>Data persistence and recovery</w:t>
      </w:r>
    </w:p>
    <w:p>
      <w:r>
        <w:t>accounts.sqlite stores application profile data; wallet-sessions.sqlite stores challenges and sessions; private-p2p.sqlite stores encrypted payment profiles, trade snapshots, reference commitments and offer/configuration records. private-p2p.key protects private payment data and derives the confirmation signer. PostgreSQL stores Synapse data. Persistent volumes and encryption/signing keys must be backed up together.</w:t>
      </w:r>
    </w:p>
    <w:p>
      <w:r>
        <w:t>Browser crypto storage contains the message keys needed for Matrix history. The room-key export file uses AES-256-GCM, a random salt and IV, and PBKDF2-SHA256 with 250000 iterations. The backup password must contain at least 12 characters. Import runs in the browser. This file neither restores the BridgeKey wallet nor independently verifies another chat device.</w:t>
      </w:r>
    </w:p>
    <w:p>
      <w:pPr>
        <w:pStyle w:val="Heading2"/>
      </w:pPr>
      <w:r>
        <w:t>Source map for review</w:t>
      </w:r>
    </w:p>
    <w:p>
      <w:pPr>
        <w:pStyle w:val="ListBullet"/>
      </w:pPr>
      <w:r>
        <w:t>Account authentication  server/src/walletAccounts.ts and frontend/src/wallet</w:t>
      </w:r>
    </w:p>
    <w:p>
      <w:pPr>
        <w:pStyle w:val="ListBullet"/>
      </w:pPr>
      <w:r>
        <w:t>Messaging  frontend/src/messenger/matrix.ts, communitySetup.ts, sessionStore.ts, KeyRecovery.tsx and keyBackup.ts</w:t>
      </w:r>
    </w:p>
    <w:p>
      <w:pPr>
        <w:pStyle w:val="ListBullet"/>
      </w:pPr>
      <w:r>
        <w:t>Community allocations  contracts/contracts/GhostPayCommunity.sol, shared/allocationPlan.ts and frontend/src/payments/CampaignComposer.tsx</w:t>
      </w:r>
    </w:p>
    <w:p>
      <w:pPr>
        <w:pStyle w:val="ListBullet"/>
      </w:pPr>
      <w:r>
        <w:t>P2P market and privacy  server/src/buyOffers.ts and privateTradeDetails.ts; frontend/src/p2p/OfferBoard.tsx, SellerTrade.tsx, TradePaymentDetails.tsx and UTRPanel.tsx</w:t>
      </w:r>
    </w:p>
    <w:p>
      <w:pPr>
        <w:pStyle w:val="ListBullet"/>
      </w:pPr>
      <w:r>
        <w:t>Reference protocol  shared/utrConfirmation.ts and contracts/contracts/GhostChatUTRTrade.sol</w:t>
      </w:r>
    </w:p>
    <w:p>
      <w:pPr>
        <w:pStyle w:val="ListBullet"/>
      </w:pPr>
      <w:r>
        <w:t>Mainnet batch  contracts/contracts/GhostChatMainnetSuite.sol, GhostChatMainnetTrade.sol and scripts/mainnet-deployment</w:t>
      </w:r>
    </w:p>
    <w:p>
      <w:pPr>
        <w:pStyle w:val="ListBullet"/>
      </w:pPr>
      <w:r>
        <w:t>Deployment evidence  deployments/mst-mainnet.json and the transaction URL in the Mainnet address table</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GhostChat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rial" w:hAnsi="Arial"/>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rial" w:hAnsi="Arial"/>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80" w:after="140"/>
      <w:outlineLvl w:val="2"/>
    </w:pPr>
    <w:rPr>
      <w:rFonts w:asciiTheme="majorHAnsi" w:eastAsiaTheme="majorEastAsia" w:hAnsiTheme="majorHAnsi" w:cstheme="majorBidi" w:ascii="Arial" w:hAnsi="Arial"/>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280"/>
      <w:contextualSpacing/>
    </w:pPr>
    <w:rPr>
      <w:rFonts w:asciiTheme="majorHAnsi" w:eastAsiaTheme="majorEastAsia" w:hAnsiTheme="majorHAnsi" w:cstheme="majorBidi" w:ascii="Arial" w:hAnsi="Arial"/>
      <w:color w:val="000000"/>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