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120" w:before="120"/>
        <w:jc w:val="center"/>
      </w:pPr>
      <w:r>
        <w:rPr>
          <w:b/>
          <w:bCs/>
          <w:color w:val="FFFFFF"/>
          <w:spacing w:val="300"/>
          <w:sz w:val="18"/>
          <w:szCs w:val="18"/>
        </w:rPr>
        <w:t xml:space="preserve">EXECUTIVE SUMMARY</w:t>
      </w:r>
    </w:p>
    <w:p>
      <w:pPr>
        <w:spacing w:after="100" w:before="200"/>
        <w:jc w:val="center"/>
      </w:pPr>
      <w:r>
        <w:rPr>
          <w:b/>
          <w:bCs/>
          <w:color w:val="1F3864"/>
          <w:sz w:val="40"/>
          <w:szCs w:val="40"/>
        </w:rPr>
        <w:t xml:space="preserve">Student Segmentation &amp; Personalized Course Recommendation System</w:t>
      </w:r>
    </w:p>
    <w:p>
      <w:pPr>
        <w:spacing w:after="240"/>
        <w:jc w:val="center"/>
      </w:pPr>
      <w:r>
        <w:rPr>
          <w:i/>
          <w:iCs/>
          <w:color w:val="2E5B99"/>
          <w:sz w:val="22"/>
          <w:szCs w:val="22"/>
        </w:rPr>
        <w:t xml:space="preserve">EduPro Online Learning Platform | Data Analytics Initiative |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9"/>
                <w:szCs w:val="19"/>
              </w:rPr>
              <w:t xml:space="preserve">3,000</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9"/>
                <w:szCs w:val="19"/>
              </w:rPr>
              <w:t xml:space="preserve">10,000</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9"/>
                <w:szCs w:val="19"/>
              </w:rPr>
              <w:t xml:space="preserve">4</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9"/>
                <w:szCs w:val="19"/>
              </w:rPr>
              <w:t xml:space="preserve">0.205</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9"/>
                <w:szCs w:val="19"/>
              </w:rPr>
              <w:t xml:space="preserve">Active Learners Analyzed</w:t>
            </w:r>
          </w:p>
        </w:tc>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9"/>
                <w:szCs w:val="19"/>
              </w:rPr>
              <w:t xml:space="preserve">Total Enrollments Processed</w:t>
            </w:r>
          </w:p>
        </w:tc>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9"/>
                <w:szCs w:val="19"/>
              </w:rPr>
              <w:t xml:space="preserve">Distinct Learner Segments</w:t>
            </w:r>
          </w:p>
        </w:tc>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9"/>
                <w:szCs w:val="19"/>
              </w:rPr>
              <w:t xml:space="preserve">Cluster Silhouette Score</w:t>
            </w:r>
          </w:p>
        </w:tc>
      </w:tr>
    </w:tbl>
    <w:p>
      <w:pPr>
        <w:spacing w:after="60"/>
      </w:pPr>
      <w:r>
        <w:t xml:space="preserve"/>
      </w:r>
    </w:p>
    <w:p>
      <w:pPr>
        <w:spacing w:after="60"/>
      </w:pPr>
      <w:r>
        <w:t xml:space="preserve"/>
      </w:r>
    </w:p>
    <w:p>
      <w:pPr>
        <w:pStyle w:val="Heading1"/>
      </w:pPr>
      <w:r>
        <w:rPr>
          <w:b/>
          <w:bCs/>
          <w:color w:val="1F3864"/>
          <w:sz w:val="30"/>
          <w:szCs w:val="30"/>
        </w:rPr>
        <w:t xml:space="preserve">Purpose and Mandate</w:t>
      </w:r>
    </w:p>
    <w:p>
      <w:pPr>
        <w:spacing w:after="120"/>
        <w:jc w:val="both"/>
      </w:pPr>
      <w:r>
        <w:rPr>
          <w:sz w:val="22"/>
          <w:szCs w:val="22"/>
        </w:rPr>
        <w:t xml:space="preserve">This executive summary presents the findings and recommendations from EduPro's inaugural data-driven learner segmentation study. The initiative was designed to address a fundamental gap in EduPro's platform strategy: the absence of learner differentiation in course recommendations. By leveraging machine learning on enrollment behavior, demographic data, and course preferences, EduPro can now classify all platform users into four actionable learner personas and deliver personalized learning experiences at scale.</w:t>
      </w:r>
    </w:p>
    <w:p>
      <w:pPr>
        <w:spacing w:after="120"/>
        <w:jc w:val="both"/>
      </w:pPr>
      <w:r>
        <w:rPr>
          <w:sz w:val="22"/>
          <w:szCs w:val="22"/>
        </w:rPr>
        <w:t xml:space="preserve">This analysis is intended to inform policy decisions on platform investment, content strategy, and digital education effectiveness for government stakeholders overseeing online learning infrastructure and workforce development programs.</w:t>
      </w:r>
    </w:p>
    <w:p>
      <w:pPr>
        <w:spacing w:after="60"/>
      </w:pPr>
      <w:r>
        <w:t xml:space="preserve"/>
      </w:r>
    </w:p>
    <w:p>
      <w:pPr>
        <w:pStyle w:val="Heading1"/>
      </w:pPr>
      <w:r>
        <w:rPr>
          <w:b/>
          <w:bCs/>
          <w:color w:val="1F3864"/>
          <w:sz w:val="30"/>
          <w:szCs w:val="30"/>
        </w:rPr>
        <w:t xml:space="preserve">Key Findings</w:t>
      </w:r>
    </w:p>
    <w:p>
      <w:pPr>
        <w:pStyle w:val="Heading2"/>
      </w:pPr>
      <w:r>
        <w:rPr>
          <w:b/>
          <w:bCs/>
          <w:color w:val="2E5B99"/>
          <w:sz w:val="24"/>
          <w:szCs w:val="24"/>
        </w:rPr>
        <w:t xml:space="preserve">Finding 1: Four Distinct Learner Personas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6"/>
        <w:gridCol w:w="1170"/>
        <w:gridCol w:w="1170"/>
        <w:gridCol w:w="1170"/>
        <w:gridCol w:w="3744"/>
      </w:tblGrid>
      <w:tr>
        <w:tc>
          <w:tcPr>
            <w:tcW w:type="dxa" w:w="210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9"/>
                <w:szCs w:val="19"/>
              </w:rPr>
              <w:t xml:space="preserve">Persona</w:t>
            </w:r>
          </w:p>
        </w:tc>
        <w:tc>
          <w:tcPr>
            <w:tcW w:type="dxa" w:w="117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9"/>
                <w:szCs w:val="19"/>
              </w:rPr>
              <w:t xml:space="preserve">Share</w:t>
            </w:r>
          </w:p>
        </w:tc>
        <w:tc>
          <w:tcPr>
            <w:tcW w:type="dxa" w:w="117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9"/>
                <w:szCs w:val="19"/>
              </w:rPr>
              <w:t xml:space="preserve">Avg Spend</w:t>
            </w:r>
          </w:p>
        </w:tc>
        <w:tc>
          <w:tcPr>
            <w:tcW w:type="dxa" w:w="117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9"/>
                <w:szCs w:val="19"/>
              </w:rPr>
              <w:t xml:space="preserve">Avg Courses</w:t>
            </w:r>
          </w:p>
        </w:tc>
        <w:tc>
          <w:tcPr>
            <w:tcW w:type="dxa" w:w="374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9"/>
                <w:szCs w:val="19"/>
              </w:rPr>
              <w:t xml:space="preserve">Strategic Priority</w:t>
            </w:r>
          </w:p>
        </w:tc>
      </w:tr>
      <w:tr>
        <w:tc>
          <w:tcPr>
            <w:tcW w:type="dxa" w:w="210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9"/>
                <w:szCs w:val="19"/>
              </w:rPr>
              <w:t xml:space="preserve">Casual Explorers</w:t>
            </w:r>
          </w:p>
        </w:tc>
        <w:tc>
          <w:tcPr>
            <w:tcW w:type="dxa" w:w="117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9"/>
                <w:szCs w:val="19"/>
              </w:rPr>
              <w:t xml:space="preserve">31.1% (933)</w:t>
            </w:r>
          </w:p>
        </w:tc>
        <w:tc>
          <w:tcPr>
            <w:tcW w:type="dxa" w:w="117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9"/>
                <w:szCs w:val="19"/>
              </w:rPr>
              <w:t xml:space="preserve">₹25.5</w:t>
            </w:r>
          </w:p>
        </w:tc>
        <w:tc>
          <w:tcPr>
            <w:tcW w:type="dxa" w:w="117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9"/>
                <w:szCs w:val="19"/>
              </w:rPr>
              <w:t xml:space="preserve">1.35</w:t>
            </w:r>
          </w:p>
        </w:tc>
        <w:tc>
          <w:tcPr>
            <w:tcW w:type="dxa" w:w="3744"/>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9"/>
                <w:szCs w:val="19"/>
              </w:rPr>
              <w:t xml:space="preserve">Convert to paid — highest volume segment</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Power Learners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15.1% (454)</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₹1,248</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13.41</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Retain &amp; reward — highest revenue per user</w:t>
            </w:r>
          </w:p>
        </w:tc>
      </w:tr>
      <w:tr>
        <w:tc>
          <w:tcPr>
            <w:tcW w:type="dxa" w:w="210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9"/>
                <w:szCs w:val="19"/>
              </w:rPr>
              <w:t xml:space="preserve">Focused Investors</w:t>
            </w:r>
          </w:p>
        </w:tc>
        <w:tc>
          <w:tcPr>
            <w:tcW w:type="dxa" w:w="117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9"/>
                <w:szCs w:val="19"/>
              </w:rPr>
              <w:t xml:space="preserve">20.5% (615)</w:t>
            </w:r>
          </w:p>
        </w:tc>
        <w:tc>
          <w:tcPr>
            <w:tcW w:type="dxa" w:w="117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9"/>
                <w:szCs w:val="19"/>
              </w:rPr>
              <w:t xml:space="preserve">₹418.7</w:t>
            </w:r>
          </w:p>
        </w:tc>
        <w:tc>
          <w:tcPr>
            <w:tcW w:type="dxa" w:w="117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9"/>
                <w:szCs w:val="19"/>
              </w:rPr>
              <w:t xml:space="preserve">1.58</w:t>
            </w:r>
          </w:p>
        </w:tc>
        <w:tc>
          <w:tcPr>
            <w:tcW w:type="dxa" w:w="3744"/>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9"/>
                <w:szCs w:val="19"/>
              </w:rPr>
              <w:t xml:space="preserve">Deepen engagement — high WTP, low course count</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Creative Browsers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33.3% (998)</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₹63.5</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1.69</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Re-engage — largest segment, lowest satisfaction</w:t>
            </w:r>
          </w:p>
        </w:tc>
      </w:tr>
    </w:tbl>
    <w:p>
      <w:pPr>
        <w:spacing w:after="60"/>
      </w:pPr>
      <w:r>
        <w:t xml:space="preserve"/>
      </w:r>
    </w:p>
    <w:p>
      <w:pPr>
        <w:pStyle w:val="Heading2"/>
      </w:pPr>
      <w:r>
        <w:rPr>
          <w:b/>
          <w:bCs/>
          <w:color w:val="2E5B99"/>
          <w:sz w:val="24"/>
          <w:szCs w:val="24"/>
        </w:rPr>
        <w:t xml:space="preserve">Finding 2: Revenue Concentration Risk</w:t>
      </w:r>
    </w:p>
    <w:p>
      <w:pPr>
        <w:spacing w:after="120"/>
        <w:jc w:val="both"/>
      </w:pPr>
      <w:r>
        <w:rPr>
          <w:sz w:val="22"/>
          <w:szCs w:val="22"/>
        </w:rPr>
        <w:t xml:space="preserve">Power Learners — representing only 15.1% of the user base — account for a disproportionate share of platform revenue. Their average spend of ₹1,248 per user is 50x that of Casual Explorers. This concentration risk requires immediate focus on Power Learner retention strategies, including loyalty rewards, learning path subscriptions, and advanced course pipeline development.</w:t>
      </w:r>
    </w:p>
    <w:p>
      <w:pPr>
        <w:spacing w:after="60"/>
      </w:pPr>
      <w:r>
        <w:t xml:space="preserve"/>
      </w:r>
    </w:p>
    <w:p>
      <w:pPr>
        <w:pStyle w:val="Heading2"/>
      </w:pPr>
      <w:r>
        <w:rPr>
          <w:b/>
          <w:bCs/>
          <w:color w:val="2E5B99"/>
          <w:sz w:val="24"/>
          <w:szCs w:val="24"/>
        </w:rPr>
        <w:t xml:space="preserve">Finding 3: Low Satisfaction Among Largest Segment</w:t>
      </w:r>
    </w:p>
    <w:p>
      <w:pPr>
        <w:spacing w:after="120"/>
        <w:jc w:val="both"/>
      </w:pPr>
      <w:r>
        <w:rPr>
          <w:sz w:val="22"/>
          <w:szCs w:val="22"/>
        </w:rPr>
        <w:t xml:space="preserve">Creative Browsers (33.3% of all learners) report the lowest average course rating satisfaction at 2.64 out of 5.0. This large, underserved segment represents both a risk and an opportunity: without targeted intervention, these learners are likely to churn. However, with personalized high-rated course recommendations in Design and Web Development, re-engagement rates can improve significantly.</w:t>
      </w:r>
    </w:p>
    <w:p>
      <w:pPr>
        <w:spacing w:after="60"/>
      </w:pPr>
      <w:r>
        <w:t xml:space="preserve"/>
      </w:r>
    </w:p>
    <w:p>
      <w:pPr>
        <w:pStyle w:val="Heading2"/>
      </w:pPr>
      <w:r>
        <w:rPr>
          <w:b/>
          <w:bCs/>
          <w:color w:val="2E5B99"/>
          <w:sz w:val="24"/>
          <w:szCs w:val="24"/>
        </w:rPr>
        <w:t xml:space="preserve">Finding 4: AI Courses Drive Premium Spending</w:t>
      </w:r>
    </w:p>
    <w:p>
      <w:pPr>
        <w:spacing w:after="120"/>
        <w:jc w:val="both"/>
      </w:pPr>
      <w:r>
        <w:rPr>
          <w:sz w:val="22"/>
          <w:szCs w:val="22"/>
        </w:rPr>
        <w:t xml:space="preserve">Artificial Intelligence courses generate the highest average spend per enrollment at ₹244.6, followed by Business (₹217.9) and Project Management (₹204.0). Both Power Learners and Focused Investors show strong AI affinity. Investing in high-quality AI curriculum expansion is therefore the highest-ROI content development opportunity on the platform.</w:t>
      </w:r>
    </w:p>
    <w:p>
      <w:pPr>
        <w:spacing w:after="60"/>
      </w:pPr>
      <w:r>
        <w:t xml:space="preserve"/>
      </w:r>
    </w:p>
    <w:p>
      <w:pPr>
        <w:pStyle w:val="Heading1"/>
      </w:pPr>
      <w:r>
        <w:rPr>
          <w:b/>
          <w:bCs/>
          <w:color w:val="1F3864"/>
          <w:sz w:val="30"/>
          <w:szCs w:val="30"/>
        </w:rPr>
        <w:t xml:space="preserve">Strategic Recommendations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276"/>
        <w:gridCol w:w="1872"/>
        <w:gridCol w:w="3042"/>
      </w:tblGrid>
      <w:tr>
        <w:tc>
          <w:tcPr>
            <w:tcW w:type="dxa" w:w="117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9"/>
                <w:szCs w:val="19"/>
              </w:rPr>
              <w:t xml:space="preserve">Priority</w:t>
            </w:r>
          </w:p>
        </w:tc>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9"/>
                <w:szCs w:val="19"/>
              </w:rPr>
              <w:t xml:space="preserve">Recommendation</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9"/>
                <w:szCs w:val="19"/>
              </w:rPr>
              <w:t xml:space="preserve">Target Segment</w:t>
            </w:r>
          </w:p>
        </w:tc>
        <w:tc>
          <w:tcPr>
            <w:tcW w:type="dxa" w:w="304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9"/>
                <w:szCs w:val="19"/>
              </w:rPr>
              <w:t xml:space="preserve">Expected Impact</w:t>
            </w:r>
          </w:p>
        </w:tc>
      </w:tr>
      <w:tr>
        <w:tc>
          <w:tcPr>
            <w:tcW w:type="dxa" w:w="117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9"/>
                <w:szCs w:val="19"/>
              </w:rPr>
              <w:t xml:space="preserve">1 — High</w:t>
            </w:r>
          </w:p>
        </w:tc>
        <w:tc>
          <w:tcPr>
            <w:tcW w:type="dxa" w:w="327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9"/>
                <w:szCs w:val="19"/>
              </w:rPr>
              <w:t xml:space="preserve">Launch cybersecurity-to-career paid pathway with 20% introductory discount</w:t>
            </w:r>
          </w:p>
        </w:tc>
        <w:tc>
          <w:tcPr>
            <w:tcW w:type="dxa" w:w="1872"/>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9"/>
                <w:szCs w:val="19"/>
              </w:rPr>
              <w:t xml:space="preserve">Casual Explorers</w:t>
            </w:r>
          </w:p>
        </w:tc>
        <w:tc>
          <w:tcPr>
            <w:tcW w:type="dxa" w:w="3042"/>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9"/>
                <w:szCs w:val="19"/>
              </w:rPr>
              <w:t xml:space="preserve">↑ Paid conversion rate by 15–25%</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2 — High</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Introduce monthly learning subscription plan with advanced AI course access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Power Learners</w:t>
            </w:r>
          </w:p>
        </w:tc>
        <w:tc>
          <w:tcPr>
            <w:tcW w:type="dxa" w:w="30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 LTV by 30%; ↓ churn by 20%</w:t>
            </w:r>
          </w:p>
        </w:tc>
      </w:tr>
      <w:tr>
        <w:tc>
          <w:tcPr>
            <w:tcW w:type="dxa" w:w="117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9"/>
                <w:szCs w:val="19"/>
              </w:rPr>
              <w:t xml:space="preserve">3 — Medium</w:t>
            </w:r>
          </w:p>
        </w:tc>
        <w:tc>
          <w:tcPr>
            <w:tcW w:type="dxa" w:w="327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9"/>
                <w:szCs w:val="19"/>
              </w:rPr>
              <w:t xml:space="preserve">Create AI beginner-to-intermediate course bundle with career outcome messaging</w:t>
            </w:r>
          </w:p>
        </w:tc>
        <w:tc>
          <w:tcPr>
            <w:tcW w:type="dxa" w:w="1872"/>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9"/>
                <w:szCs w:val="19"/>
              </w:rPr>
              <w:t xml:space="preserve">Focused Investors</w:t>
            </w:r>
          </w:p>
        </w:tc>
        <w:tc>
          <w:tcPr>
            <w:tcW w:type="dxa" w:w="3042"/>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9"/>
                <w:szCs w:val="19"/>
              </w:rPr>
              <w:t xml:space="preserve">↑ Courses per user from 1.6 to 3.5+</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4 — Medium</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Personalized email campaign with top-rated Design &amp; Web Dev recommendations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Creative Browsers</w:t>
            </w:r>
          </w:p>
        </w:tc>
        <w:tc>
          <w:tcPr>
            <w:tcW w:type="dxa" w:w="30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 Re-engagement; ↑ avg rating to 3.5+</w:t>
            </w:r>
          </w:p>
        </w:tc>
      </w:tr>
      <w:tr>
        <w:tc>
          <w:tcPr>
            <w:tcW w:type="dxa" w:w="117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9"/>
                <w:szCs w:val="19"/>
              </w:rPr>
              <w:t xml:space="preserve">5 — Strategic</w:t>
            </w:r>
          </w:p>
        </w:tc>
        <w:tc>
          <w:tcPr>
            <w:tcW w:type="dxa" w:w="327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9"/>
                <w:szCs w:val="19"/>
              </w:rPr>
              <w:t xml:space="preserve">Expand AI and Data Science course catalog with certified, high-quality content</w:t>
            </w:r>
          </w:p>
        </w:tc>
        <w:tc>
          <w:tcPr>
            <w:tcW w:type="dxa" w:w="1872"/>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9"/>
                <w:szCs w:val="19"/>
              </w:rPr>
              <w:t xml:space="preserve">All Segments</w:t>
            </w:r>
          </w:p>
        </w:tc>
        <w:tc>
          <w:tcPr>
            <w:tcW w:type="dxa" w:w="3042"/>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9"/>
                <w:szCs w:val="19"/>
              </w:rPr>
              <w:t xml:space="preserve">↑ Platform avg rating; ↑ premium revenue</w:t>
            </w:r>
          </w:p>
        </w:tc>
      </w:tr>
    </w:tbl>
    <w:p>
      <w:pPr>
        <w:spacing w:after="60"/>
      </w:pPr>
      <w:r>
        <w:t xml:space="preserve"/>
      </w:r>
    </w:p>
    <w:p>
      <w:pPr>
        <w:pStyle w:val="Heading1"/>
      </w:pPr>
      <w:r>
        <w:rPr>
          <w:b/>
          <w:bCs/>
          <w:color w:val="1F3864"/>
          <w:sz w:val="30"/>
          <w:szCs w:val="30"/>
        </w:rPr>
        <w:t xml:space="preserve">Implementation Roadmap</w:t>
      </w:r>
    </w:p>
    <w:p>
      <w:pPr>
        <w:pStyle w:val="ListParagraph"/>
        <w:numPr>
          <w:ilvl w:val="0"/>
          <w:numId w:val="2"/>
        </w:numPr>
      </w:pPr>
      <w:r>
        <w:rPr>
          <w:sz w:val="22"/>
          <w:szCs w:val="22"/>
        </w:rPr>
        <w:t xml:space="preserve">Phase 1 (0–30 days): Deploy cluster-aware recommendation engine in Streamlit dashboard</w:t>
      </w:r>
    </w:p>
    <w:p>
      <w:pPr>
        <w:pStyle w:val="ListParagraph"/>
        <w:numPr>
          <w:ilvl w:val="0"/>
          <w:numId w:val="2"/>
        </w:numPr>
      </w:pPr>
      <w:r>
        <w:rPr>
          <w:sz w:val="22"/>
          <w:szCs w:val="22"/>
        </w:rPr>
        <w:t xml:space="preserve">Phase 2 (30–60 days): Launch segment-specific email campaigns and paid conversion promotions</w:t>
      </w:r>
    </w:p>
    <w:p>
      <w:pPr>
        <w:pStyle w:val="ListParagraph"/>
        <w:numPr>
          <w:ilvl w:val="0"/>
          <w:numId w:val="2"/>
        </w:numPr>
      </w:pPr>
      <w:r>
        <w:rPr>
          <w:sz w:val="22"/>
          <w:szCs w:val="22"/>
        </w:rPr>
        <w:t xml:space="preserve">Phase 3 (60–90 days): Develop AI/ML course bundles and learning path subscriptions</w:t>
      </w:r>
    </w:p>
    <w:p>
      <w:pPr>
        <w:pStyle w:val="ListParagraph"/>
        <w:numPr>
          <w:ilvl w:val="0"/>
          <w:numId w:val="2"/>
        </w:numPr>
      </w:pPr>
      <w:r>
        <w:rPr>
          <w:sz w:val="22"/>
          <w:szCs w:val="22"/>
        </w:rPr>
        <w:t xml:space="preserve">Phase 4 (90–180 days): Integrate real-time cluster assignment for new user onboarding</w:t>
      </w:r>
    </w:p>
    <w:p>
      <w:pPr>
        <w:pStyle w:val="ListParagraph"/>
        <w:numPr>
          <w:ilvl w:val="0"/>
          <w:numId w:val="2"/>
        </w:numPr>
      </w:pPr>
      <w:r>
        <w:rPr>
          <w:sz w:val="22"/>
          <w:szCs w:val="22"/>
        </w:rPr>
        <w:t xml:space="preserve">Phase 5 (Ongoing): A/B test recommendation strategies; measure KPI uplift quarterly</w:t>
      </w:r>
    </w:p>
    <w:p>
      <w:pPr>
        <w:spacing w:after="60"/>
      </w:pPr>
      <w:r>
        <w:t xml:space="preserve"/>
      </w:r>
    </w:p>
    <w:p>
      <w:pPr>
        <w:pStyle w:val="Heading1"/>
      </w:pPr>
      <w:r>
        <w:rPr>
          <w:b/>
          <w:bCs/>
          <w:color w:val="1F3864"/>
          <w:sz w:val="30"/>
          <w:szCs w:val="30"/>
        </w:rPr>
        <w:t xml:space="preserve">Expected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6"/>
        <w:gridCol w:w="1404"/>
        <w:gridCol w:w="2106"/>
        <w:gridCol w:w="3744"/>
      </w:tblGrid>
      <w:tr>
        <w:tc>
          <w:tcPr>
            <w:tcW w:type="dxa" w:w="210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9"/>
                <w:szCs w:val="19"/>
              </w:rPr>
              <w:t xml:space="preserve">KPI</w:t>
            </w:r>
          </w:p>
        </w:tc>
        <w:tc>
          <w:tcPr>
            <w:tcW w:type="dxa" w:w="140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9"/>
                <w:szCs w:val="19"/>
              </w:rPr>
              <w:t xml:space="preserve">Baseline</w:t>
            </w:r>
          </w:p>
        </w:tc>
        <w:tc>
          <w:tcPr>
            <w:tcW w:type="dxa" w:w="210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9"/>
                <w:szCs w:val="19"/>
              </w:rPr>
              <w:t xml:space="preserve">Target (6 months)</w:t>
            </w:r>
          </w:p>
        </w:tc>
        <w:tc>
          <w:tcPr>
            <w:tcW w:type="dxa" w:w="374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9"/>
                <w:szCs w:val="19"/>
              </w:rPr>
              <w:t xml:space="preserve">Method</w:t>
            </w:r>
          </w:p>
        </w:tc>
      </w:tr>
      <w:tr>
        <w:tc>
          <w:tcPr>
            <w:tcW w:type="dxa" w:w="210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9"/>
                <w:szCs w:val="19"/>
              </w:rPr>
              <w:t xml:space="preserve">Avg courses per user</w:t>
            </w:r>
          </w:p>
        </w:tc>
        <w:tc>
          <w:tcPr>
            <w:tcW w:type="dxa" w:w="1404"/>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9"/>
                <w:szCs w:val="19"/>
              </w:rPr>
              <w:t xml:space="preserve">3.33</w:t>
            </w:r>
          </w:p>
        </w:tc>
        <w:tc>
          <w:tcPr>
            <w:tcW w:type="dxa" w:w="210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9"/>
                <w:szCs w:val="19"/>
              </w:rPr>
              <w:t xml:space="preserve">5.0+</w:t>
            </w:r>
          </w:p>
        </w:tc>
        <w:tc>
          <w:tcPr>
            <w:tcW w:type="dxa" w:w="3744"/>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9"/>
                <w:szCs w:val="19"/>
              </w:rPr>
              <w:t xml:space="preserve">Improved recommendations + learning paths</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Paid enrollment rate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22% of courses</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35%+</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Conversion campaigns for Casual Explorers</w:t>
            </w:r>
          </w:p>
        </w:tc>
      </w:tr>
      <w:tr>
        <w:tc>
          <w:tcPr>
            <w:tcW w:type="dxa" w:w="210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9"/>
                <w:szCs w:val="19"/>
              </w:rPr>
              <w:t xml:space="preserve">Platform avg rating</w:t>
            </w:r>
          </w:p>
        </w:tc>
        <w:tc>
          <w:tcPr>
            <w:tcW w:type="dxa" w:w="1404"/>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9"/>
                <w:szCs w:val="19"/>
              </w:rPr>
              <w:t xml:space="preserve">3.22 / 5.0</w:t>
            </w:r>
          </w:p>
        </w:tc>
        <w:tc>
          <w:tcPr>
            <w:tcW w:type="dxa" w:w="210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9"/>
                <w:szCs w:val="19"/>
              </w:rPr>
              <w:t xml:space="preserve">3.8+</w:t>
            </w:r>
          </w:p>
        </w:tc>
        <w:tc>
          <w:tcPr>
            <w:tcW w:type="dxa" w:w="3744"/>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9"/>
                <w:szCs w:val="19"/>
              </w:rPr>
              <w:t xml:space="preserve">High-rated course promotion to Creative Browsers</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Power Learner retention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Unknown</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&gt;85%</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Subscription plan + loyalty rewards</w:t>
            </w:r>
          </w:p>
        </w:tc>
      </w:tr>
      <w:tr>
        <w:tc>
          <w:tcPr>
            <w:tcW w:type="dxa" w:w="210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9"/>
                <w:szCs w:val="19"/>
              </w:rPr>
              <w:t xml:space="preserve">Revenue per user</w:t>
            </w:r>
          </w:p>
        </w:tc>
        <w:tc>
          <w:tcPr>
            <w:tcW w:type="dxa" w:w="1404"/>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9"/>
                <w:szCs w:val="19"/>
              </w:rPr>
              <w:t xml:space="preserve">~₹190 avg</w:t>
            </w:r>
          </w:p>
        </w:tc>
        <w:tc>
          <w:tcPr>
            <w:tcW w:type="dxa" w:w="210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9"/>
                <w:szCs w:val="19"/>
              </w:rPr>
              <w:t xml:space="preserve">₹280+</w:t>
            </w:r>
          </w:p>
        </w:tc>
        <w:tc>
          <w:tcPr>
            <w:tcW w:type="dxa" w:w="3744"/>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19"/>
                <w:szCs w:val="19"/>
              </w:rPr>
              <w:t xml:space="preserve">Upsell strategies across all segments</w:t>
            </w:r>
          </w:p>
        </w:tc>
      </w:tr>
    </w:tbl>
    <w:p>
      <w:pPr>
        <w:spacing w:after="60"/>
      </w:pPr>
      <w:r>
        <w:t xml:space="preserve"/>
      </w:r>
    </w:p>
    <w:p>
      <w:pPr>
        <w:pStyle w:val="Heading1"/>
      </w:pPr>
      <w:r>
        <w:rPr>
          <w:b/>
          <w:bCs/>
          <w:color w:val="1F3864"/>
          <w:sz w:val="30"/>
          <w:szCs w:val="30"/>
        </w:rPr>
        <w:t xml:space="preserve">Conclusion</w:t>
      </w:r>
    </w:p>
    <w:p>
      <w:pPr>
        <w:spacing w:after="120"/>
        <w:jc w:val="both"/>
      </w:pPr>
      <w:r>
        <w:rPr>
          <w:sz w:val="22"/>
          <w:szCs w:val="22"/>
        </w:rPr>
        <w:t xml:space="preserve">The EduPro student segmentation initiative establishes a robust, data-driven foundation for personalized learning at scale. By moving from generic to segment-aware course recommendations, EduPro can simultaneously improve learner outcomes and platform economics. The four learner personas identified — Casual Explorers, Power Learners, Focused Investors, and Creative Browsers — provide a clear, actionable framework for all future product, marketing, and content decisions.</w:t>
      </w:r>
    </w:p>
    <w:p>
      <w:pPr>
        <w:spacing w:after="120"/>
        <w:jc w:val="both"/>
      </w:pPr>
      <w:r>
        <w:rPr>
          <w:sz w:val="22"/>
          <w:szCs w:val="22"/>
        </w:rPr>
        <w:t xml:space="preserve">Government stakeholders and platform investors can expect measurable improvements in course completion rates, learner satisfaction, and revenue diversification within six months of implementation. This initiative positions EduPro as a model for data-driven digital education in the region.</w:t>
      </w:r>
    </w:p>
    <w:p>
      <w:pPr>
        <w:spacing w:after="60"/>
      </w:pPr>
      <w:r>
        <w:t xml:space="preserve"/>
      </w:r>
    </w:p>
    <w:p>
      <w:pPr>
        <w:jc w:val="center"/>
      </w:pPr>
      <w:r>
        <w:rPr>
          <w:i/>
          <w:iCs/>
          <w:color w:val="888888"/>
          <w:sz w:val="18"/>
          <w:szCs w:val="18"/>
        </w:rPr>
        <w:t xml:space="preserve">Prepared by: EduPro Data Analytics Team | Date: May 2026 | Classification: Confidential</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pBdr>
    </w:pPr>
    <w:r>
      <w:rPr>
        <w:i/>
        <w:iCs/>
        <w:color w:val="888888"/>
        <w:sz w:val="18"/>
        <w:szCs w:val="18"/>
      </w:rPr>
      <w:t xml:space="preserve">EduPro Analytics | Executive Summary | For Government Stakeholders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5B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2026-05-03T09:59:55.548Z</dcterms:created>
  <dcterms:modified xsi:type="dcterms:W3CDTF">2026-05-03T09:59:55.548Z</dcterms:modified>
</cp:coreProperties>
</file>

<file path=docProps/custom.xml><?xml version="1.0" encoding="utf-8"?>
<Properties xmlns="http://schemas.openxmlformats.org/officeDocument/2006/custom-properties" xmlns:vt="http://schemas.openxmlformats.org/officeDocument/2006/docPropsVTypes"/>
</file>