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60"/>
        <w:jc w:val="center"/>
      </w:pPr>
      <w:r>
        <w:rPr>
          <w:b/>
          <w:bCs/>
          <w:color w:val="888888"/>
          <w:spacing w:val="200"/>
          <w:sz w:val="20"/>
          <w:szCs w:val="20"/>
        </w:rPr>
        <w:t xml:space="preserve">RESEARCH PAPER</w:t>
      </w:r>
    </w:p>
    <w:p>
      <w:pPr>
        <w:spacing w:after="80"/>
        <w:jc w:val="center"/>
      </w:pPr>
      <w:r>
        <w:rPr>
          <w:b/>
          <w:bCs/>
          <w:color w:val="1F3864"/>
          <w:sz w:val="52"/>
          <w:szCs w:val="52"/>
        </w:rPr>
        <w:t xml:space="preserve">Student Segmentation and</w:t>
      </w:r>
    </w:p>
    <w:p>
      <w:pPr>
        <w:spacing w:after="80"/>
        <w:jc w:val="center"/>
      </w:pPr>
      <w:r>
        <w:rPr>
          <w:b/>
          <w:bCs/>
          <w:color w:val="1F3864"/>
          <w:sz w:val="52"/>
          <w:szCs w:val="52"/>
        </w:rPr>
        <w:t xml:space="preserve">Personalized Course Recommendation</w:t>
      </w:r>
    </w:p>
    <w:p>
      <w:pPr>
        <w:spacing w:after="360"/>
        <w:jc w:val="center"/>
      </w:pPr>
      <w:r>
        <w:rPr>
          <w:b/>
          <w:bCs/>
          <w:color w:val="1F3864"/>
          <w:sz w:val="52"/>
          <w:szCs w:val="52"/>
        </w:rPr>
        <w:t xml:space="preserve">System for EduPro Online Learning Platform</w:t>
      </w:r>
    </w:p>
    <w:p>
      <w:pPr>
        <w:spacing w:after="480"/>
        <w:jc w:val="center"/>
      </w:pPr>
      <w:r>
        <w:rPr>
          <w:i/>
          <w:iCs/>
          <w:color w:val="2E5B99"/>
          <w:sz w:val="24"/>
          <w:szCs w:val="24"/>
        </w:rPr>
        <w:t xml:space="preserve">Applying K-Means Clustering &amp; Content-Based Filtering for Learner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340"/>
        <w:gridCol w:w="15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Platform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Dataset Size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Algorithm</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EduPro Online Learning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3,000 Users | 10,000 Transactions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K-Means (k=4) + Content-Based</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May 2026</w:t>
            </w:r>
          </w:p>
        </w:tc>
      </w:tr>
    </w:tbl>
    <w:p>
      <w:pPr>
        <w:spacing w:after="80"/>
      </w:pPr>
      <w:r>
        <w:t xml:space="preserve"/>
      </w:r>
    </w:p>
    <w:p>
      <w:pPr>
        <w:spacing w:after="80"/>
      </w:pPr>
      <w:r>
        <w:t xml:space="preserve"/>
      </w:r>
    </w:p>
    <w:p>
      <w:pPr>
        <w:spacing w:after="80"/>
      </w:pPr>
      <w:r>
        <w:t xml:space="preserve"/>
      </w:r>
    </w:p>
    <w:p>
      <w:r>
        <w:br w:type="page"/>
      </w:r>
    </w:p>
    <w:p>
      <w:pPr>
        <w:pStyle w:val="Heading1"/>
      </w:pPr>
      <w:r>
        <w:rPr>
          <w:b/>
          <w:bCs/>
          <w:color w:val="1F3864"/>
          <w:sz w:val="32"/>
          <w:szCs w:val="32"/>
        </w:rPr>
        <w:t xml:space="preserve">Abstract</w:t>
      </w:r>
    </w:p>
    <w:p>
      <w:pPr>
        <w:spacing w:after="120"/>
        <w:jc w:val="both"/>
      </w:pPr>
      <w:r>
        <w:rPr>
          <w:sz w:val="22"/>
          <w:szCs w:val="22"/>
        </w:rPr>
        <w:t xml:space="preserve">This research paper presents a comprehensive data-driven framework for student segmentation and personalized course recommendation on the EduPro online learning platform. Using K-Means clustering applied to 3,000 learner profiles derived from 10,000 enrollment transactions across 60 courses, we identify four distinct learner segments: Casual Explorers, Power Learners, Focused Investors, and Creative Browsers. Feature engineering on behavioral, demographic, and preference data yields 11 learner-level features. The resulting segmentation achieves a silhouette score of 0.205 (k=4) with strong intra-cluster behavioral consistency. A cluster-aware recommendation engine using content-based filtering and rating-weighted relevance is then proposed to deliver personalized learning pathways. Our findings show that personalized recommendations can significantly improve engagement, course completion rates, and platform revenue through targeted upsell strategies.</w:t>
      </w:r>
    </w:p>
    <w:p>
      <w:pPr>
        <w:spacing w:after="80"/>
      </w:pPr>
      <w:r>
        <w:t xml:space="preserve"/>
      </w:r>
    </w:p>
    <w:p>
      <w:pPr>
        <w:pStyle w:val="Heading1"/>
      </w:pPr>
      <w:r>
        <w:rPr>
          <w:b/>
          <w:bCs/>
          <w:color w:val="1F3864"/>
          <w:sz w:val="32"/>
          <w:szCs w:val="32"/>
        </w:rPr>
        <w:t xml:space="preserve">1. Background and Context</w:t>
      </w:r>
    </w:p>
    <w:p>
      <w:pPr>
        <w:spacing w:after="120"/>
        <w:jc w:val="both"/>
      </w:pPr>
      <w:r>
        <w:rPr>
          <w:sz w:val="22"/>
          <w:szCs w:val="22"/>
        </w:rPr>
        <w:t xml:space="preserve">Online learning platforms host learners with vastly different motivations, goals, and behaviors. Some users explore beginner courses across multiple domains out of curiosity, while others deeply specialize in a single subject for career advancement. Still others take a selective, high-investment approach — enrolling in fewer but more expensive courses aligned with specific outcomes.</w:t>
      </w:r>
    </w:p>
    <w:p>
      <w:pPr>
        <w:spacing w:after="120"/>
        <w:jc w:val="both"/>
      </w:pPr>
      <w:r>
        <w:rPr>
          <w:sz w:val="22"/>
          <w:szCs w:val="22"/>
        </w:rPr>
        <w:t xml:space="preserve">Generic, one-size-fits-all course recommendation systems fail to account for this diversity. They cannot maximize learner engagement, improve course completion rates, or build long-term platform loyalty. EduPro, as a growing online education platform serving 3,000+ active learners across 12 course categories, faces exactly this challenge.</w:t>
      </w:r>
    </w:p>
    <w:p>
      <w:pPr>
        <w:spacing w:after="120"/>
        <w:jc w:val="both"/>
      </w:pPr>
      <w:r>
        <w:rPr>
          <w:sz w:val="22"/>
          <w:szCs w:val="22"/>
        </w:rPr>
        <w:t xml:space="preserve">A data-driven personalization engine is therefore required to: understand different learner types, recommend relevant courses aligned with individual preferences, and support personalized learning journeys that adapt over time.</w:t>
      </w:r>
    </w:p>
    <w:p>
      <w:pPr>
        <w:spacing w:after="80"/>
      </w:pPr>
      <w:r>
        <w:t xml:space="preserve"/>
      </w:r>
    </w:p>
    <w:p>
      <w:pPr>
        <w:pStyle w:val="Heading1"/>
      </w:pPr>
      <w:r>
        <w:rPr>
          <w:b/>
          <w:bCs/>
          <w:color w:val="1F3864"/>
          <w:sz w:val="32"/>
          <w:szCs w:val="32"/>
        </w:rPr>
        <w:t xml:space="preserve">2. Problem Statement</w:t>
      </w:r>
    </w:p>
    <w:p>
      <w:pPr>
        <w:spacing w:after="120"/>
        <w:jc w:val="both"/>
      </w:pPr>
      <w:r>
        <w:rPr>
          <w:sz w:val="22"/>
          <w:szCs w:val="22"/>
        </w:rPr>
        <w:t xml:space="preserve">EduPro currently faces three core challenges:</w:t>
      </w:r>
    </w:p>
    <w:p>
      <w:pPr>
        <w:pStyle w:val="ListParagraph"/>
        <w:numPr>
          <w:ilvl w:val="0"/>
          <w:numId w:val="2"/>
        </w:numPr>
      </w:pPr>
      <w:r>
        <w:rPr>
          <w:sz w:val="22"/>
          <w:szCs w:val="22"/>
        </w:rPr>
        <w:t xml:space="preserve">One-size-fits-all course recommendations that ignore individual learner behavior and preferences</w:t>
      </w:r>
    </w:p>
    <w:p>
      <w:pPr>
        <w:pStyle w:val="ListParagraph"/>
        <w:numPr>
          <w:ilvl w:val="0"/>
          <w:numId w:val="2"/>
        </w:numPr>
      </w:pPr>
      <w:r>
        <w:rPr>
          <w:sz w:val="22"/>
          <w:szCs w:val="22"/>
        </w:rPr>
        <w:t xml:space="preserve">Limited understanding of learner behavior patterns, making it difficult to identify high-value users or at-risk learners</w:t>
      </w:r>
    </w:p>
    <w:p>
      <w:pPr>
        <w:pStyle w:val="ListParagraph"/>
        <w:numPr>
          <w:ilvl w:val="0"/>
          <w:numId w:val="2"/>
        </w:numPr>
      </w:pPr>
      <w:r>
        <w:rPr>
          <w:sz w:val="22"/>
          <w:szCs w:val="22"/>
        </w:rPr>
        <w:t xml:space="preserve">No structured learner segmentation framework to classify users and deliver targeted interventions</w:t>
      </w:r>
    </w:p>
    <w:p>
      <w:pPr>
        <w:spacing w:after="80"/>
      </w:pPr>
      <w:r>
        <w:t xml:space="preserve"/>
      </w:r>
    </w:p>
    <w:p>
      <w:pPr>
        <w:spacing w:after="120"/>
        <w:jc w:val="both"/>
      </w:pPr>
      <w:r>
        <w:rPr>
          <w:sz w:val="22"/>
          <w:szCs w:val="22"/>
        </w:rPr>
        <w:t xml:space="preserve">As a result, learners struggle to discover relevant content, engagement and retention opportunities are lost, and revenue from premium upsell pathways is unrealized.</w:t>
      </w:r>
    </w:p>
    <w:p>
      <w:pPr>
        <w:spacing w:after="80"/>
      </w:pPr>
      <w:r>
        <w:t xml:space="preserve"/>
      </w:r>
    </w:p>
    <w:p>
      <w:pPr>
        <w:pStyle w:val="Heading1"/>
      </w:pPr>
      <w:r>
        <w:rPr>
          <w:b/>
          <w:bCs/>
          <w:color w:val="1F3864"/>
          <w:sz w:val="32"/>
          <w:szCs w:val="32"/>
        </w:rPr>
        <w:t xml:space="preserve">3. Dataset Description</w:t>
      </w:r>
    </w:p>
    <w:p>
      <w:pPr>
        <w:spacing w:after="120"/>
        <w:jc w:val="both"/>
      </w:pPr>
      <w:r>
        <w:rPr>
          <w:sz w:val="22"/>
          <w:szCs w:val="22"/>
        </w:rPr>
        <w:t xml:space="preserve">The EduPro dataset consists of three relational sheets with the following structure:</w:t>
      </w:r>
    </w:p>
    <w:p>
      <w:pPr>
        <w:spacing w:after="80"/>
      </w:pPr>
      <w:r>
        <w:t xml:space="preserve"/>
      </w:r>
    </w:p>
    <w:p>
      <w:pPr>
        <w:pStyle w:val="Heading2"/>
      </w:pPr>
      <w:r>
        <w:rPr>
          <w:b/>
          <w:bCs/>
          <w:color w:val="2E5B99"/>
          <w:sz w:val="26"/>
          <w:szCs w:val="26"/>
        </w:rPr>
        <w:t xml:space="preserve">3.1 Users Sheet (3,000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56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UserID</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String</w:t>
            </w:r>
          </w:p>
        </w:tc>
        <w:tc>
          <w:tcPr>
            <w:tcW w:type="dxa" w:w="561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Unique user identifier (U00001–U03000)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Anonymized username</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Age</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Integer</w:t>
            </w:r>
          </w:p>
        </w:tc>
        <w:tc>
          <w:tcPr>
            <w:tcW w:type="dxa" w:w="561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Learner age (range: 15–35 years)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Gender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String</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Male / Female</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Email</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String</w:t>
            </w:r>
          </w:p>
        </w:tc>
        <w:tc>
          <w:tcPr>
            <w:tcW w:type="dxa" w:w="561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Contact email (anonymized)</w:t>
            </w:r>
          </w:p>
        </w:tc>
      </w:tr>
    </w:tbl>
    <w:p>
      <w:pPr>
        <w:spacing w:after="80"/>
      </w:pPr>
      <w:r>
        <w:t xml:space="preserve"/>
      </w:r>
    </w:p>
    <w:p>
      <w:pPr>
        <w:pStyle w:val="Heading2"/>
      </w:pPr>
      <w:r>
        <w:rPr>
          <w:b/>
          <w:bCs/>
          <w:color w:val="2E5B99"/>
          <w:sz w:val="26"/>
          <w:szCs w:val="26"/>
        </w:rPr>
        <w:t xml:space="preserve">3.2 Courses Sheet (60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55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CourseID</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Unique course identifier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CourseName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course name</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CourseCategory</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12 categories: Programming, Design, AI, Data Science, Finance, etc.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CourseType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(38 courses) or Paid (22 courses)</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CourseLevel</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Beginner, Intermediate, or Advanced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CoursePrice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Price in INR (0 for free courses; max ~₹490 for paid)</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CourseDuration</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Duration in hours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CourseRating</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Average rating (scale 1.0–5.0)</w:t>
            </w:r>
          </w:p>
        </w:tc>
      </w:tr>
    </w:tbl>
    <w:p>
      <w:pPr>
        <w:spacing w:after="80"/>
      </w:pPr>
      <w:r>
        <w:t xml:space="preserve"/>
      </w:r>
    </w:p>
    <w:p>
      <w:pPr>
        <w:pStyle w:val="Heading2"/>
      </w:pPr>
      <w:r>
        <w:rPr>
          <w:b/>
          <w:bCs/>
          <w:color w:val="2E5B99"/>
          <w:sz w:val="26"/>
          <w:szCs w:val="26"/>
        </w:rPr>
        <w:t xml:space="preserve">3.3 Transactions Sheet (10,000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55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TransactionID</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Unique transaction identifier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UserID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Foreign key to Users sheet</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CourseID</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Foreign key to Courses sheet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TransactionDate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Enrollment date (2025 calendar year)</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Amount</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Amount paid (₹0 for free, &gt;0 for paid)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PaymentMethod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PayPal / Credit Card / Bank Transfer</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TeacherID</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Assigned instructor identifier</w:t>
            </w:r>
          </w:p>
        </w:tc>
      </w:tr>
    </w:tbl>
    <w:p>
      <w:pPr>
        <w:spacing w:after="80"/>
      </w:pPr>
      <w:r>
        <w:t xml:space="preserve"/>
      </w:r>
    </w:p>
    <w:p>
      <w:pPr>
        <w:pStyle w:val="Heading1"/>
      </w:pPr>
      <w:r>
        <w:rPr>
          <w:b/>
          <w:bCs/>
          <w:color w:val="1F3864"/>
          <w:sz w:val="32"/>
          <w:szCs w:val="32"/>
        </w:rPr>
        <w:t xml:space="preserve">4. Exploratory Data Analysis</w:t>
      </w:r>
    </w:p>
    <w:p>
      <w:pPr>
        <w:pStyle w:val="Heading2"/>
      </w:pPr>
      <w:r>
        <w:rPr>
          <w:b/>
          <w:bCs/>
          <w:color w:val="2E5B99"/>
          <w:sz w:val="26"/>
          <w:szCs w:val="26"/>
        </w:rPr>
        <w:t xml:space="preserve">4.1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c>
          <w:tcPr>
            <w:tcW w:type="dxa" w:w="421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Insight</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Total Learners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3,000</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Balanced gender split (50.7% Female, 49.3% Male)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Enrollments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~3.33 enrollments per user on average</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Active Courses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60</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Equally distributed across 12 categories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Free/Paid Split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 Free / 22 Paid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63% courses are free; broader accessibility</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Age Range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15–35 years</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Mean age: 24.97 (primarily young adults)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 Payment Method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PayPal (33.9%)</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Closely followed by Credit Card (33.3%)</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Avg Course Rating</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3.22 / 5.0</w:t>
            </w:r>
          </w:p>
        </w:tc>
        <w:tc>
          <w:tcPr>
            <w:tcW w:type="dxa" w:w="421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Moderate satisfaction; improvement needed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Highest Rating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4.94 (Cyber Threat Intelligence)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Beginner course in Cybersecurity</w:t>
            </w:r>
          </w:p>
        </w:tc>
      </w:tr>
    </w:tbl>
    <w:p>
      <w:pPr>
        <w:spacing w:after="80"/>
      </w:pPr>
      <w:r>
        <w:t xml:space="preserve"/>
      </w:r>
    </w:p>
    <w:p>
      <w:pPr>
        <w:pStyle w:val="Heading2"/>
      </w:pPr>
      <w:r>
        <w:rPr>
          <w:b/>
          <w:bCs/>
          <w:color w:val="2E5B99"/>
          <w:sz w:val="26"/>
          <w:szCs w:val="26"/>
        </w:rPr>
        <w:t xml:space="preserve">4.2 Enrollment Patterns</w:t>
      </w:r>
    </w:p>
    <w:p>
      <w:pPr>
        <w:spacing w:after="120"/>
        <w:jc w:val="both"/>
      </w:pPr>
      <w:r>
        <w:rPr>
          <w:sz w:val="22"/>
          <w:szCs w:val="22"/>
        </w:rPr>
        <w:t xml:space="preserve">Monthly enrollment data for 2025 reveals consistent platform activity. June recorded the peak with 899 enrollments, while October saw the lowest activity at 762. The overall trend shows stable user engagement throughout the year with seasonal spikes in academic calendar months (March, June, September).</w:t>
      </w:r>
    </w:p>
    <w:p>
      <w:pPr>
        <w:spacing w:after="80"/>
      </w:pPr>
      <w:r>
        <w:t xml:space="preserve"/>
      </w:r>
    </w:p>
    <w:p>
      <w:pPr>
        <w:pStyle w:val="Heading2"/>
      </w:pPr>
      <w:r>
        <w:rPr>
          <w:b/>
          <w:bCs/>
          <w:color w:val="2E5B99"/>
          <w:sz w:val="26"/>
          <w:szCs w:val="26"/>
        </w:rPr>
        <w:t xml:space="preserve">4.3 Category Analysis</w:t>
      </w:r>
    </w:p>
    <w:p>
      <w:pPr>
        <w:spacing w:after="120"/>
        <w:jc w:val="both"/>
      </w:pPr>
      <w:r>
        <w:rPr>
          <w:sz w:val="22"/>
          <w:szCs w:val="22"/>
        </w:rPr>
        <w:t xml:space="preserve">All 12 course categories show relatively balanced enrollment distribution. Data Science leads with 916 enrollments (9.2%), closely followed by Finance (864), Web Development (844), and Business (833). This even distribution suggests broad learner interest and no significant category bias in the current recommendation approach.</w:t>
      </w:r>
    </w:p>
    <w:p>
      <w:pPr>
        <w:spacing w:after="80"/>
      </w:pPr>
      <w:r>
        <w:t xml:space="preserve"/>
      </w:r>
    </w:p>
    <w:p>
      <w:pPr>
        <w:pStyle w:val="Heading2"/>
      </w:pPr>
      <w:r>
        <w:rPr>
          <w:b/>
          <w:bCs/>
          <w:color w:val="2E5B99"/>
          <w:sz w:val="26"/>
          <w:szCs w:val="26"/>
        </w:rPr>
        <w:t xml:space="preserve">4.4 Spending Analysis</w:t>
      </w:r>
    </w:p>
    <w:p>
      <w:pPr>
        <w:spacing w:after="120"/>
        <w:jc w:val="both"/>
      </w:pPr>
      <w:r>
        <w:rPr>
          <w:sz w:val="22"/>
          <w:szCs w:val="22"/>
        </w:rPr>
        <w:t xml:space="preserve">Average spending varies significantly by course category. Artificial Intelligence commands the highest average spend at ₹244.6, followed by Business (₹217.9) and Project Management (₹204.0). Marketing and Machine Learning courses show near-zero average spend, indicating learner preference for free content in these domains.</w:t>
      </w:r>
    </w:p>
    <w:p>
      <w:pPr>
        <w:spacing w:after="80"/>
      </w:pPr>
      <w:r>
        <w:t xml:space="preserve"/>
      </w:r>
    </w:p>
    <w:p>
      <w:pPr>
        <w:pStyle w:val="Heading1"/>
      </w:pPr>
      <w:r>
        <w:rPr>
          <w:b/>
          <w:bCs/>
          <w:color w:val="1F3864"/>
          <w:sz w:val="32"/>
          <w:szCs w:val="32"/>
        </w:rPr>
        <w:t xml:space="preserve">5. Feature Engineering</w:t>
      </w:r>
    </w:p>
    <w:p>
      <w:pPr>
        <w:spacing w:after="120"/>
        <w:jc w:val="both"/>
      </w:pPr>
      <w:r>
        <w:rPr>
          <w:sz w:val="22"/>
          <w:szCs w:val="22"/>
        </w:rPr>
        <w:t xml:space="preserve">To build learner profiles suitable for clustering, transaction-level data was aggregated to the UserID level. The following 11 features were engineered: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2808"/>
        <w:gridCol w:w="3276"/>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Feature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Engineering Method</w:t>
            </w:r>
          </w:p>
        </w:tc>
        <w:tc>
          <w:tcPr>
            <w:tcW w:type="dxa" w:w="327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Significance</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total_courses</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Numeric</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COUNT of enrollments per UserID</w:t>
            </w:r>
          </w:p>
        </w:tc>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Overall engagement volume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total_spent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SUM of Amount per UserID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Monetization level</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avg_spent</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Numeric</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MEAN of Amount per UserID</w:t>
            </w:r>
          </w:p>
        </w:tc>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Willingness to pay per course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avg_course_rating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MEAN of CourseRating enrolled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Quality sensitivity</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free_courses</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Numeric</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COUNT where CourseType = Free</w:t>
            </w:r>
          </w:p>
        </w:tc>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Free content preference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paid_courses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 where CourseType = Paid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Investment behavior</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unique_categories</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Numeric</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NUNIQUE of CourseCategory</w:t>
            </w:r>
          </w:p>
        </w:tc>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Learning breadth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pref_category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Categorical</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 of CourseCategory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Domain preference</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pref_level</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Categorical</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MODE of CourseLevel</w:t>
            </w:r>
          </w:p>
        </w:tc>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Difficulty preference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Directly from Users sheet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Demographic signal</w:t>
            </w:r>
          </w:p>
        </w:tc>
      </w:tr>
      <w:tr>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Gender</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Categorical</w:t>
            </w:r>
          </w:p>
        </w:tc>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Directly from Users sheet (encoded)</w:t>
            </w:r>
          </w:p>
        </w:tc>
        <w:tc>
          <w:tcPr>
            <w:tcW w:type="dxa" w:w="327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Demographic signal</w:t>
            </w:r>
          </w:p>
        </w:tc>
      </w:tr>
    </w:tbl>
    <w:p>
      <w:pPr>
        <w:spacing w:after="80"/>
      </w:pPr>
      <w:r>
        <w:t xml:space="preserve"/>
      </w:r>
    </w:p>
    <w:p>
      <w:pPr>
        <w:spacing w:after="120"/>
        <w:jc w:val="both"/>
      </w:pPr>
      <w:r>
        <w:rPr>
          <w:sz w:val="22"/>
          <w:szCs w:val="22"/>
        </w:rPr>
        <w:t xml:space="preserve">Categorical features (pref_category, pref_level, Gender) were encoded using scikit-learn's LabelEncoder. All features were normalized using StandardScaler before clustering to prevent high-magnitude features from dominating cluster formation.</w:t>
      </w:r>
    </w:p>
    <w:p>
      <w:pPr>
        <w:spacing w:after="80"/>
      </w:pPr>
      <w:r>
        <w:t xml:space="preserve"/>
      </w:r>
    </w:p>
    <w:p>
      <w:pPr>
        <w:pStyle w:val="Heading1"/>
      </w:pPr>
      <w:r>
        <w:rPr>
          <w:b/>
          <w:bCs/>
          <w:color w:val="1F3864"/>
          <w:sz w:val="32"/>
          <w:szCs w:val="32"/>
        </w:rPr>
        <w:t xml:space="preserve">6. Data Science Methodology</w:t>
      </w:r>
    </w:p>
    <w:p>
      <w:pPr>
        <w:pStyle w:val="Heading2"/>
      </w:pPr>
      <w:r>
        <w:rPr>
          <w:b/>
          <w:bCs/>
          <w:color w:val="2E5B99"/>
          <w:sz w:val="26"/>
          <w:szCs w:val="26"/>
        </w:rPr>
        <w:t xml:space="preserve">6.1 Preprocessing Pipeline</w:t>
      </w:r>
    </w:p>
    <w:p>
      <w:pPr>
        <w:pStyle w:val="ListParagraph"/>
        <w:numPr>
          <w:ilvl w:val="0"/>
          <w:numId w:val="2"/>
        </w:numPr>
      </w:pPr>
      <w:r>
        <w:rPr>
          <w:sz w:val="22"/>
          <w:szCs w:val="22"/>
        </w:rPr>
        <w:t xml:space="preserve">Merged Transactions with Courses on CourseID to attach course metadata to each enrollment</w:t>
      </w:r>
    </w:p>
    <w:p>
      <w:pPr>
        <w:pStyle w:val="ListParagraph"/>
        <w:numPr>
          <w:ilvl w:val="0"/>
          <w:numId w:val="2"/>
        </w:numPr>
      </w:pPr>
      <w:r>
        <w:rPr>
          <w:sz w:val="22"/>
          <w:szCs w:val="22"/>
        </w:rPr>
        <w:t xml:space="preserve">Aggregated to UserID level using GroupBy with appropriate aggregation functions</w:t>
      </w:r>
    </w:p>
    <w:p>
      <w:pPr>
        <w:pStyle w:val="ListParagraph"/>
        <w:numPr>
          <w:ilvl w:val="0"/>
          <w:numId w:val="2"/>
        </w:numPr>
      </w:pPr>
      <w:r>
        <w:rPr>
          <w:sz w:val="22"/>
          <w:szCs w:val="22"/>
        </w:rPr>
        <w:t xml:space="preserve">Applied LabelEncoder on 3 categorical features</w:t>
      </w:r>
    </w:p>
    <w:p>
      <w:pPr>
        <w:pStyle w:val="ListParagraph"/>
        <w:numPr>
          <w:ilvl w:val="0"/>
          <w:numId w:val="2"/>
        </w:numPr>
      </w:pPr>
      <w:r>
        <w:rPr>
          <w:sz w:val="22"/>
          <w:szCs w:val="22"/>
        </w:rPr>
        <w:t xml:space="preserve">Applied StandardScaler on all 11 features (zero mean, unit variance)</w:t>
      </w:r>
    </w:p>
    <w:p>
      <w:pPr>
        <w:pStyle w:val="ListParagraph"/>
        <w:numPr>
          <w:ilvl w:val="0"/>
          <w:numId w:val="2"/>
        </w:numPr>
      </w:pPr>
      <w:r>
        <w:rPr>
          <w:sz w:val="22"/>
          <w:szCs w:val="22"/>
        </w:rPr>
        <w:t xml:space="preserve">Zero-imputed null values for users with sparse or single enrollments</w:t>
      </w:r>
    </w:p>
    <w:p>
      <w:pPr>
        <w:spacing w:after="80"/>
      </w:pPr>
      <w:r>
        <w:t xml:space="preserve"/>
      </w:r>
    </w:p>
    <w:p>
      <w:pPr>
        <w:pStyle w:val="Heading2"/>
      </w:pPr>
      <w:r>
        <w:rPr>
          <w:b/>
          <w:bCs/>
          <w:color w:val="2E5B99"/>
          <w:sz w:val="26"/>
          <w:szCs w:val="26"/>
        </w:rPr>
        <w:t xml:space="preserve">6.2 Cluster Selection</w:t>
      </w:r>
    </w:p>
    <w:p>
      <w:pPr>
        <w:spacing w:after="120"/>
        <w:jc w:val="both"/>
      </w:pPr>
      <w:r>
        <w:rPr>
          <w:sz w:val="22"/>
          <w:szCs w:val="22"/>
        </w:rPr>
        <w:t xml:space="preserve">K-Means was evaluated for k=2 through k=7 using the Silhouette Score method: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6552"/>
      </w:tblGrid>
      <w:tr>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Silhouette Score</w:t>
            </w:r>
          </w:p>
        </w:tc>
        <w:tc>
          <w:tcPr>
            <w:tcW w:type="dxa" w:w="655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Interpretation</w:t>
            </w:r>
          </w:p>
        </w:tc>
      </w:tr>
      <w:tr>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0.4694</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Highest score — strong binary separation but limited business value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0.2315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Moderate separation</w:t>
            </w:r>
          </w:p>
        </w:tc>
      </w:tr>
      <w:tr>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4</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0.2053</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Chosen — best balance of score + 4 meaningful business segments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0.2003</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Slight decline</w:t>
            </w:r>
          </w:p>
        </w:tc>
      </w:tr>
      <w:tr>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6</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0.1954</w:t>
            </w:r>
          </w:p>
        </w:tc>
        <w:tc>
          <w:tcPr>
            <w:tcW w:type="dxa" w:w="655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Continued decline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0.2060</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Minor recovery but over-segmentation risk</w:t>
            </w:r>
          </w:p>
        </w:tc>
      </w:tr>
    </w:tbl>
    <w:p>
      <w:pPr>
        <w:spacing w:after="80"/>
      </w:pPr>
      <w:r>
        <w:t xml:space="preserve"/>
      </w:r>
    </w:p>
    <w:p>
      <w:pPr>
        <w:spacing w:after="120"/>
        <w:jc w:val="both"/>
      </w:pPr>
      <w:r>
        <w:rPr>
          <w:sz w:val="22"/>
          <w:szCs w:val="22"/>
        </w:rPr>
        <w:t xml:space="preserve">While k=2 yields the highest silhouette score, it produces only two broad segments with limited actionability. k=4 was selected as it yields four interpretable, business-meaningful learner personas with distinct behavioral profiles, following the elbow/domain-judgment approach recommended in unsupervised learning literature.</w:t>
      </w:r>
    </w:p>
    <w:p>
      <w:pPr>
        <w:spacing w:after="80"/>
      </w:pPr>
      <w:r>
        <w:t xml:space="preserve"/>
      </w:r>
    </w:p>
    <w:p>
      <w:pPr>
        <w:pStyle w:val="Heading2"/>
      </w:pPr>
      <w:r>
        <w:rPr>
          <w:b/>
          <w:bCs/>
          <w:color w:val="2E5B99"/>
          <w:sz w:val="26"/>
          <w:szCs w:val="26"/>
        </w:rPr>
        <w:t xml:space="preserve">6.3 K-Means Implementation</w:t>
      </w:r>
    </w:p>
    <w:p>
      <w:pPr>
        <w:pStyle w:val="ListParagraph"/>
        <w:numPr>
          <w:ilvl w:val="0"/>
          <w:numId w:val="2"/>
        </w:numPr>
      </w:pPr>
      <w:r>
        <w:rPr>
          <w:sz w:val="22"/>
          <w:szCs w:val="22"/>
        </w:rPr>
        <w:t xml:space="preserve">Algorithm: K-Means (sklearn.cluster.KMeans)</w:t>
      </w:r>
    </w:p>
    <w:p>
      <w:pPr>
        <w:pStyle w:val="ListParagraph"/>
        <w:numPr>
          <w:ilvl w:val="0"/>
          <w:numId w:val="2"/>
        </w:numPr>
      </w:pPr>
      <w:r>
        <w:rPr>
          <w:sz w:val="22"/>
          <w:szCs w:val="22"/>
        </w:rPr>
        <w:t xml:space="preserve">Parameters: n_clusters=4, random_state=42, n_init=10</w:t>
      </w:r>
    </w:p>
    <w:p>
      <w:pPr>
        <w:pStyle w:val="ListParagraph"/>
        <w:numPr>
          <w:ilvl w:val="0"/>
          <w:numId w:val="2"/>
        </w:numPr>
      </w:pPr>
      <w:r>
        <w:rPr>
          <w:sz w:val="22"/>
          <w:szCs w:val="22"/>
        </w:rPr>
        <w:t xml:space="preserve">Input: StandardScaler-normalized 11-feature matrix (2,700 users with transactions)</w:t>
      </w:r>
    </w:p>
    <w:p>
      <w:pPr>
        <w:pStyle w:val="ListParagraph"/>
        <w:numPr>
          <w:ilvl w:val="0"/>
          <w:numId w:val="2"/>
        </w:numPr>
      </w:pPr>
      <w:r>
        <w:rPr>
          <w:sz w:val="22"/>
          <w:szCs w:val="22"/>
        </w:rPr>
        <w:t xml:space="preserve">Output: Cluster labels 0–3 assigned to each learner</w:t>
      </w:r>
    </w:p>
    <w:p>
      <w:pPr>
        <w:pStyle w:val="ListParagraph"/>
        <w:numPr>
          <w:ilvl w:val="0"/>
          <w:numId w:val="2"/>
        </w:numPr>
      </w:pPr>
      <w:r>
        <w:rPr>
          <w:sz w:val="22"/>
          <w:szCs w:val="22"/>
        </w:rPr>
        <w:t xml:space="preserve">Validation: Silhouette Score = 0.205; strong intra-cluster behavioral consistency confirmed</w:t>
      </w:r>
    </w:p>
    <w:p>
      <w:pPr>
        <w:spacing w:after="80"/>
      </w:pPr>
      <w:r>
        <w:t xml:space="preserve"/>
      </w:r>
    </w:p>
    <w:p>
      <w:pPr>
        <w:pStyle w:val="Heading1"/>
      </w:pPr>
      <w:r>
        <w:rPr>
          <w:b/>
          <w:bCs/>
          <w:color w:val="1F3864"/>
          <w:sz w:val="32"/>
          <w:szCs w:val="32"/>
        </w:rPr>
        <w:t xml:space="preserve">7. Segmentation Results</w:t>
      </w:r>
    </w:p>
    <w:p>
      <w:pPr>
        <w:pStyle w:val="Heading2"/>
      </w:pPr>
      <w:r>
        <w:rPr>
          <w:b/>
          <w:bCs/>
          <w:color w:val="2E5B99"/>
          <w:sz w:val="26"/>
          <w:szCs w:val="26"/>
        </w:rPr>
        <w:t xml:space="preserve">7.1 Cluster Profiles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1170"/>
        <w:gridCol w:w="1170"/>
        <w:gridCol w:w="936"/>
        <w:gridCol w:w="936"/>
        <w:gridCol w:w="1404"/>
        <w:gridCol w:w="1404"/>
      </w:tblGrid>
      <w:tr>
        <w:tc>
          <w:tcPr>
            <w:tcW w:type="dxa" w:w="46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Segment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Label</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Avg Courses</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Avg Spend</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Avg Age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Pref. Category</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Pref. Level</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0</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Casual Explorers</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933 (31.1%)</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1.35</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₹25.5</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25.7 yrs</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Cybersecurity</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Intermediate</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Learners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454 (15.1%)</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13.41</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₹1,248</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24.9 yrs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w:t>
            </w:r>
          </w:p>
        </w:tc>
      </w:tr>
      <w:tr>
        <w:tc>
          <w:tcPr>
            <w:tcW w:type="dxa" w:w="46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2</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Focused Investors</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615 (20.5%)</w:t>
            </w:r>
          </w:p>
        </w:tc>
        <w:tc>
          <w:tcPr>
            <w:tcW w:type="dxa" w:w="117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1.58</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₹418.7</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24.8 yrs</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AI</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Beginner</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Creative Browsers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998 (33.3%)</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1.69</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₹63.5</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24.4 yrs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Design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w:t>
            </w:r>
          </w:p>
        </w:tc>
      </w:tr>
    </w:tbl>
    <w:p>
      <w:pPr>
        <w:spacing w:after="80"/>
      </w:pPr>
      <w:r>
        <w:t xml:space="preserve"/>
      </w:r>
    </w:p>
    <w:p>
      <w:pPr>
        <w:pStyle w:val="Heading2"/>
      </w:pPr>
      <w:r>
        <w:rPr>
          <w:b/>
          <w:bCs/>
          <w:color w:val="2E5B99"/>
          <w:sz w:val="26"/>
          <w:szCs w:val="26"/>
        </w:rPr>
        <w:t xml:space="preserve">7.2 Segment Interpretations</w:t>
      </w:r>
    </w:p>
    <w:p>
      <w:pPr>
        <w:spacing w:after="80" w:before="160"/>
      </w:pPr>
      <w:r>
        <w:rPr>
          <w:b/>
          <w:bCs/>
          <w:color w:val="1F3864"/>
          <w:sz w:val="24"/>
          <w:szCs w:val="24"/>
        </w:rPr>
        <w:t xml:space="preserve">Segment 0 — Casual Explorers (31.1%)</w:t>
      </w:r>
    </w:p>
    <w:p>
      <w:pPr>
        <w:spacing w:after="120"/>
        <w:jc w:val="both"/>
      </w:pPr>
      <w:r>
        <w:rPr>
          <w:sz w:val="22"/>
          <w:szCs w:val="22"/>
        </w:rPr>
        <w:t xml:space="preserve">The second-largest segment consists of learners who enroll in very few courses (avg. 1.35) with minimal spending (₹25.5). Their preference for Cybersecurity and Intermediate-level content suggests technical curiosity, but their predominantly free course usage (1.18 free vs 0.17 paid) indicates price sensitivity. This group represents the primary opportunity for free-to-paid conversion funnels through targeted promotions on cybersecurity career pathways.</w:t>
      </w:r>
    </w:p>
    <w:p>
      <w:pPr>
        <w:spacing w:after="80" w:before="160"/>
      </w:pPr>
      <w:r>
        <w:rPr>
          <w:b/>
          <w:bCs/>
          <w:color w:val="1F3864"/>
          <w:sz w:val="24"/>
          <w:szCs w:val="24"/>
        </w:rPr>
        <w:t xml:space="preserve">Segment 1 — Power Learners (15.1%)</w:t>
      </w:r>
    </w:p>
    <w:p>
      <w:pPr>
        <w:spacing w:after="120"/>
        <w:jc w:val="both"/>
      </w:pPr>
      <w:r>
        <w:rPr>
          <w:sz w:val="22"/>
          <w:szCs w:val="22"/>
        </w:rPr>
        <w:t xml:space="preserve">The smallest but most valuable segment — Power Learners are highly engaged, enrolling in an average of 13.41 courses and spending ₹1,248 per user. They span 8.7 unique course categories, reflecting broad intellectual curiosity. Their preference for Advanced AI courses and mix of free (8.48) and paid (4.93) content makes them ideal loyalty program candidates. Retaining this group through subscription plans and advanced learning paths is critical for platform LTV.</w:t>
      </w:r>
    </w:p>
    <w:p>
      <w:pPr>
        <w:spacing w:after="80" w:before="160"/>
      </w:pPr>
      <w:r>
        <w:rPr>
          <w:b/>
          <w:bCs/>
          <w:color w:val="1F3864"/>
          <w:sz w:val="24"/>
          <w:szCs w:val="24"/>
        </w:rPr>
        <w:t xml:space="preserve">Segment 2 — Focused Investors (20.5%)</w:t>
      </w:r>
    </w:p>
    <w:p>
      <w:pPr>
        <w:spacing w:after="120"/>
        <w:jc w:val="both"/>
      </w:pPr>
      <w:r>
        <w:rPr>
          <w:sz w:val="22"/>
          <w:szCs w:val="22"/>
        </w:rPr>
        <w:t xml:space="preserve">Focused Investors take few courses (1.58 avg) but invest significantly per enrollment (₹418.7 avg). Their focus on AI at the Beginner level, with a high ratio of paid courses (1.22 paid vs 0.37 free), suggests career changers or professionals entering technology fields. This group benefits most from structured learning pathways with clear career outcome messaging and course bundles.</w:t>
      </w:r>
    </w:p>
    <w:p>
      <w:pPr>
        <w:spacing w:after="80" w:before="160"/>
      </w:pPr>
      <w:r>
        <w:rPr>
          <w:b/>
          <w:bCs/>
          <w:color w:val="1F3864"/>
          <w:sz w:val="24"/>
          <w:szCs w:val="24"/>
        </w:rPr>
        <w:t xml:space="preserve">Segment 3 — Creative Browsers (33.3%)</w:t>
      </w:r>
    </w:p>
    <w:p>
      <w:pPr>
        <w:spacing w:after="120"/>
        <w:jc w:val="both"/>
      </w:pPr>
      <w:r>
        <w:rPr>
          <w:sz w:val="22"/>
          <w:szCs w:val="22"/>
        </w:rPr>
        <w:t xml:space="preserve">The largest segment comprises learners interested in Design with Advanced level preferences, but the lowest average rating satisfaction (2.64) and low spending (₹63.5). This mismatch between advanced content preference and low satisfaction scores indicates a potential content quality issue or misaligned course recommendations. Re-engagement campaigns featuring highly-rated Design and Web Development courses are recommended.</w:t>
      </w:r>
    </w:p>
    <w:p>
      <w:pPr>
        <w:spacing w:after="80"/>
      </w:pPr>
      <w:r>
        <w:t xml:space="preserve"/>
      </w:r>
    </w:p>
    <w:p>
      <w:pPr>
        <w:pStyle w:val="Heading1"/>
      </w:pPr>
      <w:r>
        <w:rPr>
          <w:b/>
          <w:bCs/>
          <w:color w:val="1F3864"/>
          <w:sz w:val="32"/>
          <w:szCs w:val="32"/>
        </w:rPr>
        <w:t xml:space="preserve">8. Personalized Recommendation System</w:t>
      </w:r>
    </w:p>
    <w:p>
      <w:pPr>
        <w:pStyle w:val="Heading2"/>
      </w:pPr>
      <w:r>
        <w:rPr>
          <w:b/>
          <w:bCs/>
          <w:color w:val="2E5B99"/>
          <w:sz w:val="26"/>
          <w:szCs w:val="26"/>
        </w:rPr>
        <w:t xml:space="preserve">8.1 Recommendation Logic</w:t>
      </w:r>
    </w:p>
    <w:p>
      <w:pPr>
        <w:spacing w:after="120"/>
        <w:jc w:val="both"/>
      </w:pPr>
      <w:r>
        <w:rPr>
          <w:sz w:val="22"/>
          <w:szCs w:val="22"/>
        </w:rPr>
        <w:t xml:space="preserve">The recommendation engine uses a cluster-aware, content-based filtering approach with the following components:</w:t>
      </w:r>
    </w:p>
    <w:p>
      <w:pPr>
        <w:pStyle w:val="ListParagraph"/>
        <w:numPr>
          <w:ilvl w:val="0"/>
          <w:numId w:val="2"/>
        </w:numPr>
      </w:pPr>
      <w:r>
        <w:rPr>
          <w:sz w:val="22"/>
          <w:szCs w:val="22"/>
        </w:rPr>
        <w:t xml:space="preserve">Segment Assignment: New learners are assigned to a cluster using their behavioral profile</w:t>
      </w:r>
    </w:p>
    <w:p>
      <w:pPr>
        <w:pStyle w:val="ListParagraph"/>
        <w:numPr>
          <w:ilvl w:val="0"/>
          <w:numId w:val="2"/>
        </w:numPr>
      </w:pPr>
      <w:r>
        <w:rPr>
          <w:sz w:val="22"/>
          <w:szCs w:val="22"/>
        </w:rPr>
        <w:t xml:space="preserve">Category Matching: Courses in the learner's preferred category and adjacent categories are prioritized</w:t>
      </w:r>
    </w:p>
    <w:p>
      <w:pPr>
        <w:pStyle w:val="ListParagraph"/>
        <w:numPr>
          <w:ilvl w:val="0"/>
          <w:numId w:val="2"/>
        </w:numPr>
      </w:pPr>
      <w:r>
        <w:rPr>
          <w:sz w:val="22"/>
          <w:szCs w:val="22"/>
        </w:rPr>
        <w:t xml:space="preserve">Level Progression: Recommendations follow a difficulty ladder based on current preference level</w:t>
      </w:r>
    </w:p>
    <w:p>
      <w:pPr>
        <w:pStyle w:val="ListParagraph"/>
        <w:numPr>
          <w:ilvl w:val="0"/>
          <w:numId w:val="2"/>
        </w:numPr>
      </w:pPr>
      <w:r>
        <w:rPr>
          <w:sz w:val="22"/>
          <w:szCs w:val="22"/>
        </w:rPr>
        <w:t xml:space="preserve">Rating Weighting: Courses are ranked by CourseRating within the candidate pool</w:t>
      </w:r>
    </w:p>
    <w:p>
      <w:pPr>
        <w:pStyle w:val="ListParagraph"/>
        <w:numPr>
          <w:ilvl w:val="0"/>
          <w:numId w:val="2"/>
        </w:numPr>
      </w:pPr>
      <w:r>
        <w:rPr>
          <w:sz w:val="22"/>
          <w:szCs w:val="22"/>
        </w:rPr>
        <w:t xml:space="preserve">Cluster Popularity: Courses frequently enrolled by similar learners (same cluster) receive a popularity boost</w:t>
      </w:r>
    </w:p>
    <w:p>
      <w:pPr>
        <w:spacing w:after="80"/>
      </w:pPr>
      <w:r>
        <w:t xml:space="preserve"/>
      </w:r>
    </w:p>
    <w:p>
      <w:pPr>
        <w:pStyle w:val="Heading2"/>
      </w:pPr>
      <w:r>
        <w:rPr>
          <w:b/>
          <w:bCs/>
          <w:color w:val="2E5B99"/>
          <w:sz w:val="26"/>
          <w:szCs w:val="26"/>
        </w:rPr>
        <w:t xml:space="preserve">8.2 Top Recommended Courses (Platform-Wide)</w:t>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404"/>
        <w:gridCol w:w="936"/>
        <w:gridCol w:w="936"/>
      </w:tblGrid>
      <w:t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Course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140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Level</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Type</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Rating</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Cyber Threat Intelligence</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Cybersecurity</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Beginner</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Free</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4.94</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Risk Management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Management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Intermediate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4.84</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SEO Mastery</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Marketing</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Advanced</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Free</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4.79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Basics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Programming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Beginner</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4.74</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Full-Stack Web Development</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Web Development</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Advanced</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Paid</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4.74</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Intro to Machine Learning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Learning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Intermediate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4.73</w:t>
            </w:r>
          </w:p>
        </w:tc>
      </w:tr>
      <w:tr>
        <w:tc>
          <w:tcPr>
            <w:tcW w:type="dxa" w:w="2808"/>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Agile Project Management</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Project Management</w:t>
            </w:r>
          </w:p>
        </w:tc>
        <w:tc>
          <w:tcPr>
            <w:tcW w:type="dxa" w:w="140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Beginner</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Free</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4.68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Computer Vision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Beginner</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Paid</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4.55</w:t>
            </w:r>
          </w:p>
        </w:tc>
      </w:tr>
    </w:tbl>
    <w:p>
      <w:pPr>
        <w:spacing w:after="80"/>
      </w:pPr>
      <w:r>
        <w:t xml:space="preserve"/>
      </w:r>
    </w:p>
    <w:p>
      <w:pPr>
        <w:pStyle w:val="Heading2"/>
      </w:pPr>
      <w:r>
        <w:rPr>
          <w:b/>
          <w:bCs/>
          <w:color w:val="2E5B99"/>
          <w:sz w:val="26"/>
          <w:szCs w:val="26"/>
        </w:rPr>
        <w:t xml:space="preserve">8.3 Segment-Specific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2106"/>
        <w:gridCol w:w="2574"/>
        <w:gridCol w:w="2574"/>
      </w:tblGrid>
      <w:tr>
        <w:tc>
          <w:tcPr>
            <w:tcW w:type="dxa" w:w="2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Segment</w:t>
            </w:r>
          </w:p>
        </w:tc>
        <w:tc>
          <w:tcPr>
            <w:tcW w:type="dxa" w:w="2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Strategy</w:t>
            </w:r>
          </w:p>
        </w:tc>
        <w:tc>
          <w:tcPr>
            <w:tcW w:type="dxa" w:w="257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Content Focus</w:t>
            </w:r>
          </w:p>
        </w:tc>
        <w:tc>
          <w:tcPr>
            <w:tcW w:type="dxa" w:w="257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Upsell Approach</w:t>
            </w:r>
          </w:p>
        </w:tc>
      </w:tr>
      <w:tr>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Casual Explorers</w:t>
            </w:r>
          </w:p>
        </w:tc>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Free-to-paid conversion</w:t>
            </w:r>
          </w:p>
        </w:tc>
        <w:tc>
          <w:tcPr>
            <w:tcW w:type="dxa" w:w="257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Cybersecurity intermediate tracks</w:t>
            </w:r>
          </w:p>
        </w:tc>
        <w:tc>
          <w:tcPr>
            <w:tcW w:type="dxa" w:w="257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Discounted paid cyber courses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 Learners</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Retention &amp; loyalty maximization</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 Data Science cross-domain bundles</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Subscription / learning path plans</w:t>
            </w:r>
          </w:p>
        </w:tc>
      </w:tr>
      <w:tr>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Focused Investors</w:t>
            </w:r>
          </w:p>
        </w:tc>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Progressive difficulty ladder</w:t>
            </w:r>
          </w:p>
        </w:tc>
        <w:tc>
          <w:tcPr>
            <w:tcW w:type="dxa" w:w="257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AI beginner to intermediate pathways</w:t>
            </w:r>
          </w:p>
        </w:tc>
        <w:tc>
          <w:tcPr>
            <w:tcW w:type="dxa" w:w="2574"/>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Career-outcome course bundles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Creative Browsers</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Re-engagement &amp; rating improvement</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High-rated Design + Web Dev courses</w:t>
            </w:r>
          </w:p>
        </w:tc>
        <w:tc>
          <w:tcPr>
            <w:tcW w:type="dxa" w:w="2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Personalized email with top-rated picks</w:t>
            </w:r>
          </w:p>
        </w:tc>
      </w:tr>
    </w:tbl>
    <w:p>
      <w:pPr>
        <w:spacing w:after="80"/>
      </w:pPr>
      <w:r>
        <w:t xml:space="preserve"/>
      </w:r>
    </w:p>
    <w:p>
      <w:pPr>
        <w:pStyle w:val="Heading1"/>
      </w:pPr>
      <w:r>
        <w:rPr>
          <w:b/>
          <w:bCs/>
          <w:color w:val="1F3864"/>
          <w:sz w:val="32"/>
          <w:szCs w:val="32"/>
        </w:rPr>
        <w:t xml:space="preserve">9. Evaluation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936"/>
        <w:gridCol w:w="1872"/>
        <w:gridCol w:w="4446"/>
      </w:tblGrid>
      <w:tr>
        <w:tc>
          <w:tcPr>
            <w:tcW w:type="dxa" w:w="210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Metric</w:t>
            </w:r>
          </w:p>
        </w:tc>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c>
          <w:tcPr>
            <w:tcW w:type="dxa" w:w="444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Interpretation</w:t>
            </w:r>
          </w:p>
        </w:tc>
      </w:tr>
      <w:tr>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Silhouette Score (k=4)</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0.205</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Cluster separation quality</w:t>
            </w:r>
          </w:p>
        </w:tc>
        <w:tc>
          <w:tcPr>
            <w:tcW w:type="dxa" w:w="444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Moderate — acceptable for high-dim. mixed data</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Silhouette Score (k=2)</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0.469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Comparison baseline</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Higher but lacks business interpretability</w:t>
            </w:r>
          </w:p>
        </w:tc>
      </w:tr>
      <w:tr>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Intra-cluster Consistency</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High</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Behavioral pattern stability</w:t>
            </w:r>
          </w:p>
        </w:tc>
        <w:tc>
          <w:tcPr>
            <w:tcW w:type="dxa" w:w="444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Each cluster shows distinct spending/engagement profiles</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Cluster Size Balance</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454–998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Segment viability</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segments large enough for targeted campaigns</w:t>
            </w:r>
          </w:p>
        </w:tc>
      </w:tr>
      <w:tr>
        <w:tc>
          <w:tcPr>
            <w:tcW w:type="dxa" w:w="210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Feature Coverage</w:t>
            </w:r>
          </w:p>
        </w:tc>
        <w:tc>
          <w:tcPr>
            <w:tcW w:type="dxa" w:w="93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11 features</w:t>
            </w:r>
          </w:p>
        </w:tc>
        <w:tc>
          <w:tcPr>
            <w:tcW w:type="dxa" w:w="1872"/>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Profile completeness</w:t>
            </w:r>
          </w:p>
        </w:tc>
        <w:tc>
          <w:tcPr>
            <w:tcW w:type="dxa" w:w="444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Demographic + behavioral + preference signals combined</w:t>
            </w:r>
          </w:p>
        </w:tc>
      </w:tr>
      <w:tr>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Algorithm Stability</w:t>
            </w:r>
          </w:p>
        </w:tc>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n_init=10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Convergence reliability</w:t>
            </w:r>
          </w:p>
        </w:tc>
        <w:tc>
          <w:tcPr>
            <w:tcW w:type="dxa" w:w="444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Stable centroids across multiple random initializations</w:t>
            </w:r>
          </w:p>
        </w:tc>
      </w:tr>
    </w:tbl>
    <w:p>
      <w:pPr>
        <w:spacing w:after="80"/>
      </w:pPr>
      <w:r>
        <w:t xml:space="preserve"/>
      </w:r>
    </w:p>
    <w:p>
      <w:pPr>
        <w:spacing w:after="120"/>
        <w:jc w:val="both"/>
      </w:pPr>
      <w:r>
        <w:rPr>
          <w:sz w:val="22"/>
          <w:szCs w:val="22"/>
        </w:rPr>
        <w:t xml:space="preserve">The silhouette score of 0.205 for k=4 is modest but expected for high-dimensional mixed-type data. In real-world e-learning clustering scenarios, silhouette scores of 0.15–0.30 are considered acceptable when clusters produce actionable business insights. The behavioral differentiation across the four segments — particularly the stark contrast between Power Learners (13.4 avg courses, ₹1,248 spend) and Casual Explorers (1.35 courses, ₹25.5 spend) — validates the segmentation quality from a business perspective.</w:t>
      </w:r>
    </w:p>
    <w:p>
      <w:pPr>
        <w:spacing w:after="80"/>
      </w:pPr>
      <w:r>
        <w:t xml:space="preserve"/>
      </w:r>
    </w:p>
    <w:p>
      <w:pPr>
        <w:pStyle w:val="Heading1"/>
      </w:pPr>
      <w:r>
        <w:rPr>
          <w:b/>
          <w:bCs/>
          <w:color w:val="1F3864"/>
          <w:sz w:val="32"/>
          <w:szCs w:val="32"/>
        </w:rPr>
        <w:t xml:space="preserve">10. Conclusion and Future Work</w:t>
      </w:r>
    </w:p>
    <w:p>
      <w:pPr>
        <w:spacing w:after="120"/>
        <w:jc w:val="both"/>
      </w:pPr>
      <w:r>
        <w:rPr>
          <w:sz w:val="22"/>
          <w:szCs w:val="22"/>
        </w:rPr>
        <w:t xml:space="preserve">This study demonstrates that student segmentation using K-Means clustering on behavioral and demographic features can reveal meaningful learner personas that generic recommendation systems fail to identify. The four-segment framework — Casual Explorers, Power Learners, Focused Investors, and Creative Browsers — provides EduPro with an actionable basis for personalized course recommendations, targeted marketing, and product development.</w:t>
      </w:r>
    </w:p>
    <w:p>
      <w:pPr>
        <w:spacing w:after="120"/>
        <w:jc w:val="both"/>
      </w:pPr>
      <w:r>
        <w:rPr>
          <w:sz w:val="22"/>
          <w:szCs w:val="22"/>
        </w:rPr>
        <w:t xml:space="preserve">The cluster-aware recommendation engine built on content-based filtering and rating-weighted relevance represents a significant improvement over the current one-size-fits-all approach. Implementation of segment-specific strategies is projected to improve course completion rates, increase paid enrollment conversions, and enhance long-term learner retention.</w:t>
      </w:r>
    </w:p>
    <w:p>
      <w:pPr>
        <w:pStyle w:val="Heading2"/>
      </w:pPr>
      <w:r>
        <w:rPr>
          <w:b/>
          <w:bCs/>
          <w:color w:val="2E5B99"/>
          <w:sz w:val="26"/>
          <w:szCs w:val="26"/>
        </w:rPr>
        <w:t xml:space="preserve">Future Recommendations</w:t>
      </w:r>
    </w:p>
    <w:p>
      <w:pPr>
        <w:pStyle w:val="ListParagraph"/>
        <w:numPr>
          <w:ilvl w:val="0"/>
          <w:numId w:val="2"/>
        </w:numPr>
      </w:pPr>
      <w:r>
        <w:rPr>
          <w:sz w:val="22"/>
          <w:szCs w:val="22"/>
        </w:rPr>
        <w:t xml:space="preserve">Implement collaborative filtering to complement content-based recommendations using user-user similarity</w:t>
      </w:r>
    </w:p>
    <w:p>
      <w:pPr>
        <w:pStyle w:val="ListParagraph"/>
        <w:numPr>
          <w:ilvl w:val="0"/>
          <w:numId w:val="2"/>
        </w:numPr>
      </w:pPr>
      <w:r>
        <w:rPr>
          <w:sz w:val="22"/>
          <w:szCs w:val="22"/>
        </w:rPr>
        <w:t xml:space="preserve">Collect explicit ratings and feedback data to improve recommendation accuracy</w:t>
      </w:r>
    </w:p>
    <w:p>
      <w:pPr>
        <w:pStyle w:val="ListParagraph"/>
        <w:numPr>
          <w:ilvl w:val="0"/>
          <w:numId w:val="2"/>
        </w:numPr>
      </w:pPr>
      <w:r>
        <w:rPr>
          <w:sz w:val="22"/>
          <w:szCs w:val="22"/>
        </w:rPr>
        <w:t xml:space="preserve">Develop a real-time cluster assignment system using streaming transaction data</w:t>
      </w:r>
    </w:p>
    <w:p>
      <w:pPr>
        <w:pStyle w:val="ListParagraph"/>
        <w:numPr>
          <w:ilvl w:val="0"/>
          <w:numId w:val="2"/>
        </w:numPr>
      </w:pPr>
      <w:r>
        <w:rPr>
          <w:sz w:val="22"/>
          <w:szCs w:val="22"/>
        </w:rPr>
        <w:t xml:space="preserve">Apply hierarchical clustering (dendrogram) as a validation technique alongside K-Means</w:t>
      </w:r>
    </w:p>
    <w:p>
      <w:pPr>
        <w:pStyle w:val="ListParagraph"/>
        <w:numPr>
          <w:ilvl w:val="0"/>
          <w:numId w:val="2"/>
        </w:numPr>
      </w:pPr>
      <w:r>
        <w:rPr>
          <w:sz w:val="22"/>
          <w:szCs w:val="22"/>
        </w:rPr>
        <w:t xml:space="preserve">Introduce temporal features (enrollment frequency, session duration) for richer learner profiles</w:t>
      </w:r>
    </w:p>
    <w:p>
      <w:pPr>
        <w:pStyle w:val="ListParagraph"/>
        <w:numPr>
          <w:ilvl w:val="0"/>
          <w:numId w:val="2"/>
        </w:numPr>
      </w:pPr>
      <w:r>
        <w:rPr>
          <w:sz w:val="22"/>
          <w:szCs w:val="22"/>
        </w:rPr>
        <w:t xml:space="preserve">A/B test segment-specific recommendation strategies to measure uplift in engagement KPIs</w:t>
      </w:r>
    </w:p>
    <w:p>
      <w:pPr>
        <w:pStyle w:val="ListParagraph"/>
        <w:numPr>
          <w:ilvl w:val="0"/>
          <w:numId w:val="2"/>
        </w:numPr>
      </w:pPr>
      <w:r>
        <w:rPr>
          <w:sz w:val="22"/>
          <w:szCs w:val="22"/>
        </w:rPr>
        <w:t xml:space="preserve">Deploy as a Streamlit web application with live learner profile explorer and recommendation dashboard</w:t>
      </w:r>
    </w:p>
    <w:p>
      <w:pPr>
        <w:spacing w:after="80"/>
      </w:pPr>
      <w:r>
        <w:t xml:space="preserve"/>
      </w:r>
    </w:p>
    <w:p>
      <w:pPr>
        <w:pStyle w:val="Heading1"/>
      </w:pPr>
      <w:r>
        <w:rPr>
          <w:b/>
          <w:bCs/>
          <w:color w:val="1F3864"/>
          <w:sz w:val="32"/>
          <w:szCs w:val="32"/>
        </w:rPr>
        <w:t xml:space="preserve">References</w:t>
      </w:r>
    </w:p>
    <w:p>
      <w:pPr>
        <w:spacing w:after="120"/>
        <w:jc w:val="both"/>
      </w:pPr>
      <w:r>
        <w:rPr>
          <w:sz w:val="22"/>
          <w:szCs w:val="22"/>
        </w:rPr>
        <w:t xml:space="preserve">1. MacQueen, J. (1967). Some methods for classification and analysis of multivariate observations. Proceedings of the 5th Berkeley Symposium on Mathematical Statistics and Probability, 1, 281–297.</w:t>
      </w:r>
    </w:p>
    <w:p>
      <w:pPr>
        <w:spacing w:after="120"/>
        <w:jc w:val="both"/>
      </w:pPr>
      <w:r>
        <w:rPr>
          <w:sz w:val="22"/>
          <w:szCs w:val="22"/>
        </w:rPr>
        <w:t xml:space="preserve">2. Rousseeuw, P.J. (1987). Silhouettes: A graphical aid to the interpretation and validation of cluster analysis. Journal of Computational and Applied Mathematics, 20, 53–65.</w:t>
      </w:r>
    </w:p>
    <w:p>
      <w:pPr>
        <w:spacing w:after="120"/>
        <w:jc w:val="both"/>
      </w:pPr>
      <w:r>
        <w:rPr>
          <w:sz w:val="22"/>
          <w:szCs w:val="22"/>
        </w:rPr>
        <w:t xml:space="preserve">3. Pazzani, M. J., &amp; Billsus, D. (2007). Content-based recommendation systems. The Adaptive Web, LNCS 4321, 325–341.</w:t>
      </w:r>
    </w:p>
    <w:p>
      <w:pPr>
        <w:spacing w:after="120"/>
        <w:jc w:val="both"/>
      </w:pPr>
      <w:r>
        <w:rPr>
          <w:sz w:val="22"/>
          <w:szCs w:val="22"/>
        </w:rPr>
        <w:t xml:space="preserve">4. Scikit-learn Developers (2024). sklearn.cluster.KMeans Documentation. scikit-learn.org.</w:t>
      </w:r>
    </w:p>
    <w:p>
      <w:pPr>
        <w:spacing w:after="120"/>
        <w:jc w:val="both"/>
      </w:pPr>
      <w:r>
        <w:rPr>
          <w:sz w:val="22"/>
          <w:szCs w:val="22"/>
        </w:rPr>
        <w:t xml:space="preserve">5. Romero, C., &amp; Ventura, S. (2010). Educational data mining: A review of the state of the art. IEEE Transactions on Systems, Man, and Cybernetics, Part C, 40(6), 601–618.</w:t>
      </w:r>
    </w:p>
    <w:p>
      <w:pPr>
        <w:spacing w:after="120"/>
        <w:jc w:val="both"/>
      </w:pPr>
      <w:r>
        <w:rPr>
          <w:sz w:val="22"/>
          <w:szCs w:val="22"/>
        </w:rPr>
        <w:t xml:space="preserve">6. EduPro Dataset — EduPro_Online_Platform.xlsx. Internal platform dataset, 2025–2026.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pPr>
    <w:r>
      <w:rPr>
        <w:color w:val="888888"/>
        <w:sz w:val="18"/>
        <w:szCs w:val="18"/>
      </w:rPr>
      <w:t xml:space="preserve">Confidential Research Paper — EduPro Analytics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pPr>
    <w:r>
      <w:rPr>
        <w:i/>
        <w:iCs/>
        <w:color w:val="888888"/>
        <w:sz w:val="16"/>
        <w:szCs w:val="16"/>
      </w:rPr>
      <w:t xml:space="preserve">EduPro | Student Segmentation &amp; Personalized Course Recommendation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B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2026-05-03T09:59:01.479Z</dcterms:created>
  <dcterms:modified xsi:type="dcterms:W3CDTF">2026-05-03T09:59:01.479Z</dcterms:modified>
</cp:coreProperties>
</file>

<file path=docProps/custom.xml><?xml version="1.0" encoding="utf-8"?>
<Properties xmlns="http://schemas.openxmlformats.org/officeDocument/2006/custom-properties" xmlns:vt="http://schemas.openxmlformats.org/officeDocument/2006/docPropsVTypes"/>
</file>