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80"/>
              <w:left w:type="dxa" w:w="240"/>
              <w:bottom w:type="dxa" w:w="180"/>
              <w:right w:type="dxa" w:w="240"/>
            </w:tcMar>
            <w:vAlign w:val="top"/>
          </w:tcPr>
          <w:p>
            <w:pPr>
              <w:spacing w:after="40" w:before="0"/>
              <w:jc w:val="left"/>
            </w:pPr>
            <w:r>
              <w:rPr>
                <w:rFonts w:ascii="Arial" w:cs="Arial" w:eastAsia="Arial" w:hAnsi="Arial"/>
                <w:b/>
                <w:bCs/>
                <w:i w:val="false"/>
                <w:iCs w:val="false"/>
                <w:color w:val="AABBD0"/>
                <w:sz w:val="17"/>
                <w:szCs w:val="17"/>
              </w:rPr>
              <w:t xml:space="preserve">ECONOMIC &amp; COMMERCIAL SUMMARY</w:t>
            </w:r>
          </w:p>
          <w:p>
            <w:pPr>
              <w:spacing w:after="40" w:before="0"/>
              <w:jc w:val="left"/>
            </w:pPr>
            <w:r>
              <w:rPr>
                <w:rFonts w:ascii="Arial" w:cs="Arial" w:eastAsia="Arial" w:hAnsi="Arial"/>
                <w:b/>
                <w:bCs/>
                <w:i w:val="false"/>
                <w:iCs w:val="false"/>
                <w:color w:val="FFFFFF"/>
                <w:sz w:val="38"/>
                <w:szCs w:val="38"/>
              </w:rPr>
              <w:t xml:space="preserve">Nassau Candy Distributor</w:t>
            </w:r>
          </w:p>
          <w:p>
            <w:pPr>
              <w:spacing w:after="80" w:before="0"/>
              <w:jc w:val="left"/>
            </w:pPr>
            <w:r>
              <w:rPr>
                <w:rFonts w:ascii="Arial" w:cs="Arial" w:eastAsia="Arial" w:hAnsi="Arial"/>
                <w:b w:val="false"/>
                <w:bCs w:val="false"/>
                <w:i w:val="false"/>
                <w:iCs w:val="false"/>
                <w:color w:val="CCDDEE"/>
                <w:sz w:val="20"/>
                <w:szCs w:val="20"/>
              </w:rPr>
              <w:t xml:space="preserve">United States Confectionery Distribution  |  January 2024 – December 2025</w:t>
            </w:r>
          </w:p>
        </w:tc>
      </w:tr>
    </w:tbl>
    <w:p>
      <w:pPr>
        <w:spacing w:after="80" w:before="0"/>
        <w:jc w:val="left"/>
      </w:pPr>
      <w:r>
        <w:rPr>
          <w:rFonts w:ascii="Arial" w:cs="Arial" w:eastAsia="Arial" w:hAnsi="Arial"/>
          <w:b w:val="false"/>
          <w:bCs w:val="false"/>
          <w:i w:val="false"/>
          <w:iCs w:val="false"/>
          <w:color w:val="111111"/>
          <w:sz w:val="6"/>
          <w:szCs w:val="6"/>
        </w:rPr>
        <w:t xml:space="preserve"/>
      </w:r>
    </w:p>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0DAE8" w:sz="3"/>
              <w:left w:val="single" w:color="D0DAE8" w:sz="3"/>
              <w:bottom w:val="single" w:color="D0DAE8" w:sz="3"/>
              <w:right w:val="single" w:color="D0DAE8" w:sz="3"/>
            </w:tcBorders>
            <w:shd w:fill="F2F5F9" w:val="clear"/>
            <w:tcMar>
              <w:top w:type="dxa" w:w="100"/>
              <w:left w:type="dxa" w:w="60"/>
              <w:bottom w:type="dxa" w:w="100"/>
              <w:right w:type="dxa" w:w="60"/>
            </w:tcMar>
            <w:vAlign w:val="top"/>
          </w:tcPr>
          <w:p>
            <w:pPr>
              <w:spacing w:after="80" w:before="0"/>
              <w:jc w:val="center"/>
            </w:pPr>
            <w:r>
              <w:rPr>
                <w:rFonts w:ascii="Arial" w:cs="Arial" w:eastAsia="Arial" w:hAnsi="Arial"/>
                <w:b/>
                <w:bCs/>
                <w:i w:val="false"/>
                <w:iCs w:val="false"/>
                <w:color w:val="1B3A6B"/>
                <w:sz w:val="26"/>
                <w:szCs w:val="26"/>
              </w:rPr>
              <w:t xml:space="preserve">$141,784</w:t>
            </w:r>
          </w:p>
          <w:p>
            <w:pPr>
              <w:spacing w:after="80" w:before="0"/>
              <w:jc w:val="center"/>
            </w:pPr>
            <w:r>
              <w:rPr>
                <w:rFonts w:ascii="Arial" w:cs="Arial" w:eastAsia="Arial" w:hAnsi="Arial"/>
                <w:b w:val="false"/>
                <w:bCs w:val="false"/>
                <w:i w:val="false"/>
                <w:iCs w:val="false"/>
                <w:color w:val="4A5568"/>
                <w:sz w:val="17"/>
                <w:szCs w:val="17"/>
              </w:rPr>
              <w:t xml:space="preserve">Total Revenue</w:t>
            </w:r>
          </w:p>
        </w:tc>
        <w:tc>
          <w:tcPr>
            <w:tcW w:type="dxa" w:w="1872"/>
            <w:tcBorders>
              <w:top w:val="single" w:color="D0DAE8" w:sz="3"/>
              <w:left w:val="single" w:color="D0DAE8" w:sz="3"/>
              <w:bottom w:val="single" w:color="D0DAE8" w:sz="3"/>
              <w:right w:val="single" w:color="D0DAE8" w:sz="3"/>
            </w:tcBorders>
            <w:shd w:fill="F2F5F9" w:val="clear"/>
            <w:tcMar>
              <w:top w:type="dxa" w:w="100"/>
              <w:left w:type="dxa" w:w="60"/>
              <w:bottom w:type="dxa" w:w="100"/>
              <w:right w:type="dxa" w:w="60"/>
            </w:tcMar>
            <w:vAlign w:val="top"/>
          </w:tcPr>
          <w:p>
            <w:pPr>
              <w:spacing w:after="80" w:before="0"/>
              <w:jc w:val="center"/>
            </w:pPr>
            <w:r>
              <w:rPr>
                <w:rFonts w:ascii="Arial" w:cs="Arial" w:eastAsia="Arial" w:hAnsi="Arial"/>
                <w:b/>
                <w:bCs/>
                <w:i w:val="false"/>
                <w:iCs w:val="false"/>
                <w:color w:val="1D6E5E"/>
                <w:sz w:val="26"/>
                <w:szCs w:val="26"/>
              </w:rPr>
              <w:t xml:space="preserve">65.9%</w:t>
            </w:r>
          </w:p>
          <w:p>
            <w:pPr>
              <w:spacing w:after="80" w:before="0"/>
              <w:jc w:val="center"/>
            </w:pPr>
            <w:r>
              <w:rPr>
                <w:rFonts w:ascii="Arial" w:cs="Arial" w:eastAsia="Arial" w:hAnsi="Arial"/>
                <w:b w:val="false"/>
                <w:bCs w:val="false"/>
                <w:i w:val="false"/>
                <w:iCs w:val="false"/>
                <w:color w:val="4A5568"/>
                <w:sz w:val="17"/>
                <w:szCs w:val="17"/>
              </w:rPr>
              <w:t xml:space="preserve">Gross Margin</w:t>
            </w:r>
          </w:p>
        </w:tc>
        <w:tc>
          <w:tcPr>
            <w:tcW w:type="dxa" w:w="1872"/>
            <w:tcBorders>
              <w:top w:val="single" w:color="D0DAE8" w:sz="3"/>
              <w:left w:val="single" w:color="D0DAE8" w:sz="3"/>
              <w:bottom w:val="single" w:color="D0DAE8" w:sz="3"/>
              <w:right w:val="single" w:color="D0DAE8" w:sz="3"/>
            </w:tcBorders>
            <w:shd w:fill="F2F5F9" w:val="clear"/>
            <w:tcMar>
              <w:top w:type="dxa" w:w="100"/>
              <w:left w:type="dxa" w:w="60"/>
              <w:bottom w:type="dxa" w:w="100"/>
              <w:right w:type="dxa" w:w="60"/>
            </w:tcMar>
            <w:vAlign w:val="top"/>
          </w:tcPr>
          <w:p>
            <w:pPr>
              <w:spacing w:after="80" w:before="0"/>
              <w:jc w:val="center"/>
            </w:pPr>
            <w:r>
              <w:rPr>
                <w:rFonts w:ascii="Arial" w:cs="Arial" w:eastAsia="Arial" w:hAnsi="Arial"/>
                <w:b/>
                <w:bCs/>
                <w:i w:val="false"/>
                <w:iCs w:val="false"/>
                <w:color w:val="1E7145"/>
                <w:sz w:val="26"/>
                <w:szCs w:val="26"/>
              </w:rPr>
              <w:t xml:space="preserve">+44.6%</w:t>
            </w:r>
          </w:p>
          <w:p>
            <w:pPr>
              <w:spacing w:after="80" w:before="0"/>
              <w:jc w:val="center"/>
            </w:pPr>
            <w:r>
              <w:rPr>
                <w:rFonts w:ascii="Arial" w:cs="Arial" w:eastAsia="Arial" w:hAnsi="Arial"/>
                <w:b w:val="false"/>
                <w:bCs w:val="false"/>
                <w:i w:val="false"/>
                <w:iCs w:val="false"/>
                <w:color w:val="4A5568"/>
                <w:sz w:val="17"/>
                <w:szCs w:val="17"/>
              </w:rPr>
              <w:t xml:space="preserve">YoY Growth</w:t>
            </w:r>
          </w:p>
        </w:tc>
        <w:tc>
          <w:tcPr>
            <w:tcW w:type="dxa" w:w="1872"/>
            <w:tcBorders>
              <w:top w:val="single" w:color="D0DAE8" w:sz="3"/>
              <w:left w:val="single" w:color="D0DAE8" w:sz="3"/>
              <w:bottom w:val="single" w:color="D0DAE8" w:sz="3"/>
              <w:right w:val="single" w:color="D0DAE8" w:sz="3"/>
            </w:tcBorders>
            <w:shd w:fill="F2F5F9" w:val="clear"/>
            <w:tcMar>
              <w:top w:type="dxa" w:w="100"/>
              <w:left w:type="dxa" w:w="60"/>
              <w:bottom w:type="dxa" w:w="100"/>
              <w:right w:type="dxa" w:w="60"/>
            </w:tcMar>
            <w:vAlign w:val="top"/>
          </w:tcPr>
          <w:p>
            <w:pPr>
              <w:spacing w:after="80" w:before="0"/>
              <w:jc w:val="center"/>
            </w:pPr>
            <w:r>
              <w:rPr>
                <w:rFonts w:ascii="Arial" w:cs="Arial" w:eastAsia="Arial" w:hAnsi="Arial"/>
                <w:b/>
                <w:bCs/>
                <w:i w:val="false"/>
                <w:iCs w:val="false"/>
                <w:color w:val="1B3A6B"/>
                <w:sz w:val="26"/>
                <w:szCs w:val="26"/>
              </w:rPr>
              <w:t xml:space="preserve">38,654</w:t>
            </w:r>
          </w:p>
          <w:p>
            <w:pPr>
              <w:spacing w:after="80" w:before="0"/>
              <w:jc w:val="center"/>
            </w:pPr>
            <w:r>
              <w:rPr>
                <w:rFonts w:ascii="Arial" w:cs="Arial" w:eastAsia="Arial" w:hAnsi="Arial"/>
                <w:b w:val="false"/>
                <w:bCs w:val="false"/>
                <w:i w:val="false"/>
                <w:iCs w:val="false"/>
                <w:color w:val="4A5568"/>
                <w:sz w:val="17"/>
                <w:szCs w:val="17"/>
              </w:rPr>
              <w:t xml:space="preserve">Units Sold</w:t>
            </w:r>
          </w:p>
        </w:tc>
        <w:tc>
          <w:tcPr>
            <w:tcW w:type="dxa" w:w="1872"/>
            <w:tcBorders>
              <w:top w:val="single" w:color="D0DAE8" w:sz="3"/>
              <w:left w:val="single" w:color="D0DAE8" w:sz="3"/>
              <w:bottom w:val="single" w:color="D0DAE8" w:sz="3"/>
              <w:right w:val="single" w:color="D0DAE8" w:sz="3"/>
            </w:tcBorders>
            <w:shd w:fill="F2F5F9" w:val="clear"/>
            <w:tcMar>
              <w:top w:type="dxa" w:w="100"/>
              <w:left w:type="dxa" w:w="60"/>
              <w:bottom w:type="dxa" w:w="100"/>
              <w:right w:type="dxa" w:w="60"/>
            </w:tcMar>
            <w:vAlign w:val="top"/>
          </w:tcPr>
          <w:p>
            <w:pPr>
              <w:spacing w:after="80" w:before="0"/>
              <w:jc w:val="center"/>
            </w:pPr>
            <w:r>
              <w:rPr>
                <w:rFonts w:ascii="Arial" w:cs="Arial" w:eastAsia="Arial" w:hAnsi="Arial"/>
                <w:b/>
                <w:bCs/>
                <w:i w:val="false"/>
                <w:iCs w:val="false"/>
                <w:color w:val="1B3A6B"/>
                <w:sz w:val="26"/>
                <w:szCs w:val="26"/>
              </w:rPr>
              <w:t xml:space="preserve">5,044</w:t>
            </w:r>
          </w:p>
          <w:p>
            <w:pPr>
              <w:spacing w:after="80" w:before="0"/>
              <w:jc w:val="center"/>
            </w:pPr>
            <w:r>
              <w:rPr>
                <w:rFonts w:ascii="Arial" w:cs="Arial" w:eastAsia="Arial" w:hAnsi="Arial"/>
                <w:b w:val="false"/>
                <w:bCs w:val="false"/>
                <w:i w:val="false"/>
                <w:iCs w:val="false"/>
                <w:color w:val="4A5568"/>
                <w:sz w:val="17"/>
                <w:szCs w:val="17"/>
              </w:rPr>
              <w:t xml:space="preserve">Customers</w:t>
            </w:r>
          </w:p>
        </w:tc>
      </w:tr>
    </w:tbl>
    <w:p>
      <w:pPr>
        <w:spacing w:after="80" w:before="0"/>
        <w:jc w:val="left"/>
      </w:pPr>
      <w:r>
        <w:rPr>
          <w:rFonts w:ascii="Arial" w:cs="Arial" w:eastAsia="Arial" w:hAnsi="Arial"/>
          <w:b w:val="false"/>
          <w:bCs w:val="false"/>
          <w:i w:val="false"/>
          <w:iCs w:val="false"/>
          <w:color w:val="111111"/>
          <w:sz w:val="6"/>
          <w:szCs w:val="6"/>
        </w:rPr>
        <w:t xml:space="preserve"/>
      </w:r>
    </w:p>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1  |  About the Organisation</w:t>
            </w:r>
          </w:p>
        </w:tc>
      </w:tr>
    </w:tbl>
    <w:p>
      <w:pPr>
        <w:spacing w:after="80" w:before="0"/>
        <w:jc w:val="left"/>
      </w:pPr>
      <w:r>
        <w:rPr>
          <w:rFonts w:ascii="Arial" w:cs="Arial" w:eastAsia="Arial" w:hAnsi="Arial"/>
          <w:b w:val="false"/>
          <w:bCs w:val="false"/>
          <w:i w:val="false"/>
          <w:iCs w:val="false"/>
          <w:color w:val="111111"/>
          <w:sz w:val="6"/>
          <w:szCs w:val="6"/>
        </w:rPr>
        <w:t xml:space="preserve"/>
      </w:r>
    </w:p>
    <w:p>
      <w:pPr>
        <w:spacing w:after="80" w:before="0"/>
        <w:jc w:val="left"/>
      </w:pPr>
      <w:r>
        <w:rPr>
          <w:rFonts w:ascii="Arial" w:cs="Arial" w:eastAsia="Arial" w:hAnsi="Arial"/>
          <w:b w:val="false"/>
          <w:bCs w:val="false"/>
          <w:i w:val="false"/>
          <w:iCs w:val="false"/>
          <w:color w:val="4A5568"/>
          <w:sz w:val="20"/>
          <w:szCs w:val="20"/>
        </w:rPr>
        <w:t xml:space="preserve">Nassau Candy Distributor is a U.S.-based specialty confectionery distributor operating across four national commercial regions — Pacific, Atlantic, Interior, and Gulf. Over the two-year fiscal period January 2024 to December 2025, the company served 5,044 unique business customers across 542 cities in 59 states and territories, processing 10,194 order transactions. The company distributes 15 product SKUs across three divisions: Chocolate (92.9% of revenue), Other novelty items (6.8%), and Sugar confections (0.3%).</w:t>
      </w:r>
    </w:p>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2  |  Economic Contribution</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560"/>
        <w:gridCol w:w="2640"/>
      </w:tblGrid>
      <w:tr>
        <w:tc>
          <w:tcPr>
            <w:tcW w:type="dxa" w:w="3600"/>
            <w:tcBorders>
              <w:top w:val="none" w:color="FFFFFF" w:sz="0"/>
              <w:left w:val="none" w:color="FFFFFF" w:sz="0"/>
              <w:bottom w:val="none" w:color="FFFFFF" w:sz="0"/>
              <w:right w:val="none" w:color="FFFFFF" w:sz="0"/>
            </w:tcBorders>
            <w:shd w:fill="1B3A6B" w:val="clear"/>
            <w:tcMar>
              <w:top w:type="dxa" w:w="60"/>
              <w:left w:type="dxa" w:w="140"/>
              <w:bottom w:type="dxa" w:w="60"/>
              <w:right w:type="dxa" w:w="60"/>
            </w:tcMar>
            <w:vAlign w:val="top"/>
          </w:tcPr>
          <w:p>
            <w:pPr>
              <w:spacing w:after="80" w:before="0"/>
              <w:jc w:val="left"/>
            </w:pPr>
            <w:r>
              <w:rPr>
                <w:rFonts w:ascii="Arial" w:cs="Arial" w:eastAsia="Arial" w:hAnsi="Arial"/>
                <w:b/>
                <w:bCs/>
                <w:i w:val="false"/>
                <w:iCs w:val="false"/>
                <w:color w:val="FFFFFF"/>
                <w:sz w:val="19"/>
                <w:szCs w:val="19"/>
              </w:rPr>
              <w:t xml:space="preserve">Metric</w:t>
            </w:r>
          </w:p>
        </w:tc>
        <w:tc>
          <w:tcPr>
            <w:tcW w:type="dxa" w:w="1560"/>
            <w:tcBorders>
              <w:top w:val="none" w:color="FFFFFF" w:sz="0"/>
              <w:left w:val="none" w:color="FFFFFF" w:sz="0"/>
              <w:bottom w:val="none" w:color="FFFFFF" w:sz="0"/>
              <w:right w:val="none" w:color="FFFFFF" w:sz="0"/>
            </w:tcBorders>
            <w:shd w:fill="1B3A6B" w:val="clear"/>
            <w:tcMar>
              <w:top w:type="dxa" w:w="60"/>
              <w:left w:type="dxa" w:w="60"/>
              <w:bottom w:type="dxa" w:w="60"/>
              <w:right w:type="dxa" w:w="60"/>
            </w:tcMar>
            <w:vAlign w:val="top"/>
          </w:tcPr>
          <w:p>
            <w:pPr>
              <w:spacing w:after="80" w:before="0"/>
              <w:jc w:val="center"/>
            </w:pPr>
            <w:r>
              <w:rPr>
                <w:rFonts w:ascii="Arial" w:cs="Arial" w:eastAsia="Arial" w:hAnsi="Arial"/>
                <w:b/>
                <w:bCs/>
                <w:i w:val="false"/>
                <w:iCs w:val="false"/>
                <w:color w:val="FFFFFF"/>
                <w:sz w:val="19"/>
                <w:szCs w:val="19"/>
              </w:rPr>
              <w:t xml:space="preserve">2024</w:t>
            </w:r>
          </w:p>
        </w:tc>
        <w:tc>
          <w:tcPr>
            <w:tcW w:type="dxa" w:w="1560"/>
            <w:tcBorders>
              <w:top w:val="none" w:color="FFFFFF" w:sz="0"/>
              <w:left w:val="none" w:color="FFFFFF" w:sz="0"/>
              <w:bottom w:val="none" w:color="FFFFFF" w:sz="0"/>
              <w:right w:val="none" w:color="FFFFFF" w:sz="0"/>
            </w:tcBorders>
            <w:shd w:fill="1B3A6B" w:val="clear"/>
            <w:tcMar>
              <w:top w:type="dxa" w:w="60"/>
              <w:left w:type="dxa" w:w="60"/>
              <w:bottom w:type="dxa" w:w="60"/>
              <w:right w:type="dxa" w:w="60"/>
            </w:tcMar>
            <w:vAlign w:val="top"/>
          </w:tcPr>
          <w:p>
            <w:pPr>
              <w:spacing w:after="80" w:before="0"/>
              <w:jc w:val="center"/>
            </w:pPr>
            <w:r>
              <w:rPr>
                <w:rFonts w:ascii="Arial" w:cs="Arial" w:eastAsia="Arial" w:hAnsi="Arial"/>
                <w:b/>
                <w:bCs/>
                <w:i w:val="false"/>
                <w:iCs w:val="false"/>
                <w:color w:val="FFFFFF"/>
                <w:sz w:val="19"/>
                <w:szCs w:val="19"/>
              </w:rPr>
              <w:t xml:space="preserve">2025</w:t>
            </w:r>
          </w:p>
        </w:tc>
        <w:tc>
          <w:tcPr>
            <w:tcW w:type="dxa" w:w="2640"/>
            <w:tcBorders>
              <w:top w:val="none" w:color="FFFFFF" w:sz="0"/>
              <w:left w:val="none" w:color="FFFFFF" w:sz="0"/>
              <w:bottom w:val="none" w:color="FFFFFF" w:sz="0"/>
              <w:right w:val="none" w:color="FFFFFF" w:sz="0"/>
            </w:tcBorders>
            <w:shd w:fill="1B3A6B" w:val="clear"/>
            <w:tcMar>
              <w:top w:type="dxa" w:w="60"/>
              <w:left w:type="dxa" w:w="60"/>
              <w:bottom w:type="dxa" w:w="60"/>
              <w:right w:type="dxa" w:w="140"/>
            </w:tcMar>
            <w:vAlign w:val="top"/>
          </w:tcPr>
          <w:p>
            <w:pPr>
              <w:spacing w:after="80" w:before="0"/>
              <w:jc w:val="center"/>
            </w:pPr>
            <w:r>
              <w:rPr>
                <w:rFonts w:ascii="Arial" w:cs="Arial" w:eastAsia="Arial" w:hAnsi="Arial"/>
                <w:b/>
                <w:bCs/>
                <w:i w:val="false"/>
                <w:iCs w:val="false"/>
                <w:color w:val="FFFFFF"/>
                <w:sz w:val="19"/>
                <w:szCs w:val="19"/>
              </w:rPr>
              <w:t xml:space="preserve">2-Year Total</w:t>
            </w:r>
          </w:p>
        </w:tc>
      </w:tr>
      <w:tr>
        <w:tc>
          <w:tcPr>
            <w:tcW w:type="dxa" w:w="3600"/>
            <w:tcBorders>
              <w:top w:val="single" w:color="DDDDDD" w:sz="2"/>
              <w:left w:val="single" w:color="DDDDDD" w:sz="2"/>
              <w:bottom w:val="single" w:color="DDDDDD" w:sz="2"/>
              <w:right w:val="single" w:color="DDDDDD" w:sz="2"/>
            </w:tcBorders>
            <w:shd w:fill="FFFFFF" w:val="clear"/>
            <w:tcMar>
              <w:top w:type="dxa" w:w="55"/>
              <w:left w:type="dxa" w:w="14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Gross Revenue</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$57,956</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$83,827</w:t>
            </w:r>
          </w:p>
        </w:tc>
        <w:tc>
          <w:tcPr>
            <w:tcW w:type="dxa" w:w="26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140"/>
            </w:tcMar>
            <w:vAlign w:val="top"/>
          </w:tcPr>
          <w:p>
            <w:pPr>
              <w:spacing w:after="80" w:before="0"/>
              <w:jc w:val="center"/>
            </w:pPr>
            <w:r>
              <w:rPr>
                <w:rFonts w:ascii="Arial" w:cs="Arial" w:eastAsia="Arial" w:hAnsi="Arial"/>
                <w:b w:val="false"/>
                <w:bCs w:val="false"/>
                <w:i w:val="false"/>
                <w:iCs w:val="false"/>
                <w:color w:val="1B3A6B"/>
                <w:sz w:val="19"/>
                <w:szCs w:val="19"/>
              </w:rPr>
              <w:t xml:space="preserve">$141,784</w:t>
            </w:r>
          </w:p>
        </w:tc>
      </w:tr>
      <w:tr>
        <w:tc>
          <w:tcPr>
            <w:tcW w:type="dxa" w:w="3600"/>
            <w:tcBorders>
              <w:top w:val="single" w:color="DDDDDD" w:sz="2"/>
              <w:left w:val="single" w:color="DDDDDD" w:sz="2"/>
              <w:bottom w:val="single" w:color="DDDDDD" w:sz="2"/>
              <w:right w:val="single" w:color="DDDDDD" w:sz="2"/>
            </w:tcBorders>
            <w:shd w:fill="F2F5F9" w:val="clear"/>
            <w:tcMar>
              <w:top w:type="dxa" w:w="55"/>
              <w:left w:type="dxa" w:w="140"/>
              <w:bottom w:type="dxa" w:w="55"/>
              <w:right w:type="dxa" w:w="60"/>
            </w:tcMar>
            <w:vAlign w:val="top"/>
          </w:tcPr>
          <w:p>
            <w:pPr>
              <w:spacing w:after="80" w:before="0"/>
              <w:jc w:val="left"/>
            </w:pPr>
            <w:r>
              <w:rPr>
                <w:rFonts w:ascii="Arial" w:cs="Arial" w:eastAsia="Arial" w:hAnsi="Arial"/>
                <w:b/>
                <w:bCs/>
                <w:i w:val="false"/>
                <w:iCs w:val="false"/>
                <w:color w:val="4A5568"/>
                <w:sz w:val="19"/>
                <w:szCs w:val="19"/>
              </w:rPr>
              <w:t xml:space="preserve">Gross Profit</w:t>
            </w:r>
          </w:p>
        </w:tc>
        <w:tc>
          <w:tcPr>
            <w:tcW w:type="dxa" w:w="156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1B3A6B"/>
                <w:sz w:val="19"/>
                <w:szCs w:val="19"/>
              </w:rPr>
              <w:t xml:space="preserve">$38,151</w:t>
            </w:r>
          </w:p>
        </w:tc>
        <w:tc>
          <w:tcPr>
            <w:tcW w:type="dxa" w:w="156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1E7145"/>
                <w:sz w:val="19"/>
                <w:szCs w:val="19"/>
              </w:rPr>
              <w:t xml:space="preserve">$55,291</w:t>
            </w:r>
          </w:p>
        </w:tc>
        <w:tc>
          <w:tcPr>
            <w:tcW w:type="dxa" w:w="2640"/>
            <w:tcBorders>
              <w:top w:val="single" w:color="DDDDDD" w:sz="2"/>
              <w:left w:val="single" w:color="DDDDDD" w:sz="2"/>
              <w:bottom w:val="single" w:color="DDDDDD" w:sz="2"/>
              <w:right w:val="single" w:color="DDDDDD" w:sz="2"/>
            </w:tcBorders>
            <w:shd w:fill="F2F5F9" w:val="clear"/>
            <w:tcMar>
              <w:top w:type="dxa" w:w="55"/>
              <w:left w:type="dxa" w:w="60"/>
              <w:bottom w:type="dxa" w:w="55"/>
              <w:right w:type="dxa" w:w="140"/>
            </w:tcMar>
            <w:vAlign w:val="top"/>
          </w:tcPr>
          <w:p>
            <w:pPr>
              <w:spacing w:after="80" w:before="0"/>
              <w:jc w:val="center"/>
            </w:pPr>
            <w:r>
              <w:rPr>
                <w:rFonts w:ascii="Arial" w:cs="Arial" w:eastAsia="Arial" w:hAnsi="Arial"/>
                <w:b/>
                <w:bCs/>
                <w:i w:val="false"/>
                <w:iCs w:val="false"/>
                <w:color w:val="1E7145"/>
                <w:sz w:val="19"/>
                <w:szCs w:val="19"/>
              </w:rPr>
              <w:t xml:space="preserve">$93,442</w:t>
            </w:r>
          </w:p>
        </w:tc>
      </w:tr>
      <w:tr>
        <w:tc>
          <w:tcPr>
            <w:tcW w:type="dxa" w:w="3600"/>
            <w:tcBorders>
              <w:top w:val="single" w:color="DDDDDD" w:sz="2"/>
              <w:left w:val="single" w:color="DDDDDD" w:sz="2"/>
              <w:bottom w:val="single" w:color="DDDDDD" w:sz="2"/>
              <w:right w:val="single" w:color="DDDDDD" w:sz="2"/>
            </w:tcBorders>
            <w:shd w:fill="FFFFFF" w:val="clear"/>
            <w:tcMar>
              <w:top w:type="dxa" w:w="55"/>
              <w:left w:type="dxa" w:w="14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Supply Chain Cost</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$19,805</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$28,536</w:t>
            </w:r>
          </w:p>
        </w:tc>
        <w:tc>
          <w:tcPr>
            <w:tcW w:type="dxa" w:w="26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140"/>
            </w:tcMar>
            <w:vAlign w:val="top"/>
          </w:tcPr>
          <w:p>
            <w:pPr>
              <w:spacing w:after="80" w:before="0"/>
              <w:jc w:val="center"/>
            </w:pPr>
            <w:r>
              <w:rPr>
                <w:rFonts w:ascii="Arial" w:cs="Arial" w:eastAsia="Arial" w:hAnsi="Arial"/>
                <w:b w:val="false"/>
                <w:bCs w:val="false"/>
                <w:i w:val="false"/>
                <w:iCs w:val="false"/>
                <w:color w:val="1B3A6B"/>
                <w:sz w:val="19"/>
                <w:szCs w:val="19"/>
              </w:rPr>
              <w:t xml:space="preserve">$48,341</w:t>
            </w:r>
          </w:p>
        </w:tc>
      </w:tr>
      <w:tr>
        <w:tc>
          <w:tcPr>
            <w:tcW w:type="dxa" w:w="3600"/>
            <w:tcBorders>
              <w:top w:val="single" w:color="DDDDDD" w:sz="2"/>
              <w:left w:val="single" w:color="DDDDDD" w:sz="2"/>
              <w:bottom w:val="single" w:color="DDDDDD" w:sz="2"/>
              <w:right w:val="single" w:color="DDDDDD" w:sz="2"/>
            </w:tcBorders>
            <w:shd w:fill="F2F5F9" w:val="clear"/>
            <w:tcMar>
              <w:top w:type="dxa" w:w="55"/>
              <w:left w:type="dxa" w:w="14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Gross Margin</w:t>
            </w:r>
          </w:p>
        </w:tc>
        <w:tc>
          <w:tcPr>
            <w:tcW w:type="dxa" w:w="156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65.8%</w:t>
            </w:r>
          </w:p>
        </w:tc>
        <w:tc>
          <w:tcPr>
            <w:tcW w:type="dxa" w:w="156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66.0%</w:t>
            </w:r>
          </w:p>
        </w:tc>
        <w:tc>
          <w:tcPr>
            <w:tcW w:type="dxa" w:w="2640"/>
            <w:tcBorders>
              <w:top w:val="single" w:color="DDDDDD" w:sz="2"/>
              <w:left w:val="single" w:color="DDDDDD" w:sz="2"/>
              <w:bottom w:val="single" w:color="DDDDDD" w:sz="2"/>
              <w:right w:val="single" w:color="DDDDDD" w:sz="2"/>
            </w:tcBorders>
            <w:shd w:fill="F2F5F9" w:val="clear"/>
            <w:tcMar>
              <w:top w:type="dxa" w:w="55"/>
              <w:left w:type="dxa" w:w="60"/>
              <w:bottom w:type="dxa" w:w="55"/>
              <w:right w:type="dxa" w:w="140"/>
            </w:tcMar>
            <w:vAlign w:val="top"/>
          </w:tcPr>
          <w:p>
            <w:pPr>
              <w:spacing w:after="80" w:before="0"/>
              <w:jc w:val="center"/>
            </w:pPr>
            <w:r>
              <w:rPr>
                <w:rFonts w:ascii="Arial" w:cs="Arial" w:eastAsia="Arial" w:hAnsi="Arial"/>
                <w:b w:val="false"/>
                <w:bCs w:val="false"/>
                <w:i w:val="false"/>
                <w:iCs w:val="false"/>
                <w:color w:val="1B3A6B"/>
                <w:sz w:val="19"/>
                <w:szCs w:val="19"/>
              </w:rPr>
              <w:t xml:space="preserve">65.9%</w:t>
            </w:r>
          </w:p>
        </w:tc>
      </w:tr>
      <w:tr>
        <w:tc>
          <w:tcPr>
            <w:tcW w:type="dxa" w:w="3600"/>
            <w:tcBorders>
              <w:top w:val="single" w:color="DDDDDD" w:sz="2"/>
              <w:left w:val="single" w:color="DDDDDD" w:sz="2"/>
              <w:bottom w:val="single" w:color="DDDDDD" w:sz="2"/>
              <w:right w:val="single" w:color="DDDDDD" w:sz="2"/>
            </w:tcBorders>
            <w:shd w:fill="FFFFFF" w:val="clear"/>
            <w:tcMar>
              <w:top w:type="dxa" w:w="55"/>
              <w:left w:type="dxa" w:w="14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Units Distributed</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15,899</w:t>
            </w:r>
          </w:p>
        </w:tc>
        <w:tc>
          <w:tcPr>
            <w:tcW w:type="dxa" w:w="156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1B3A6B"/>
                <w:sz w:val="19"/>
                <w:szCs w:val="19"/>
              </w:rPr>
              <w:t xml:space="preserve">22,755</w:t>
            </w:r>
          </w:p>
        </w:tc>
        <w:tc>
          <w:tcPr>
            <w:tcW w:type="dxa" w:w="26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140"/>
            </w:tcMar>
            <w:vAlign w:val="top"/>
          </w:tcPr>
          <w:p>
            <w:pPr>
              <w:spacing w:after="80" w:before="0"/>
              <w:jc w:val="center"/>
            </w:pPr>
            <w:r>
              <w:rPr>
                <w:rFonts w:ascii="Arial" w:cs="Arial" w:eastAsia="Arial" w:hAnsi="Arial"/>
                <w:b w:val="false"/>
                <w:bCs w:val="false"/>
                <w:i w:val="false"/>
                <w:iCs w:val="false"/>
                <w:color w:val="1B3A6B"/>
                <w:sz w:val="19"/>
                <w:szCs w:val="19"/>
              </w:rPr>
              <w:t xml:space="preserve">38,654</w:t>
            </w:r>
          </w:p>
        </w:tc>
      </w:tr>
    </w:tbl>
    <w:p>
      <w:pPr>
        <w:spacing w:after="80" w:before="0"/>
        <w:jc w:val="left"/>
      </w:pPr>
      <w:r>
        <w:rPr>
          <w:rFonts w:ascii="Arial" w:cs="Arial" w:eastAsia="Arial" w:hAnsi="Arial"/>
          <w:b w:val="false"/>
          <w:bCs w:val="false"/>
          <w:i w:val="false"/>
          <w:iCs w:val="false"/>
          <w:color w:val="111111"/>
          <w:sz w:val="6"/>
          <w:szCs w:val="6"/>
        </w:rPr>
        <w:t xml:space="preserve"/>
      </w:r>
    </w:p>
    <w:p>
      <w:pPr>
        <w:spacing w:after="80" w:before="0"/>
        <w:jc w:val="left"/>
      </w:pPr>
      <w:r>
        <w:rPr>
          <w:rFonts w:ascii="Arial" w:cs="Arial" w:eastAsia="Arial" w:hAnsi="Arial"/>
          <w:b w:val="false"/>
          <w:bCs w:val="false"/>
          <w:i w:val="false"/>
          <w:iCs w:val="false"/>
          <w:color w:val="4A5568"/>
          <w:sz w:val="20"/>
          <w:szCs w:val="20"/>
        </w:rPr>
        <w:t xml:space="preserve">Revenue growth of 44.6% in fiscal 2025 was achieved while maintaining a stable gross margin of 65.9%, confirming that growth was volume-driven rather than the result of price reductions or cost deterioration — a positive indicator of sustainable commercial health.</w:t>
      </w:r>
    </w:p>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3  |  Geographic Footprint</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one" w:color="FFFFFF" w:sz="0"/>
              <w:left w:val="none" w:color="FFFFFF" w:sz="0"/>
              <w:bottom w:val="none" w:color="FFFFFF" w:sz="0"/>
              <w:right w:val="none" w:color="FFFFFF" w:sz="0"/>
            </w:tcBorders>
            <w:shd w:fill="FFFFFF" w:val="clear"/>
            <w:tcMar>
              <w:top w:type="dxa" w:w="0"/>
              <w:left w:type="dxa" w:w="0"/>
              <w:bottom w:type="dxa" w:w="0"/>
              <w:right w:type="dxa" w:w="120"/>
            </w:tcMar>
            <w:vAlign w:val="top"/>
          </w:tcPr>
          <w:p>
            <w:pPr>
              <w:spacing w:after="100" w:before="0"/>
              <w:jc w:val="left"/>
            </w:pPr>
            <w:r>
              <w:rPr>
                <w:rFonts w:ascii="Arial" w:cs="Arial" w:eastAsia="Arial" w:hAnsi="Arial"/>
                <w:b/>
                <w:bCs/>
                <w:i w:val="false"/>
                <w:iCs w:val="false"/>
                <w:color w:val="1B3A6B"/>
                <w:sz w:val="20"/>
                <w:szCs w:val="20"/>
              </w:rPr>
              <w:t xml:space="preserve">Revenue by Region</w:t>
            </w:r>
          </w:p>
          <w:tbl>
            <w:tblPr>
              <w:tblW w:type="dxa" w:w="31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700"/>
            </w:tblGrid>
            <w:tr>
              <w:tc>
                <w:tcPr>
                  <w:tcW w:type="dxa" w:w="1400"/>
                  <w:tcBorders>
                    <w:top w:val="none" w:color="FFFFFF" w:sz="0"/>
                    <w:left w:val="none" w:color="FFFFFF" w:sz="0"/>
                    <w:bottom w:val="none" w:color="FFFFFF" w:sz="0"/>
                    <w:right w:val="none" w:color="FFFFFF" w:sz="0"/>
                  </w:tcBorders>
                  <w:shd w:fill="1B3A6B" w:val="clear"/>
                  <w:tcMar>
                    <w:top w:type="dxa" w:w="50"/>
                    <w:left w:type="dxa" w:w="80"/>
                    <w:bottom w:type="dxa" w:w="50"/>
                    <w:right w:type="dxa" w:w="40"/>
                  </w:tcMar>
                  <w:vAlign w:val="top"/>
                </w:tcPr>
                <w:p>
                  <w:pPr>
                    <w:spacing w:after="80" w:before="0"/>
                    <w:jc w:val="left"/>
                  </w:pPr>
                  <w:r>
                    <w:rPr>
                      <w:rFonts w:ascii="Arial" w:cs="Arial" w:eastAsia="Arial" w:hAnsi="Arial"/>
                      <w:b/>
                      <w:bCs/>
                      <w:i w:val="false"/>
                      <w:iCs w:val="false"/>
                      <w:color w:val="FFFFFF"/>
                      <w:sz w:val="18"/>
                      <w:szCs w:val="18"/>
                    </w:rPr>
                    <w:t xml:space="preserve">Region</w:t>
                  </w:r>
                </w:p>
              </w:tc>
              <w:tc>
                <w:tcPr>
                  <w:tcW w:type="dxa" w:w="1000"/>
                  <w:tcBorders>
                    <w:top w:val="none" w:color="FFFFFF" w:sz="0"/>
                    <w:left w:val="none" w:color="FFFFFF" w:sz="0"/>
                    <w:bottom w:val="none" w:color="FFFFFF" w:sz="0"/>
                    <w:right w:val="none" w:color="FFFFFF" w:sz="0"/>
                  </w:tcBorders>
                  <w:shd w:fill="1B3A6B" w:val="clear"/>
                  <w:tcMar>
                    <w:top w:type="dxa" w:w="50"/>
                    <w:left w:type="dxa" w:w="40"/>
                    <w:bottom w:type="dxa" w:w="50"/>
                    <w:right w:type="dxa" w:w="40"/>
                  </w:tcMar>
                  <w:vAlign w:val="top"/>
                </w:tcPr>
                <w:p>
                  <w:pPr>
                    <w:spacing w:after="80" w:before="0"/>
                    <w:jc w:val="center"/>
                  </w:pPr>
                  <w:r>
                    <w:rPr>
                      <w:rFonts w:ascii="Arial" w:cs="Arial" w:eastAsia="Arial" w:hAnsi="Arial"/>
                      <w:b/>
                      <w:bCs/>
                      <w:i w:val="false"/>
                      <w:iCs w:val="false"/>
                      <w:color w:val="FFFFFF"/>
                      <w:sz w:val="18"/>
                      <w:szCs w:val="18"/>
                    </w:rPr>
                    <w:t xml:space="preserve">Revenue</w:t>
                  </w:r>
                </w:p>
              </w:tc>
              <w:tc>
                <w:tcPr>
                  <w:tcW w:type="dxa" w:w="700"/>
                  <w:tcBorders>
                    <w:top w:val="none" w:color="FFFFFF" w:sz="0"/>
                    <w:left w:val="none" w:color="FFFFFF" w:sz="0"/>
                    <w:bottom w:val="none" w:color="FFFFFF" w:sz="0"/>
                    <w:right w:val="none" w:color="FFFFFF" w:sz="0"/>
                  </w:tcBorders>
                  <w:shd w:fill="1B3A6B" w:val="clear"/>
                  <w:tcMar>
                    <w:top w:type="dxa" w:w="50"/>
                    <w:left w:type="dxa" w:w="40"/>
                    <w:bottom w:type="dxa" w:w="50"/>
                    <w:right w:type="dxa" w:w="60"/>
                  </w:tcMar>
                  <w:vAlign w:val="top"/>
                </w:tcPr>
                <w:p>
                  <w:pPr>
                    <w:spacing w:after="80" w:before="0"/>
                    <w:jc w:val="center"/>
                  </w:pPr>
                  <w:r>
                    <w:rPr>
                      <w:rFonts w:ascii="Arial" w:cs="Arial" w:eastAsia="Arial" w:hAnsi="Arial"/>
                      <w:b/>
                      <w:bCs/>
                      <w:i w:val="false"/>
                      <w:iCs w:val="false"/>
                      <w:color w:val="FFFFFF"/>
                      <w:sz w:val="18"/>
                      <w:szCs w:val="18"/>
                    </w:rPr>
                    <w:t xml:space="preserve">Share</w:t>
                  </w:r>
                </w:p>
              </w:tc>
            </w:tr>
            <w:tr>
              <w:tc>
                <w:tcPr>
                  <w:tcW w:type="dxa" w:w="1400"/>
                  <w:tcBorders>
                    <w:top w:val="single" w:color="DDDDDD" w:sz="2"/>
                    <w:left w:val="single" w:color="DDDDDD" w:sz="2"/>
                    <w:bottom w:val="single" w:color="DDDDDD" w:sz="2"/>
                    <w:right w:val="single" w:color="DDDDDD" w:sz="2"/>
                  </w:tcBorders>
                  <w:shd w:fill="FFFFFF"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Pacific</w:t>
                  </w:r>
                </w:p>
              </w:tc>
              <w:tc>
                <w:tcPr>
                  <w:tcW w:type="dxa" w:w="10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$46,302</w:t>
                  </w:r>
                </w:p>
              </w:tc>
              <w:tc>
                <w:tcPr>
                  <w:tcW w:type="dxa" w:w="7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32.7%</w:t>
                  </w:r>
                </w:p>
              </w:tc>
            </w:tr>
            <w:tr>
              <w:tc>
                <w:tcPr>
                  <w:tcW w:type="dxa" w:w="1400"/>
                  <w:tcBorders>
                    <w:top w:val="single" w:color="DDDDDD" w:sz="2"/>
                    <w:left w:val="single" w:color="DDDDDD" w:sz="2"/>
                    <w:bottom w:val="single" w:color="DDDDDD" w:sz="2"/>
                    <w:right w:val="single" w:color="DDDDDD" w:sz="2"/>
                  </w:tcBorders>
                  <w:shd w:fill="F2F5F9"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Atlantic</w:t>
                  </w:r>
                </w:p>
              </w:tc>
              <w:tc>
                <w:tcPr>
                  <w:tcW w:type="dxa" w:w="10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$41,197</w:t>
                  </w:r>
                </w:p>
              </w:tc>
              <w:tc>
                <w:tcPr>
                  <w:tcW w:type="dxa" w:w="7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29.1%</w:t>
                  </w:r>
                </w:p>
              </w:tc>
            </w:tr>
            <w:tr>
              <w:tc>
                <w:tcPr>
                  <w:tcW w:type="dxa" w:w="1400"/>
                  <w:tcBorders>
                    <w:top w:val="single" w:color="DDDDDD" w:sz="2"/>
                    <w:left w:val="single" w:color="DDDDDD" w:sz="2"/>
                    <w:bottom w:val="single" w:color="DDDDDD" w:sz="2"/>
                    <w:right w:val="single" w:color="DDDDDD" w:sz="2"/>
                  </w:tcBorders>
                  <w:shd w:fill="FFFFFF"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Interior</w:t>
                  </w:r>
                </w:p>
              </w:tc>
              <w:tc>
                <w:tcPr>
                  <w:tcW w:type="dxa" w:w="10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$32,038</w:t>
                  </w:r>
                </w:p>
              </w:tc>
              <w:tc>
                <w:tcPr>
                  <w:tcW w:type="dxa" w:w="7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22.6%</w:t>
                  </w:r>
                </w:p>
              </w:tc>
            </w:tr>
            <w:tr>
              <w:tc>
                <w:tcPr>
                  <w:tcW w:type="dxa" w:w="1400"/>
                  <w:tcBorders>
                    <w:top w:val="single" w:color="DDDDDD" w:sz="2"/>
                    <w:left w:val="single" w:color="DDDDDD" w:sz="2"/>
                    <w:bottom w:val="single" w:color="DDDDDD" w:sz="2"/>
                    <w:right w:val="single" w:color="DDDDDD" w:sz="2"/>
                  </w:tcBorders>
                  <w:shd w:fill="F2F5F9"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Gulf</w:t>
                  </w:r>
                </w:p>
              </w:tc>
              <w:tc>
                <w:tcPr>
                  <w:tcW w:type="dxa" w:w="10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$22,247</w:t>
                  </w:r>
                </w:p>
              </w:tc>
              <w:tc>
                <w:tcPr>
                  <w:tcW w:type="dxa" w:w="7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15.7%</w:t>
                  </w:r>
                </w:p>
              </w:tc>
            </w:tr>
          </w:tbl>
          <w:p/>
        </w:tc>
        <w:tc>
          <w:tcPr>
            <w:tcW w:type="dxa" w:w="596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pPr>
              <w:spacing w:after="100" w:before="0"/>
              <w:jc w:val="left"/>
            </w:pPr>
            <w:r>
              <w:rPr>
                <w:rFonts w:ascii="Arial" w:cs="Arial" w:eastAsia="Arial" w:hAnsi="Arial"/>
                <w:b/>
                <w:bCs/>
                <w:i w:val="false"/>
                <w:iCs w:val="false"/>
                <w:color w:val="1B3A6B"/>
                <w:sz w:val="20"/>
                <w:szCs w:val="20"/>
              </w:rPr>
              <w:t xml:space="preserve">Top 5 States by Revenue</w:t>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700"/>
            </w:tblGrid>
            <w:tr>
              <w:tc>
                <w:tcPr>
                  <w:tcW w:type="dxa" w:w="1800"/>
                  <w:tcBorders>
                    <w:top w:val="none" w:color="FFFFFF" w:sz="0"/>
                    <w:left w:val="none" w:color="FFFFFF" w:sz="0"/>
                    <w:bottom w:val="none" w:color="FFFFFF" w:sz="0"/>
                    <w:right w:val="none" w:color="FFFFFF" w:sz="0"/>
                  </w:tcBorders>
                  <w:shd w:fill="1B3A6B" w:val="clear"/>
                  <w:tcMar>
                    <w:top w:type="dxa" w:w="50"/>
                    <w:left w:type="dxa" w:w="80"/>
                    <w:bottom w:type="dxa" w:w="50"/>
                    <w:right w:type="dxa" w:w="40"/>
                  </w:tcMar>
                  <w:vAlign w:val="top"/>
                </w:tcPr>
                <w:p>
                  <w:pPr>
                    <w:spacing w:after="80" w:before="0"/>
                    <w:jc w:val="left"/>
                  </w:pPr>
                  <w:r>
                    <w:rPr>
                      <w:rFonts w:ascii="Arial" w:cs="Arial" w:eastAsia="Arial" w:hAnsi="Arial"/>
                      <w:b/>
                      <w:bCs/>
                      <w:i w:val="false"/>
                      <w:iCs w:val="false"/>
                      <w:color w:val="FFFFFF"/>
                      <w:sz w:val="18"/>
                      <w:szCs w:val="18"/>
                    </w:rPr>
                    <w:t xml:space="preserve">State</w:t>
                  </w:r>
                </w:p>
              </w:tc>
              <w:tc>
                <w:tcPr>
                  <w:tcW w:type="dxa" w:w="1100"/>
                  <w:tcBorders>
                    <w:top w:val="none" w:color="FFFFFF" w:sz="0"/>
                    <w:left w:val="none" w:color="FFFFFF" w:sz="0"/>
                    <w:bottom w:val="none" w:color="FFFFFF" w:sz="0"/>
                    <w:right w:val="none" w:color="FFFFFF" w:sz="0"/>
                  </w:tcBorders>
                  <w:shd w:fill="1B3A6B" w:val="clear"/>
                  <w:tcMar>
                    <w:top w:type="dxa" w:w="50"/>
                    <w:left w:type="dxa" w:w="40"/>
                    <w:bottom w:type="dxa" w:w="50"/>
                    <w:right w:type="dxa" w:w="40"/>
                  </w:tcMar>
                  <w:vAlign w:val="top"/>
                </w:tcPr>
                <w:p>
                  <w:pPr>
                    <w:spacing w:after="80" w:before="0"/>
                    <w:jc w:val="center"/>
                  </w:pPr>
                  <w:r>
                    <w:rPr>
                      <w:rFonts w:ascii="Arial" w:cs="Arial" w:eastAsia="Arial" w:hAnsi="Arial"/>
                      <w:b/>
                      <w:bCs/>
                      <w:i w:val="false"/>
                      <w:iCs w:val="false"/>
                      <w:color w:val="FFFFFF"/>
                      <w:sz w:val="18"/>
                      <w:szCs w:val="18"/>
                    </w:rPr>
                    <w:t xml:space="preserve">Revenue</w:t>
                  </w:r>
                </w:p>
              </w:tc>
              <w:tc>
                <w:tcPr>
                  <w:tcW w:type="dxa" w:w="700"/>
                  <w:tcBorders>
                    <w:top w:val="none" w:color="FFFFFF" w:sz="0"/>
                    <w:left w:val="none" w:color="FFFFFF" w:sz="0"/>
                    <w:bottom w:val="none" w:color="FFFFFF" w:sz="0"/>
                    <w:right w:val="none" w:color="FFFFFF" w:sz="0"/>
                  </w:tcBorders>
                  <w:shd w:fill="1B3A6B" w:val="clear"/>
                  <w:tcMar>
                    <w:top w:type="dxa" w:w="50"/>
                    <w:left w:type="dxa" w:w="40"/>
                    <w:bottom w:type="dxa" w:w="50"/>
                    <w:right w:type="dxa" w:w="60"/>
                  </w:tcMar>
                  <w:vAlign w:val="top"/>
                </w:tcPr>
                <w:p>
                  <w:pPr>
                    <w:spacing w:after="80" w:before="0"/>
                    <w:jc w:val="center"/>
                  </w:pPr>
                  <w:r>
                    <w:rPr>
                      <w:rFonts w:ascii="Arial" w:cs="Arial" w:eastAsia="Arial" w:hAnsi="Arial"/>
                      <w:b/>
                      <w:bCs/>
                      <w:i w:val="false"/>
                      <w:iCs w:val="false"/>
                      <w:color w:val="FFFFFF"/>
                      <w:sz w:val="18"/>
                      <w:szCs w:val="18"/>
                    </w:rPr>
                    <w:t xml:space="preserve">Share</w:t>
                  </w:r>
                </w:p>
              </w:tc>
            </w:tr>
            <w:tr>
              <w:tc>
                <w:tcPr>
                  <w:tcW w:type="dxa" w:w="1800"/>
                  <w:tcBorders>
                    <w:top w:val="single" w:color="DDDDDD" w:sz="2"/>
                    <w:left w:val="single" w:color="DDDDDD" w:sz="2"/>
                    <w:bottom w:val="single" w:color="DDDDDD" w:sz="2"/>
                    <w:right w:val="single" w:color="DDDDDD" w:sz="2"/>
                  </w:tcBorders>
                  <w:shd w:fill="FFFFFF"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California</w:t>
                  </w:r>
                </w:p>
              </w:tc>
              <w:tc>
                <w:tcPr>
                  <w:tcW w:type="dxa" w:w="11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$27,917</w:t>
                  </w:r>
                </w:p>
              </w:tc>
              <w:tc>
                <w:tcPr>
                  <w:tcW w:type="dxa" w:w="7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19.7%</w:t>
                  </w:r>
                </w:p>
              </w:tc>
            </w:tr>
            <w:tr>
              <w:tc>
                <w:tcPr>
                  <w:tcW w:type="dxa" w:w="1800"/>
                  <w:tcBorders>
                    <w:top w:val="single" w:color="DDDDDD" w:sz="2"/>
                    <w:left w:val="single" w:color="DDDDDD" w:sz="2"/>
                    <w:bottom w:val="single" w:color="DDDDDD" w:sz="2"/>
                    <w:right w:val="single" w:color="DDDDDD" w:sz="2"/>
                  </w:tcBorders>
                  <w:shd w:fill="F2F5F9"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New York</w:t>
                  </w:r>
                </w:p>
              </w:tc>
              <w:tc>
                <w:tcPr>
                  <w:tcW w:type="dxa" w:w="11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$15,541</w:t>
                  </w:r>
                </w:p>
              </w:tc>
              <w:tc>
                <w:tcPr>
                  <w:tcW w:type="dxa" w:w="7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11.0%</w:t>
                  </w:r>
                </w:p>
              </w:tc>
            </w:tr>
            <w:tr>
              <w:tc>
                <w:tcPr>
                  <w:tcW w:type="dxa" w:w="1800"/>
                  <w:tcBorders>
                    <w:top w:val="single" w:color="DDDDDD" w:sz="2"/>
                    <w:left w:val="single" w:color="DDDDDD" w:sz="2"/>
                    <w:bottom w:val="single" w:color="DDDDDD" w:sz="2"/>
                    <w:right w:val="single" w:color="DDDDDD" w:sz="2"/>
                  </w:tcBorders>
                  <w:shd w:fill="FFFFFF"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Texas</w:t>
                  </w:r>
                </w:p>
              </w:tc>
              <w:tc>
                <w:tcPr>
                  <w:tcW w:type="dxa" w:w="11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$13,416</w:t>
                  </w:r>
                </w:p>
              </w:tc>
              <w:tc>
                <w:tcPr>
                  <w:tcW w:type="dxa" w:w="7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 9.5%</w:t>
                  </w:r>
                </w:p>
              </w:tc>
            </w:tr>
            <w:tr>
              <w:tc>
                <w:tcPr>
                  <w:tcW w:type="dxa" w:w="1800"/>
                  <w:tcBorders>
                    <w:top w:val="single" w:color="DDDDDD" w:sz="2"/>
                    <w:left w:val="single" w:color="DDDDDD" w:sz="2"/>
                    <w:bottom w:val="single" w:color="DDDDDD" w:sz="2"/>
                    <w:right w:val="single" w:color="DDDDDD" w:sz="2"/>
                  </w:tcBorders>
                  <w:shd w:fill="F2F5F9"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Pennsylvania</w:t>
                  </w:r>
                </w:p>
              </w:tc>
              <w:tc>
                <w:tcPr>
                  <w:tcW w:type="dxa" w:w="11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$8,027</w:t>
                  </w:r>
                </w:p>
              </w:tc>
              <w:tc>
                <w:tcPr>
                  <w:tcW w:type="dxa" w:w="700"/>
                  <w:tcBorders>
                    <w:top w:val="single" w:color="DDDDDD" w:sz="2"/>
                    <w:left w:val="single" w:color="DDDDDD" w:sz="2"/>
                    <w:bottom w:val="single" w:color="DDDDDD" w:sz="2"/>
                    <w:right w:val="single" w:color="DDDDDD" w:sz="2"/>
                  </w:tcBorders>
                  <w:shd w:fill="F2F5F9"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 5.7%</w:t>
                  </w:r>
                </w:p>
              </w:tc>
            </w:tr>
            <w:tr>
              <w:tc>
                <w:tcPr>
                  <w:tcW w:type="dxa" w:w="1800"/>
                  <w:tcBorders>
                    <w:top w:val="single" w:color="DDDDDD" w:sz="2"/>
                    <w:left w:val="single" w:color="DDDDDD" w:sz="2"/>
                    <w:bottom w:val="single" w:color="DDDDDD" w:sz="2"/>
                    <w:right w:val="single" w:color="DDDDDD" w:sz="2"/>
                  </w:tcBorders>
                  <w:shd w:fill="FFFFFF" w:val="clear"/>
                  <w:tcMar>
                    <w:top w:type="dxa" w:w="45"/>
                    <w:left w:type="dxa" w:w="80"/>
                    <w:bottom w:type="dxa" w:w="45"/>
                    <w:right w:type="dxa" w:w="40"/>
                  </w:tcMar>
                  <w:vAlign w:val="top"/>
                </w:tcPr>
                <w:p>
                  <w:pPr>
                    <w:spacing w:after="80" w:before="0"/>
                    <w:jc w:val="left"/>
                  </w:pPr>
                  <w:r>
                    <w:rPr>
                      <w:rFonts w:ascii="Arial" w:cs="Arial" w:eastAsia="Arial" w:hAnsi="Arial"/>
                      <w:b w:val="false"/>
                      <w:bCs w:val="false"/>
                      <w:i w:val="false"/>
                      <w:iCs w:val="false"/>
                      <w:color w:val="4A5568"/>
                      <w:sz w:val="18"/>
                      <w:szCs w:val="18"/>
                    </w:rPr>
                    <w:t xml:space="preserve">Washington</w:t>
                  </w:r>
                </w:p>
              </w:tc>
              <w:tc>
                <w:tcPr>
                  <w:tcW w:type="dxa" w:w="11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40"/>
                  </w:tcMar>
                  <w:vAlign w:val="top"/>
                </w:tcPr>
                <w:p>
                  <w:pPr>
                    <w:spacing w:after="80" w:before="0"/>
                    <w:jc w:val="center"/>
                  </w:pPr>
                  <w:r>
                    <w:rPr>
                      <w:rFonts w:ascii="Arial" w:cs="Arial" w:eastAsia="Arial" w:hAnsi="Arial"/>
                      <w:b/>
                      <w:bCs/>
                      <w:i w:val="false"/>
                      <w:iCs w:val="false"/>
                      <w:color w:val="1B3A6B"/>
                      <w:sz w:val="18"/>
                      <w:szCs w:val="18"/>
                    </w:rPr>
                    <w:t xml:space="preserve">$6,921</w:t>
                  </w:r>
                </w:p>
              </w:tc>
              <w:tc>
                <w:tcPr>
                  <w:tcW w:type="dxa" w:w="700"/>
                  <w:tcBorders>
                    <w:top w:val="single" w:color="DDDDDD" w:sz="2"/>
                    <w:left w:val="single" w:color="DDDDDD" w:sz="2"/>
                    <w:bottom w:val="single" w:color="DDDDDD" w:sz="2"/>
                    <w:right w:val="single" w:color="DDDDDD" w:sz="2"/>
                  </w:tcBorders>
                  <w:shd w:fill="FFFFFF" w:val="clear"/>
                  <w:tcMar>
                    <w:top w:type="dxa" w:w="45"/>
                    <w:left w:type="dxa" w:w="40"/>
                    <w:bottom w:type="dxa" w:w="45"/>
                    <w:right w:type="dxa" w:w="60"/>
                  </w:tcMar>
                  <w:vAlign w:val="top"/>
                </w:tcPr>
                <w:p>
                  <w:pPr>
                    <w:spacing w:after="80" w:before="0"/>
                    <w:jc w:val="center"/>
                  </w:pPr>
                  <w:r>
                    <w:rPr>
                      <w:rFonts w:ascii="Arial" w:cs="Arial" w:eastAsia="Arial" w:hAnsi="Arial"/>
                      <w:b w:val="false"/>
                      <w:bCs w:val="false"/>
                      <w:i w:val="false"/>
                      <w:iCs w:val="false"/>
                      <w:color w:val="4A5568"/>
                      <w:sz w:val="18"/>
                      <w:szCs w:val="18"/>
                    </w:rPr>
                    <w:t xml:space="preserve"> 4.9%</w:t>
                  </w:r>
                </w:p>
              </w:tc>
            </w:tr>
          </w:tbl>
          <w:p/>
        </w:tc>
      </w:tr>
    </w:tbl>
    <w:p>
      <w:pPr>
        <w:pageBreakBefore/>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4  |  Product Portfolio</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200"/>
        <w:gridCol w:w="2880"/>
      </w:tblGrid>
      <w:tr>
        <w:tc>
          <w:tcPr>
            <w:tcW w:type="dxa" w:w="2400"/>
            <w:tcBorders>
              <w:top w:val="none" w:color="FFFFFF" w:sz="0"/>
              <w:left w:val="none" w:color="FFFFFF" w:sz="0"/>
              <w:bottom w:val="none" w:color="FFFFFF" w:sz="0"/>
              <w:right w:val="none" w:color="FFFFFF" w:sz="0"/>
            </w:tcBorders>
            <w:shd w:fill="1B3A6B" w:val="clear"/>
            <w:tcMar>
              <w:top w:type="dxa" w:w="55"/>
              <w:left w:type="dxa" w:w="120"/>
              <w:bottom w:type="dxa" w:w="55"/>
              <w:right w:type="dxa" w:w="60"/>
            </w:tcMar>
            <w:vAlign w:val="top"/>
          </w:tcPr>
          <w:p>
            <w:pPr>
              <w:spacing w:after="80" w:before="0"/>
              <w:jc w:val="left"/>
            </w:pPr>
            <w:r>
              <w:rPr>
                <w:rFonts w:ascii="Arial" w:cs="Arial" w:eastAsia="Arial" w:hAnsi="Arial"/>
                <w:b/>
                <w:bCs/>
                <w:i w:val="false"/>
                <w:iCs w:val="false"/>
                <w:color w:val="FFFFFF"/>
                <w:sz w:val="19"/>
                <w:szCs w:val="19"/>
              </w:rPr>
              <w:t xml:space="preserve">Division</w:t>
            </w:r>
          </w:p>
        </w:tc>
        <w:tc>
          <w:tcPr>
            <w:tcW w:type="dxa" w:w="1440"/>
            <w:tcBorders>
              <w:top w:val="none" w:color="FFFFFF" w:sz="0"/>
              <w:left w:val="none" w:color="FFFFFF" w:sz="0"/>
              <w:bottom w:val="none" w:color="FFFFFF" w:sz="0"/>
              <w:right w:val="none" w:color="FFFFFF" w:sz="0"/>
            </w:tcBorders>
            <w:shd w:fill="1B3A6B"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FFFFFF"/>
                <w:sz w:val="19"/>
                <w:szCs w:val="19"/>
              </w:rPr>
              <w:t xml:space="preserve">Revenue</w:t>
            </w:r>
          </w:p>
        </w:tc>
        <w:tc>
          <w:tcPr>
            <w:tcW w:type="dxa" w:w="1440"/>
            <w:tcBorders>
              <w:top w:val="none" w:color="FFFFFF" w:sz="0"/>
              <w:left w:val="none" w:color="FFFFFF" w:sz="0"/>
              <w:bottom w:val="none" w:color="FFFFFF" w:sz="0"/>
              <w:right w:val="none" w:color="FFFFFF" w:sz="0"/>
            </w:tcBorders>
            <w:shd w:fill="1B3A6B"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FFFFFF"/>
                <w:sz w:val="19"/>
                <w:szCs w:val="19"/>
              </w:rPr>
              <w:t xml:space="preserve">Gross Profit</w:t>
            </w:r>
          </w:p>
        </w:tc>
        <w:tc>
          <w:tcPr>
            <w:tcW w:type="dxa" w:w="1200"/>
            <w:tcBorders>
              <w:top w:val="none" w:color="FFFFFF" w:sz="0"/>
              <w:left w:val="none" w:color="FFFFFF" w:sz="0"/>
              <w:bottom w:val="none" w:color="FFFFFF" w:sz="0"/>
              <w:right w:val="none" w:color="FFFFFF" w:sz="0"/>
            </w:tcBorders>
            <w:shd w:fill="1B3A6B"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FFFFFF"/>
                <w:sz w:val="19"/>
                <w:szCs w:val="19"/>
              </w:rPr>
              <w:t xml:space="preserve">Margin</w:t>
            </w:r>
          </w:p>
        </w:tc>
        <w:tc>
          <w:tcPr>
            <w:tcW w:type="dxa" w:w="2880"/>
            <w:tcBorders>
              <w:top w:val="none" w:color="FFFFFF" w:sz="0"/>
              <w:left w:val="none" w:color="FFFFFF" w:sz="0"/>
              <w:bottom w:val="none" w:color="FFFFFF" w:sz="0"/>
              <w:right w:val="none" w:color="FFFFFF" w:sz="0"/>
            </w:tcBorders>
            <w:shd w:fill="1B3A6B" w:val="clear"/>
            <w:tcMar>
              <w:top w:type="dxa" w:w="55"/>
              <w:left w:type="dxa" w:w="60"/>
              <w:bottom w:type="dxa" w:w="55"/>
              <w:right w:type="dxa" w:w="120"/>
            </w:tcMar>
            <w:vAlign w:val="top"/>
          </w:tcPr>
          <w:p>
            <w:pPr>
              <w:spacing w:after="80" w:before="0"/>
              <w:jc w:val="center"/>
            </w:pPr>
            <w:r>
              <w:rPr>
                <w:rFonts w:ascii="Arial" w:cs="Arial" w:eastAsia="Arial" w:hAnsi="Arial"/>
                <w:b/>
                <w:bCs/>
                <w:i w:val="false"/>
                <w:iCs w:val="false"/>
                <w:color w:val="FFFFFF"/>
                <w:sz w:val="19"/>
                <w:szCs w:val="19"/>
              </w:rPr>
              <w:t xml:space="preserve">Share</w:t>
            </w:r>
          </w:p>
        </w:tc>
      </w:tr>
      <w:tr>
        <w:tc>
          <w:tcPr>
            <w:tcW w:type="dxa" w:w="2400"/>
            <w:tcBorders>
              <w:top w:val="single" w:color="DDDDDD" w:sz="2"/>
              <w:left w:val="single" w:color="DDDDDD" w:sz="2"/>
              <w:bottom w:val="single" w:color="DDDDDD" w:sz="2"/>
              <w:right w:val="single" w:color="DDDDDD" w:sz="2"/>
            </w:tcBorders>
            <w:shd w:fill="FFFFFF" w:val="clear"/>
            <w:tcMar>
              <w:top w:type="dxa" w:w="55"/>
              <w:left w:type="dxa" w:w="12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Chocolate (incl. Wonka Bars)</w:t>
            </w:r>
          </w:p>
        </w:tc>
        <w:tc>
          <w:tcPr>
            <w:tcW w:type="dxa" w:w="14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1B3A6B"/>
                <w:sz w:val="19"/>
                <w:szCs w:val="19"/>
              </w:rPr>
              <w:t xml:space="preserve">$131,693</w:t>
            </w:r>
          </w:p>
        </w:tc>
        <w:tc>
          <w:tcPr>
            <w:tcW w:type="dxa" w:w="14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$88,825</w:t>
            </w:r>
          </w:p>
        </w:tc>
        <w:tc>
          <w:tcPr>
            <w:tcW w:type="dxa" w:w="120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67.4%</w:t>
            </w:r>
          </w:p>
        </w:tc>
        <w:tc>
          <w:tcPr>
            <w:tcW w:type="dxa" w:w="2880"/>
            <w:tcBorders>
              <w:top w:val="single" w:color="DDDDDD" w:sz="2"/>
              <w:left w:val="single" w:color="DDDDDD" w:sz="2"/>
              <w:bottom w:val="single" w:color="DDDDDD" w:sz="2"/>
              <w:right w:val="single" w:color="DDDDDD" w:sz="2"/>
            </w:tcBorders>
            <w:shd w:fill="FFFFFF" w:val="clear"/>
            <w:tcMar>
              <w:top w:type="dxa" w:w="55"/>
              <w:left w:type="dxa" w:w="60"/>
              <w:bottom w:type="dxa" w:w="55"/>
              <w:right w:type="dxa" w:w="120"/>
            </w:tcMar>
            <w:vAlign w:val="top"/>
          </w:tcPr>
          <w:p>
            <w:pPr>
              <w:spacing w:after="80" w:before="0"/>
              <w:jc w:val="center"/>
            </w:pPr>
            <w:r>
              <w:rPr>
                <w:rFonts w:ascii="Arial" w:cs="Arial" w:eastAsia="Arial" w:hAnsi="Arial"/>
                <w:b w:val="false"/>
                <w:bCs w:val="false"/>
                <w:i w:val="false"/>
                <w:iCs w:val="false"/>
                <w:color w:val="4A5568"/>
                <w:sz w:val="19"/>
                <w:szCs w:val="19"/>
              </w:rPr>
              <w:t xml:space="preserve">92.9%</w:t>
            </w:r>
          </w:p>
        </w:tc>
      </w:tr>
      <w:tr>
        <w:tc>
          <w:tcPr>
            <w:tcW w:type="dxa" w:w="2400"/>
            <w:tcBorders>
              <w:top w:val="single" w:color="DDDDDD" w:sz="2"/>
              <w:left w:val="single" w:color="DDDDDD" w:sz="2"/>
              <w:bottom w:val="single" w:color="DDDDDD" w:sz="2"/>
              <w:right w:val="single" w:color="DDDDDD" w:sz="2"/>
            </w:tcBorders>
            <w:shd w:fill="F2F5F9" w:val="clear"/>
            <w:tcMar>
              <w:top w:type="dxa" w:w="55"/>
              <w:left w:type="dxa" w:w="12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Other — Novelty Items</w:t>
            </w:r>
          </w:p>
        </w:tc>
        <w:tc>
          <w:tcPr>
            <w:tcW w:type="dxa" w:w="144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1B3A6B"/>
                <w:sz w:val="19"/>
                <w:szCs w:val="19"/>
              </w:rPr>
              <w:t xml:space="preserve">$9,663</w:t>
            </w:r>
          </w:p>
        </w:tc>
        <w:tc>
          <w:tcPr>
            <w:tcW w:type="dxa" w:w="144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$4,333</w:t>
            </w:r>
          </w:p>
        </w:tc>
        <w:tc>
          <w:tcPr>
            <w:tcW w:type="dxa" w:w="1200"/>
            <w:tcBorders>
              <w:top w:val="single" w:color="DDDDDD" w:sz="2"/>
              <w:left w:val="single" w:color="DDDDDD" w:sz="2"/>
              <w:bottom w:val="single" w:color="DDDDDD" w:sz="2"/>
              <w:right w:val="single" w:color="DDDDDD" w:sz="2"/>
            </w:tcBorders>
            <w:shd w:fill="F2F5F9"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44.8%</w:t>
            </w:r>
          </w:p>
        </w:tc>
        <w:tc>
          <w:tcPr>
            <w:tcW w:type="dxa" w:w="2880"/>
            <w:tcBorders>
              <w:top w:val="single" w:color="DDDDDD" w:sz="2"/>
              <w:left w:val="single" w:color="DDDDDD" w:sz="2"/>
              <w:bottom w:val="single" w:color="DDDDDD" w:sz="2"/>
              <w:right w:val="single" w:color="DDDDDD" w:sz="2"/>
            </w:tcBorders>
            <w:shd w:fill="F2F5F9" w:val="clear"/>
            <w:tcMar>
              <w:top w:type="dxa" w:w="55"/>
              <w:left w:type="dxa" w:w="60"/>
              <w:bottom w:type="dxa" w:w="55"/>
              <w:right w:type="dxa" w:w="120"/>
            </w:tcMar>
            <w:vAlign w:val="top"/>
          </w:tcPr>
          <w:p>
            <w:pPr>
              <w:spacing w:after="80" w:before="0"/>
              <w:jc w:val="center"/>
            </w:pPr>
            <w:r>
              <w:rPr>
                <w:rFonts w:ascii="Arial" w:cs="Arial" w:eastAsia="Arial" w:hAnsi="Arial"/>
                <w:b w:val="false"/>
                <w:bCs w:val="false"/>
                <w:i w:val="false"/>
                <w:iCs w:val="false"/>
                <w:color w:val="4A5568"/>
                <w:sz w:val="19"/>
                <w:szCs w:val="19"/>
              </w:rPr>
              <w:t xml:space="preserve">6.8%</w:t>
            </w:r>
          </w:p>
        </w:tc>
      </w:tr>
      <w:tr>
        <w:tc>
          <w:tcPr>
            <w:tcW w:type="dxa" w:w="2400"/>
            <w:tcBorders>
              <w:top w:val="single" w:color="DDDDDD" w:sz="2"/>
              <w:left w:val="single" w:color="DDDDDD" w:sz="2"/>
              <w:bottom w:val="single" w:color="DDDDDD" w:sz="2"/>
              <w:right w:val="single" w:color="DDDDDD" w:sz="2"/>
            </w:tcBorders>
            <w:shd w:fill="FFFFFF" w:val="clear"/>
            <w:tcMar>
              <w:top w:type="dxa" w:w="55"/>
              <w:left w:type="dxa" w:w="120"/>
              <w:bottom w:type="dxa" w:w="55"/>
              <w:right w:type="dxa" w:w="60"/>
            </w:tcMar>
            <w:vAlign w:val="top"/>
          </w:tcPr>
          <w:p>
            <w:pPr>
              <w:spacing w:after="80" w:before="0"/>
              <w:jc w:val="left"/>
            </w:pPr>
            <w:r>
              <w:rPr>
                <w:rFonts w:ascii="Arial" w:cs="Arial" w:eastAsia="Arial" w:hAnsi="Arial"/>
                <w:b w:val="false"/>
                <w:bCs w:val="false"/>
                <w:i w:val="false"/>
                <w:iCs w:val="false"/>
                <w:color w:val="4A5568"/>
                <w:sz w:val="19"/>
                <w:szCs w:val="19"/>
              </w:rPr>
              <w:t xml:space="preserve">Sugar Confections</w:t>
            </w:r>
          </w:p>
        </w:tc>
        <w:tc>
          <w:tcPr>
            <w:tcW w:type="dxa" w:w="14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bCs/>
                <w:i w:val="false"/>
                <w:iCs w:val="false"/>
                <w:color w:val="1B3A6B"/>
                <w:sz w:val="19"/>
                <w:szCs w:val="19"/>
              </w:rPr>
              <w:t xml:space="preserve">$427</w:t>
            </w:r>
          </w:p>
        </w:tc>
        <w:tc>
          <w:tcPr>
            <w:tcW w:type="dxa" w:w="144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$285</w:t>
            </w:r>
          </w:p>
        </w:tc>
        <w:tc>
          <w:tcPr>
            <w:tcW w:type="dxa" w:w="1200"/>
            <w:tcBorders>
              <w:top w:val="single" w:color="DDDDDD" w:sz="2"/>
              <w:left w:val="single" w:color="DDDDDD" w:sz="2"/>
              <w:bottom w:val="single" w:color="DDDDDD" w:sz="2"/>
              <w:right w:val="single" w:color="DDDDDD" w:sz="2"/>
            </w:tcBorders>
            <w:shd w:fill="FFFFFF" w:val="clear"/>
            <w:tcMar>
              <w:top w:type="dxa" w:w="55"/>
              <w:left w:type="dxa" w:w="60"/>
              <w:bottom w:type="dxa" w:w="55"/>
              <w:right w:type="dxa" w:w="60"/>
            </w:tcMar>
            <w:vAlign w:val="top"/>
          </w:tcPr>
          <w:p>
            <w:pPr>
              <w:spacing w:after="80" w:before="0"/>
              <w:jc w:val="center"/>
            </w:pPr>
            <w:r>
              <w:rPr>
                <w:rFonts w:ascii="Arial" w:cs="Arial" w:eastAsia="Arial" w:hAnsi="Arial"/>
                <w:b w:val="false"/>
                <w:bCs w:val="false"/>
                <w:i w:val="false"/>
                <w:iCs w:val="false"/>
                <w:color w:val="4A5568"/>
                <w:sz w:val="19"/>
                <w:szCs w:val="19"/>
              </w:rPr>
              <w:t xml:space="preserve">66.6%</w:t>
            </w:r>
          </w:p>
        </w:tc>
        <w:tc>
          <w:tcPr>
            <w:tcW w:type="dxa" w:w="2880"/>
            <w:tcBorders>
              <w:top w:val="single" w:color="DDDDDD" w:sz="2"/>
              <w:left w:val="single" w:color="DDDDDD" w:sz="2"/>
              <w:bottom w:val="single" w:color="DDDDDD" w:sz="2"/>
              <w:right w:val="single" w:color="DDDDDD" w:sz="2"/>
            </w:tcBorders>
            <w:shd w:fill="FFFFFF" w:val="clear"/>
            <w:tcMar>
              <w:top w:type="dxa" w:w="55"/>
              <w:left w:type="dxa" w:w="60"/>
              <w:bottom w:type="dxa" w:w="55"/>
              <w:right w:type="dxa" w:w="120"/>
            </w:tcMar>
            <w:vAlign w:val="top"/>
          </w:tcPr>
          <w:p>
            <w:pPr>
              <w:spacing w:after="80" w:before="0"/>
              <w:jc w:val="center"/>
            </w:pPr>
            <w:r>
              <w:rPr>
                <w:rFonts w:ascii="Arial" w:cs="Arial" w:eastAsia="Arial" w:hAnsi="Arial"/>
                <w:b w:val="false"/>
                <w:bCs w:val="false"/>
                <w:i w:val="false"/>
                <w:iCs w:val="false"/>
                <w:color w:val="4A5568"/>
                <w:sz w:val="19"/>
                <w:szCs w:val="19"/>
              </w:rPr>
              <w:t xml:space="preserve">0.3%</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5  |  Risk Observations</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600"/>
            <w:tcBorders>
              <w:top w:val="none" w:color="FFFFFF" w:sz="0"/>
              <w:left w:val="none" w:color="FFFFFF" w:sz="0"/>
              <w:bottom w:val="none" w:color="FFFFFF" w:sz="0"/>
              <w:right w:val="none" w:color="FFFFFF" w:sz="0"/>
            </w:tcBorders>
            <w:shd w:fill="C0392B" w:val="clear"/>
            <w:tcMar>
              <w:top w:type="dxa" w:w="70"/>
              <w:left w:type="dxa" w:w="40"/>
              <w:bottom w:type="dxa" w:w="70"/>
              <w:right w:type="dxa" w:w="40"/>
            </w:tcMar>
            <w:vAlign w:val="top"/>
          </w:tcPr>
          <w:p>
            <w:pPr>
              <w:spacing w:after="80" w:before="0"/>
              <w:jc w:val="center"/>
            </w:pPr>
            <w:r>
              <w:rPr>
                <w:rFonts w:ascii="Arial" w:cs="Arial" w:eastAsia="Arial" w:hAnsi="Arial"/>
                <w:b/>
                <w:bCs/>
                <w:i w:val="false"/>
                <w:iCs w:val="false"/>
                <w:color w:val="FFFFFF"/>
                <w:sz w:val="18"/>
                <w:szCs w:val="18"/>
              </w:rPr>
              <w:t xml:space="preserve">HIGH</w:t>
            </w:r>
          </w:p>
        </w:tc>
        <w:tc>
          <w:tcPr>
            <w:tcW w:type="dxa" w:w="8760"/>
            <w:tcBorders>
              <w:top w:val="none" w:color="FFFFFF" w:sz="0"/>
              <w:left w:val="none" w:color="FFFFFF" w:sz="0"/>
              <w:bottom w:val="single" w:color="CCCCCC" w:sz="2"/>
              <w:right w:val="none" w:color="FFFFFF" w:sz="0"/>
            </w:tcBorders>
            <w:shd w:fill="F2F5F9" w:val="clear"/>
            <w:tcMar>
              <w:top w:type="dxa" w:w="70"/>
              <w:left w:type="dxa" w:w="160"/>
              <w:bottom w:type="dxa" w:w="70"/>
              <w:right w:type="dxa" w:w="120"/>
            </w:tcMar>
            <w:vAlign w:val="top"/>
          </w:tcPr>
          <w:p>
            <w:pPr>
              <w:spacing w:after="80" w:before="0"/>
              <w:jc w:val="left"/>
            </w:pPr>
            <w:r>
              <w:rPr>
                <w:rFonts w:ascii="Arial" w:cs="Arial" w:eastAsia="Arial" w:hAnsi="Arial"/>
                <w:b w:val="false"/>
                <w:bCs w:val="false"/>
                <w:i w:val="false"/>
                <w:iCs w:val="false"/>
                <w:color w:val="222222"/>
                <w:sz w:val="19"/>
                <w:szCs w:val="19"/>
              </w:rPr>
              <w:t xml:space="preserve">Product Concentration — Wonka Bars account for 78.8% of total revenue ($111,692). Any supply or demand disruption to this single brand family would materially impact viability.</w:t>
            </w:r>
          </w:p>
        </w:tc>
      </w:tr>
      <w:tr>
        <w:tc>
          <w:tcPr>
            <w:tcW w:type="dxa" w:w="600"/>
            <w:tcBorders>
              <w:top w:val="none" w:color="FFFFFF" w:sz="0"/>
              <w:left w:val="none" w:color="FFFFFF" w:sz="0"/>
              <w:bottom w:val="none" w:color="FFFFFF" w:sz="0"/>
              <w:right w:val="none" w:color="FFFFFF" w:sz="0"/>
            </w:tcBorders>
            <w:shd w:fill="C0392B" w:val="clear"/>
            <w:tcMar>
              <w:top w:type="dxa" w:w="70"/>
              <w:left w:type="dxa" w:w="40"/>
              <w:bottom w:type="dxa" w:w="70"/>
              <w:right w:type="dxa" w:w="40"/>
            </w:tcMar>
            <w:vAlign w:val="top"/>
          </w:tcPr>
          <w:p>
            <w:pPr>
              <w:spacing w:after="80" w:before="0"/>
              <w:jc w:val="center"/>
            </w:pPr>
            <w:r>
              <w:rPr>
                <w:rFonts w:ascii="Arial" w:cs="Arial" w:eastAsia="Arial" w:hAnsi="Arial"/>
                <w:b/>
                <w:bCs/>
                <w:i w:val="false"/>
                <w:iCs w:val="false"/>
                <w:color w:val="FFFFFF"/>
                <w:sz w:val="18"/>
                <w:szCs w:val="18"/>
              </w:rPr>
              <w:t xml:space="preserve">HIGH</w:t>
            </w:r>
          </w:p>
        </w:tc>
        <w:tc>
          <w:tcPr>
            <w:tcW w:type="dxa" w:w="8760"/>
            <w:tcBorders>
              <w:top w:val="none" w:color="FFFFFF" w:sz="0"/>
              <w:left w:val="none" w:color="FFFFFF" w:sz="0"/>
              <w:bottom w:val="single" w:color="CCCCCC" w:sz="2"/>
              <w:right w:val="none" w:color="FFFFFF" w:sz="0"/>
            </w:tcBorders>
            <w:shd w:fill="F2F5F9" w:val="clear"/>
            <w:tcMar>
              <w:top w:type="dxa" w:w="70"/>
              <w:left w:type="dxa" w:w="160"/>
              <w:bottom w:type="dxa" w:w="70"/>
              <w:right w:type="dxa" w:w="120"/>
            </w:tcMar>
            <w:vAlign w:val="top"/>
          </w:tcPr>
          <w:p>
            <w:pPr>
              <w:spacing w:after="80" w:before="0"/>
              <w:jc w:val="left"/>
            </w:pPr>
            <w:r>
              <w:rPr>
                <w:rFonts w:ascii="Arial" w:cs="Arial" w:eastAsia="Arial" w:hAnsi="Arial"/>
                <w:b w:val="false"/>
                <w:bCs w:val="false"/>
                <w:i w:val="false"/>
                <w:iCs w:val="false"/>
                <w:color w:val="222222"/>
                <w:sz w:val="19"/>
                <w:szCs w:val="19"/>
              </w:rPr>
              <w:t xml:space="preserve">Margin Outlier — Kazookles records only 7.7% gross margin against a portfolio average of 65.9%. This product is unlikely to cover its distribution costs and warrants immediate review.</w:t>
            </w:r>
          </w:p>
        </w:tc>
      </w:tr>
      <w:tr>
        <w:tc>
          <w:tcPr>
            <w:tcW w:type="dxa" w:w="600"/>
            <w:tcBorders>
              <w:top w:val="none" w:color="FFFFFF" w:sz="0"/>
              <w:left w:val="none" w:color="FFFFFF" w:sz="0"/>
              <w:bottom w:val="none" w:color="FFFFFF" w:sz="0"/>
              <w:right w:val="none" w:color="FFFFFF" w:sz="0"/>
            </w:tcBorders>
            <w:shd w:fill="8B6000" w:val="clear"/>
            <w:tcMar>
              <w:top w:type="dxa" w:w="70"/>
              <w:left w:type="dxa" w:w="40"/>
              <w:bottom w:type="dxa" w:w="70"/>
              <w:right w:type="dxa" w:w="40"/>
            </w:tcMar>
            <w:vAlign w:val="top"/>
          </w:tcPr>
          <w:p>
            <w:pPr>
              <w:spacing w:after="80" w:before="0"/>
              <w:jc w:val="center"/>
            </w:pPr>
            <w:r>
              <w:rPr>
                <w:rFonts w:ascii="Arial" w:cs="Arial" w:eastAsia="Arial" w:hAnsi="Arial"/>
                <w:b/>
                <w:bCs/>
                <w:i w:val="false"/>
                <w:iCs w:val="false"/>
                <w:color w:val="FFFFFF"/>
                <w:sz w:val="18"/>
                <w:szCs w:val="18"/>
              </w:rPr>
              <w:t xml:space="preserve">MED</w:t>
            </w:r>
          </w:p>
        </w:tc>
        <w:tc>
          <w:tcPr>
            <w:tcW w:type="dxa" w:w="8760"/>
            <w:tcBorders>
              <w:top w:val="none" w:color="FFFFFF" w:sz="0"/>
              <w:left w:val="none" w:color="FFFFFF" w:sz="0"/>
              <w:bottom w:val="single" w:color="CCCCCC" w:sz="2"/>
              <w:right w:val="none" w:color="FFFFFF" w:sz="0"/>
            </w:tcBorders>
            <w:shd w:fill="F2F5F9" w:val="clear"/>
            <w:tcMar>
              <w:top w:type="dxa" w:w="70"/>
              <w:left w:type="dxa" w:w="160"/>
              <w:bottom w:type="dxa" w:w="70"/>
              <w:right w:type="dxa" w:w="120"/>
            </w:tcMar>
            <w:vAlign w:val="top"/>
          </w:tcPr>
          <w:p>
            <w:pPr>
              <w:spacing w:after="80" w:before="0"/>
              <w:jc w:val="left"/>
            </w:pPr>
            <w:r>
              <w:rPr>
                <w:rFonts w:ascii="Arial" w:cs="Arial" w:eastAsia="Arial" w:hAnsi="Arial"/>
                <w:b w:val="false"/>
                <w:bCs w:val="false"/>
                <w:i w:val="false"/>
                <w:iCs w:val="false"/>
                <w:color w:val="222222"/>
                <w:sz w:val="19"/>
                <w:szCs w:val="19"/>
              </w:rPr>
              <w:t xml:space="preserve">Geographic Concentration — California contributes 19.7% of national revenue ($27,917). Regulatory change or competitive entry in one state could have outsized revenue impact.</w:t>
            </w:r>
          </w:p>
        </w:tc>
      </w:tr>
      <w:tr>
        <w:tc>
          <w:tcPr>
            <w:tcW w:type="dxa" w:w="600"/>
            <w:tcBorders>
              <w:top w:val="none" w:color="FFFFFF" w:sz="0"/>
              <w:left w:val="none" w:color="FFFFFF" w:sz="0"/>
              <w:bottom w:val="none" w:color="FFFFFF" w:sz="0"/>
              <w:right w:val="none" w:color="FFFFFF" w:sz="0"/>
            </w:tcBorders>
            <w:shd w:fill="8B6000" w:val="clear"/>
            <w:tcMar>
              <w:top w:type="dxa" w:w="70"/>
              <w:left w:type="dxa" w:w="40"/>
              <w:bottom w:type="dxa" w:w="70"/>
              <w:right w:type="dxa" w:w="40"/>
            </w:tcMar>
            <w:vAlign w:val="top"/>
          </w:tcPr>
          <w:p>
            <w:pPr>
              <w:spacing w:after="80" w:before="0"/>
              <w:jc w:val="center"/>
            </w:pPr>
            <w:r>
              <w:rPr>
                <w:rFonts w:ascii="Arial" w:cs="Arial" w:eastAsia="Arial" w:hAnsi="Arial"/>
                <w:b/>
                <w:bCs/>
                <w:i w:val="false"/>
                <w:iCs w:val="false"/>
                <w:color w:val="FFFFFF"/>
                <w:sz w:val="18"/>
                <w:szCs w:val="18"/>
              </w:rPr>
              <w:t xml:space="preserve">MED</w:t>
            </w:r>
          </w:p>
        </w:tc>
        <w:tc>
          <w:tcPr>
            <w:tcW w:type="dxa" w:w="8760"/>
            <w:tcBorders>
              <w:top w:val="none" w:color="FFFFFF" w:sz="0"/>
              <w:left w:val="none" w:color="FFFFFF" w:sz="0"/>
              <w:bottom w:val="single" w:color="CCCCCC" w:sz="2"/>
              <w:right w:val="none" w:color="FFFFFF" w:sz="0"/>
            </w:tcBorders>
            <w:shd w:fill="F2F5F9" w:val="clear"/>
            <w:tcMar>
              <w:top w:type="dxa" w:w="70"/>
              <w:left w:type="dxa" w:w="160"/>
              <w:bottom w:type="dxa" w:w="70"/>
              <w:right w:type="dxa" w:w="120"/>
            </w:tcMar>
            <w:vAlign w:val="top"/>
          </w:tcPr>
          <w:p>
            <w:pPr>
              <w:spacing w:after="80" w:before="0"/>
              <w:jc w:val="left"/>
            </w:pPr>
            <w:r>
              <w:rPr>
                <w:rFonts w:ascii="Arial" w:cs="Arial" w:eastAsia="Arial" w:hAnsi="Arial"/>
                <w:b w:val="false"/>
                <w:bCs w:val="false"/>
                <w:i w:val="false"/>
                <w:iCs w:val="false"/>
                <w:color w:val="222222"/>
                <w:sz w:val="19"/>
                <w:szCs w:val="19"/>
              </w:rPr>
              <w:t xml:space="preserve">Gulf Region Underpenetration — At 15.7% revenue share, the Gulf region is significantly below its proportionate economic weight. Distribution gaps in TX, FL, and LA represent both risk and opportunity.</w:t>
            </w:r>
          </w:p>
        </w:tc>
      </w:tr>
      <w:tr>
        <w:tc>
          <w:tcPr>
            <w:tcW w:type="dxa" w:w="600"/>
            <w:tcBorders>
              <w:top w:val="none" w:color="FFFFFF" w:sz="0"/>
              <w:left w:val="none" w:color="FFFFFF" w:sz="0"/>
              <w:bottom w:val="none" w:color="FFFFFF" w:sz="0"/>
              <w:right w:val="none" w:color="FFFFFF" w:sz="0"/>
            </w:tcBorders>
            <w:shd w:fill="1D6E5E" w:val="clear"/>
            <w:tcMar>
              <w:top w:type="dxa" w:w="70"/>
              <w:left w:type="dxa" w:w="40"/>
              <w:bottom w:type="dxa" w:w="70"/>
              <w:right w:type="dxa" w:w="40"/>
            </w:tcMar>
            <w:vAlign w:val="top"/>
          </w:tcPr>
          <w:p>
            <w:pPr>
              <w:spacing w:after="80" w:before="0"/>
              <w:jc w:val="center"/>
            </w:pPr>
            <w:r>
              <w:rPr>
                <w:rFonts w:ascii="Arial" w:cs="Arial" w:eastAsia="Arial" w:hAnsi="Arial"/>
                <w:b/>
                <w:bCs/>
                <w:i w:val="false"/>
                <w:iCs w:val="false"/>
                <w:color w:val="FFFFFF"/>
                <w:sz w:val="18"/>
                <w:szCs w:val="18"/>
              </w:rPr>
              <w:t xml:space="preserve">LOW</w:t>
            </w:r>
          </w:p>
        </w:tc>
        <w:tc>
          <w:tcPr>
            <w:tcW w:type="dxa" w:w="8760"/>
            <w:tcBorders>
              <w:top w:val="none" w:color="FFFFFF" w:sz="0"/>
              <w:left w:val="none" w:color="FFFFFF" w:sz="0"/>
              <w:bottom w:val="single" w:color="CCCCCC" w:sz="2"/>
              <w:right w:val="none" w:color="FFFFFF" w:sz="0"/>
            </w:tcBorders>
            <w:shd w:fill="F2F5F9" w:val="clear"/>
            <w:tcMar>
              <w:top w:type="dxa" w:w="70"/>
              <w:left w:type="dxa" w:w="160"/>
              <w:bottom w:type="dxa" w:w="70"/>
              <w:right w:type="dxa" w:w="120"/>
            </w:tcMar>
            <w:vAlign w:val="top"/>
          </w:tcPr>
          <w:p>
            <w:pPr>
              <w:spacing w:after="80" w:before="0"/>
              <w:jc w:val="left"/>
            </w:pPr>
            <w:r>
              <w:rPr>
                <w:rFonts w:ascii="Arial" w:cs="Arial" w:eastAsia="Arial" w:hAnsi="Arial"/>
                <w:b w:val="false"/>
                <w:bCs w:val="false"/>
                <w:i w:val="false"/>
                <w:iCs w:val="false"/>
                <w:color w:val="222222"/>
                <w:sz w:val="19"/>
                <w:szCs w:val="19"/>
              </w:rPr>
              <w:t xml:space="preserve">Customer Fragmentation — 5,044 customers average only $28.10 in total two-year spend. Low lifetime value and high atomisation increase cost-to-serve relative to revenue generated.</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70"/>
              <w:left w:type="dxa" w:w="180"/>
              <w:bottom w:type="dxa" w:w="70"/>
              <w:right w:type="dxa" w:w="180"/>
            </w:tcMar>
            <w:vAlign w:val="top"/>
          </w:tcPr>
          <w:p>
            <w:pPr>
              <w:spacing w:after="80" w:before="0"/>
              <w:jc w:val="left"/>
            </w:pPr>
            <w:r>
              <w:rPr>
                <w:rFonts w:ascii="Arial" w:cs="Arial" w:eastAsia="Arial" w:hAnsi="Arial"/>
                <w:b/>
                <w:bCs/>
                <w:i w:val="false"/>
                <w:iCs w:val="false"/>
                <w:color w:val="FFFFFF"/>
                <w:sz w:val="20"/>
                <w:szCs w:val="20"/>
              </w:rPr>
              <w:t xml:space="preserve">6  |  Policy Recommendations</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none" w:color="FFFFFF" w:sz="0"/>
              <w:left w:val="none" w:color="FFFFFF" w:sz="0"/>
              <w:bottom w:val="none" w:color="FFFFFF" w:sz="0"/>
              <w:right w:val="none" w:color="FFFFFF" w:sz="0"/>
            </w:tcBorders>
            <w:shd w:fill="1B3A6B"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Priority</w:t>
            </w:r>
          </w:p>
        </w:tc>
        <w:tc>
          <w:tcPr>
            <w:tcW w:type="dxa" w:w="5560"/>
            <w:tcBorders>
              <w:top w:val="none" w:color="FFFFFF" w:sz="0"/>
              <w:left w:val="none" w:color="FFFFFF" w:sz="0"/>
              <w:bottom w:val="none" w:color="FFFFFF" w:sz="0"/>
              <w:right w:val="none" w:color="FFFFFF" w:sz="0"/>
            </w:tcBorders>
            <w:shd w:fill="1B3A6B" w:val="clear"/>
            <w:tcMar>
              <w:top w:type="dxa" w:w="55"/>
              <w:left w:type="dxa" w:w="120"/>
              <w:bottom w:type="dxa" w:w="55"/>
              <w:right w:type="dxa" w:w="80"/>
            </w:tcMar>
            <w:vAlign w:val="top"/>
          </w:tcPr>
          <w:p>
            <w:pPr>
              <w:spacing w:after="80" w:before="0"/>
              <w:jc w:val="left"/>
            </w:pPr>
            <w:r>
              <w:rPr>
                <w:rFonts w:ascii="Arial" w:cs="Arial" w:eastAsia="Arial" w:hAnsi="Arial"/>
                <w:b/>
                <w:bCs/>
                <w:i w:val="false"/>
                <w:iCs w:val="false"/>
                <w:color w:val="FFFFFF"/>
                <w:sz w:val="18"/>
                <w:szCs w:val="18"/>
              </w:rPr>
              <w:t xml:space="preserve">Recommendation</w:t>
            </w:r>
          </w:p>
        </w:tc>
        <w:tc>
          <w:tcPr>
            <w:tcW w:type="dxa" w:w="3000"/>
            <w:tcBorders>
              <w:top w:val="none" w:color="FFFFFF" w:sz="0"/>
              <w:left w:val="none" w:color="FFFFFF" w:sz="0"/>
              <w:bottom w:val="none" w:color="FFFFFF" w:sz="0"/>
              <w:right w:val="none" w:color="FFFFFF" w:sz="0"/>
            </w:tcBorders>
            <w:shd w:fill="1B3A6B" w:val="clear"/>
            <w:tcMar>
              <w:top w:type="dxa" w:w="55"/>
              <w:left w:type="dxa" w:w="80"/>
              <w:bottom w:type="dxa" w:w="55"/>
              <w:right w:type="dxa" w:w="120"/>
            </w:tcMar>
            <w:vAlign w:val="top"/>
          </w:tcPr>
          <w:p>
            <w:pPr>
              <w:spacing w:after="80" w:before="0"/>
              <w:jc w:val="left"/>
            </w:pPr>
            <w:r>
              <w:rPr>
                <w:rFonts w:ascii="Arial" w:cs="Arial" w:eastAsia="Arial" w:hAnsi="Arial"/>
                <w:b/>
                <w:bCs/>
                <w:i w:val="false"/>
                <w:iCs w:val="false"/>
                <w:color w:val="FFFFFF"/>
                <w:sz w:val="18"/>
                <w:szCs w:val="18"/>
              </w:rPr>
              <w:t xml:space="preserve">Impact</w:t>
            </w:r>
          </w:p>
        </w:tc>
      </w:tr>
      <w:tr>
        <w:tc>
          <w:tcPr>
            <w:tcW w:type="dxa" w:w="800"/>
            <w:tcBorders>
              <w:top w:val="single" w:color="DDDDDD" w:sz="2"/>
              <w:left w:val="single" w:color="DDDDDD" w:sz="2"/>
              <w:bottom w:val="single" w:color="DDDDDD" w:sz="2"/>
              <w:right w:val="single" w:color="DDDDDD" w:sz="2"/>
            </w:tcBorders>
            <w:shd w:fill="C0392B"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HIGH</w:t>
            </w:r>
          </w:p>
        </w:tc>
        <w:tc>
          <w:tcPr>
            <w:tcW w:type="dxa" w:w="5560"/>
            <w:tcBorders>
              <w:top w:val="single" w:color="DDDDDD" w:sz="2"/>
              <w:left w:val="single" w:color="DDDDDD" w:sz="2"/>
              <w:bottom w:val="single" w:color="DDDDDD" w:sz="2"/>
              <w:right w:val="single" w:color="DDDDDD" w:sz="2"/>
            </w:tcBorders>
            <w:shd w:fill="FFFFFF"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Reprice or exit Kazookles (7.7% gross margin)</w:t>
            </w:r>
          </w:p>
        </w:tc>
        <w:tc>
          <w:tcPr>
            <w:tcW w:type="dxa" w:w="3000"/>
            <w:tcBorders>
              <w:top w:val="single" w:color="DDDDDD" w:sz="2"/>
              <w:left w:val="single" w:color="DDDDDD" w:sz="2"/>
              <w:bottom w:val="single" w:color="DDDDDD" w:sz="2"/>
              <w:right w:val="single" w:color="DDDDDD" w:sz="2"/>
            </w:tcBorders>
            <w:shd w:fill="FFFFFF"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Immediate margin recovery</w:t>
            </w:r>
          </w:p>
        </w:tc>
      </w:tr>
      <w:tr>
        <w:tc>
          <w:tcPr>
            <w:tcW w:type="dxa" w:w="800"/>
            <w:tcBorders>
              <w:top w:val="single" w:color="DDDDDD" w:sz="2"/>
              <w:left w:val="single" w:color="DDDDDD" w:sz="2"/>
              <w:bottom w:val="single" w:color="DDDDDD" w:sz="2"/>
              <w:right w:val="single" w:color="DDDDDD" w:sz="2"/>
            </w:tcBorders>
            <w:shd w:fill="C0392B"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HIGH</w:t>
            </w:r>
          </w:p>
        </w:tc>
        <w:tc>
          <w:tcPr>
            <w:tcW w:type="dxa" w:w="5560"/>
            <w:tcBorders>
              <w:top w:val="single" w:color="DDDDDD" w:sz="2"/>
              <w:left w:val="single" w:color="DDDDDD" w:sz="2"/>
              <w:bottom w:val="single" w:color="DDDDDD" w:sz="2"/>
              <w:right w:val="single" w:color="DDDDDD" w:sz="2"/>
            </w:tcBorders>
            <w:shd w:fill="F2F5F9"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Expand Everlasting Gobstopper — 80% margin, only 13 units sold</w:t>
            </w:r>
          </w:p>
        </w:tc>
        <w:tc>
          <w:tcPr>
            <w:tcW w:type="dxa" w:w="3000"/>
            <w:tcBorders>
              <w:top w:val="single" w:color="DDDDDD" w:sz="2"/>
              <w:left w:val="single" w:color="DDDDDD" w:sz="2"/>
              <w:bottom w:val="single" w:color="DDDDDD" w:sz="2"/>
              <w:right w:val="single" w:color="DDDDDD" w:sz="2"/>
            </w:tcBorders>
            <w:shd w:fill="F2F5F9"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High-value volume upside</w:t>
            </w:r>
          </w:p>
        </w:tc>
      </w:tr>
      <w:tr>
        <w:tc>
          <w:tcPr>
            <w:tcW w:type="dxa" w:w="800"/>
            <w:tcBorders>
              <w:top w:val="single" w:color="DDDDDD" w:sz="2"/>
              <w:left w:val="single" w:color="DDDDDD" w:sz="2"/>
              <w:bottom w:val="single" w:color="DDDDDD" w:sz="2"/>
              <w:right w:val="single" w:color="DDDDDD" w:sz="2"/>
            </w:tcBorders>
            <w:shd w:fill="8B6000"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MED</w:t>
            </w:r>
          </w:p>
        </w:tc>
        <w:tc>
          <w:tcPr>
            <w:tcW w:type="dxa" w:w="5560"/>
            <w:tcBorders>
              <w:top w:val="single" w:color="DDDDDD" w:sz="2"/>
              <w:left w:val="single" w:color="DDDDDD" w:sz="2"/>
              <w:bottom w:val="single" w:color="DDDDDD" w:sz="2"/>
              <w:right w:val="single" w:color="DDDDDD" w:sz="2"/>
            </w:tcBorders>
            <w:shd w:fill="FFFFFF"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Target Gulf region with dedicated distribution programme</w:t>
            </w:r>
          </w:p>
        </w:tc>
        <w:tc>
          <w:tcPr>
            <w:tcW w:type="dxa" w:w="3000"/>
            <w:tcBorders>
              <w:top w:val="single" w:color="DDDDDD" w:sz="2"/>
              <w:left w:val="single" w:color="DDDDDD" w:sz="2"/>
              <w:bottom w:val="single" w:color="DDDDDD" w:sz="2"/>
              <w:right w:val="single" w:color="DDDDDD" w:sz="2"/>
            </w:tcBorders>
            <w:shd w:fill="FFFFFF"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15.7% to 25%+ share goal</w:t>
            </w:r>
          </w:p>
        </w:tc>
      </w:tr>
      <w:tr>
        <w:tc>
          <w:tcPr>
            <w:tcW w:type="dxa" w:w="800"/>
            <w:tcBorders>
              <w:top w:val="single" w:color="DDDDDD" w:sz="2"/>
              <w:left w:val="single" w:color="DDDDDD" w:sz="2"/>
              <w:bottom w:val="single" w:color="DDDDDD" w:sz="2"/>
              <w:right w:val="single" w:color="DDDDDD" w:sz="2"/>
            </w:tcBorders>
            <w:shd w:fill="8B6000"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MED</w:t>
            </w:r>
          </w:p>
        </w:tc>
        <w:tc>
          <w:tcPr>
            <w:tcW w:type="dxa" w:w="5560"/>
            <w:tcBorders>
              <w:top w:val="single" w:color="DDDDDD" w:sz="2"/>
              <w:left w:val="single" w:color="DDDDDD" w:sz="2"/>
              <w:bottom w:val="single" w:color="DDDDDD" w:sz="2"/>
              <w:right w:val="single" w:color="DDDDDD" w:sz="2"/>
            </w:tcBorders>
            <w:shd w:fill="F2F5F9"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Introduce multi-product bundle pricing</w:t>
            </w:r>
          </w:p>
        </w:tc>
        <w:tc>
          <w:tcPr>
            <w:tcW w:type="dxa" w:w="3000"/>
            <w:tcBorders>
              <w:top w:val="single" w:color="DDDDDD" w:sz="2"/>
              <w:left w:val="single" w:color="DDDDDD" w:sz="2"/>
              <w:bottom w:val="single" w:color="DDDDDD" w:sz="2"/>
              <w:right w:val="single" w:color="DDDDDD" w:sz="2"/>
            </w:tcBorders>
            <w:shd w:fill="F2F5F9"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+~$28K estimated revenue/yr</w:t>
            </w:r>
          </w:p>
        </w:tc>
      </w:tr>
      <w:tr>
        <w:tc>
          <w:tcPr>
            <w:tcW w:type="dxa" w:w="800"/>
            <w:tcBorders>
              <w:top w:val="single" w:color="DDDDDD" w:sz="2"/>
              <w:left w:val="single" w:color="DDDDDD" w:sz="2"/>
              <w:bottom w:val="single" w:color="DDDDDD" w:sz="2"/>
              <w:right w:val="single" w:color="DDDDDD" w:sz="2"/>
            </w:tcBorders>
            <w:shd w:fill="1D6E5E"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LOW</w:t>
            </w:r>
          </w:p>
        </w:tc>
        <w:tc>
          <w:tcPr>
            <w:tcW w:type="dxa" w:w="5560"/>
            <w:tcBorders>
              <w:top w:val="single" w:color="DDDDDD" w:sz="2"/>
              <w:left w:val="single" w:color="DDDDDD" w:sz="2"/>
              <w:bottom w:val="single" w:color="DDDDDD" w:sz="2"/>
              <w:right w:val="single" w:color="DDDDDD" w:sz="2"/>
            </w:tcBorders>
            <w:shd w:fill="FFFFFF"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Diversify supplier and brand base beyond Wonka dependency</w:t>
            </w:r>
          </w:p>
        </w:tc>
        <w:tc>
          <w:tcPr>
            <w:tcW w:type="dxa" w:w="3000"/>
            <w:tcBorders>
              <w:top w:val="single" w:color="DDDDDD" w:sz="2"/>
              <w:left w:val="single" w:color="DDDDDD" w:sz="2"/>
              <w:bottom w:val="single" w:color="DDDDDD" w:sz="2"/>
              <w:right w:val="single" w:color="DDDDDD" w:sz="2"/>
            </w:tcBorders>
            <w:shd w:fill="FFFFFF"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Reduce concentration risk</w:t>
            </w:r>
          </w:p>
        </w:tc>
      </w:tr>
      <w:tr>
        <w:tc>
          <w:tcPr>
            <w:tcW w:type="dxa" w:w="800"/>
            <w:tcBorders>
              <w:top w:val="single" w:color="DDDDDD" w:sz="2"/>
              <w:left w:val="single" w:color="DDDDDD" w:sz="2"/>
              <w:bottom w:val="single" w:color="DDDDDD" w:sz="2"/>
              <w:right w:val="single" w:color="DDDDDD" w:sz="2"/>
            </w:tcBorders>
            <w:shd w:fill="1D6E5E" w:val="clear"/>
            <w:tcMar>
              <w:top w:type="dxa" w:w="55"/>
              <w:left w:type="dxa" w:w="40"/>
              <w:bottom w:type="dxa" w:w="55"/>
              <w:right w:type="dxa" w:w="40"/>
            </w:tcMar>
            <w:vAlign w:val="top"/>
          </w:tcPr>
          <w:p>
            <w:pPr>
              <w:spacing w:after="80" w:before="0"/>
              <w:jc w:val="center"/>
            </w:pPr>
            <w:r>
              <w:rPr>
                <w:rFonts w:ascii="Arial" w:cs="Arial" w:eastAsia="Arial" w:hAnsi="Arial"/>
                <w:b/>
                <w:bCs/>
                <w:i w:val="false"/>
                <w:iCs w:val="false"/>
                <w:color w:val="FFFFFF"/>
                <w:sz w:val="18"/>
                <w:szCs w:val="18"/>
              </w:rPr>
              <w:t xml:space="preserve">LOW</w:t>
            </w:r>
          </w:p>
        </w:tc>
        <w:tc>
          <w:tcPr>
            <w:tcW w:type="dxa" w:w="5560"/>
            <w:tcBorders>
              <w:top w:val="single" w:color="DDDDDD" w:sz="2"/>
              <w:left w:val="single" w:color="DDDDDD" w:sz="2"/>
              <w:bottom w:val="single" w:color="DDDDDD" w:sz="2"/>
              <w:right w:val="single" w:color="DDDDDD" w:sz="2"/>
            </w:tcBorders>
            <w:shd w:fill="F2F5F9" w:val="clear"/>
            <w:tcMar>
              <w:top w:type="dxa" w:w="55"/>
              <w:left w:type="dxa" w:w="120"/>
              <w:bottom w:type="dxa" w:w="55"/>
              <w:right w:type="dxa" w:w="80"/>
            </w:tcMar>
            <w:vAlign w:val="top"/>
          </w:tcPr>
          <w:p>
            <w:pPr>
              <w:spacing w:after="80" w:before="0"/>
              <w:jc w:val="left"/>
            </w:pPr>
            <w:r>
              <w:rPr>
                <w:rFonts w:ascii="Arial" w:cs="Arial" w:eastAsia="Arial" w:hAnsi="Arial"/>
                <w:b w:val="false"/>
                <w:bCs w:val="false"/>
                <w:i w:val="false"/>
                <w:iCs w:val="false"/>
                <w:color w:val="111111"/>
                <w:sz w:val="19"/>
                <w:szCs w:val="19"/>
              </w:rPr>
              <w:t xml:space="preserve">Implement Q4 inventory pre-commitment (3–4 months ahead)</w:t>
            </w:r>
          </w:p>
        </w:tc>
        <w:tc>
          <w:tcPr>
            <w:tcW w:type="dxa" w:w="3000"/>
            <w:tcBorders>
              <w:top w:val="single" w:color="DDDDDD" w:sz="2"/>
              <w:left w:val="single" w:color="DDDDDD" w:sz="2"/>
              <w:bottom w:val="single" w:color="DDDDDD" w:sz="2"/>
              <w:right w:val="single" w:color="DDDDDD" w:sz="2"/>
            </w:tcBorders>
            <w:shd w:fill="F2F5F9" w:val="clear"/>
            <w:tcMar>
              <w:top w:type="dxa" w:w="55"/>
              <w:left w:type="dxa" w:w="80"/>
              <w:bottom w:type="dxa" w:w="55"/>
              <w:right w:type="dxa" w:w="120"/>
            </w:tcMar>
            <w:vAlign w:val="top"/>
          </w:tcPr>
          <w:p>
            <w:pPr>
              <w:spacing w:after="80" w:before="0"/>
              <w:jc w:val="left"/>
            </w:pPr>
            <w:r>
              <w:rPr>
                <w:rFonts w:ascii="Arial" w:cs="Arial" w:eastAsia="Arial" w:hAnsi="Arial"/>
                <w:b w:val="false"/>
                <w:bCs w:val="false"/>
                <w:i w:val="false"/>
                <w:iCs w:val="false"/>
                <w:color w:val="4A5568"/>
                <w:sz w:val="19"/>
                <w:szCs w:val="19"/>
              </w:rPr>
              <w:t xml:space="preserve">Avoid peak-season stockouts</w:t>
            </w:r>
          </w:p>
        </w:tc>
      </w:tr>
    </w:tbl>
    <w:p>
      <w:pPr>
        <w:spacing w:after="80" w:before="0"/>
        <w:jc w:val="left"/>
      </w:pPr>
      <w:r>
        <w:rPr>
          <w:rFonts w:ascii="Arial" w:cs="Arial" w:eastAsia="Arial" w:hAnsi="Arial"/>
          <w:b w:val="false"/>
          <w:bCs w:val="false"/>
          <w:i w:val="false"/>
          <w:iCs w:val="false"/>
          <w:color w:val="111111"/>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AE8" w:sz="3"/>
              <w:left w:val="single" w:color="D0DAE8" w:sz="3"/>
              <w:bottom w:val="single" w:color="D0DAE8" w:sz="3"/>
              <w:right w:val="single" w:color="D0DAE8" w:sz="3"/>
            </w:tcBorders>
            <w:shd w:fill="F2F5F9" w:val="clear"/>
            <w:tcMar>
              <w:top w:type="dxa" w:w="120"/>
              <w:left w:type="dxa" w:w="180"/>
              <w:bottom w:type="dxa" w:w="120"/>
              <w:right w:type="dxa" w:w="180"/>
            </w:tcMar>
            <w:vAlign w:val="top"/>
          </w:tcPr>
          <w:p>
            <w:pPr>
              <w:spacing w:after="60" w:before="0"/>
              <w:jc w:val="left"/>
            </w:pPr>
            <w:r>
              <w:rPr>
                <w:rFonts w:ascii="Arial" w:cs="Arial" w:eastAsia="Arial" w:hAnsi="Arial"/>
                <w:b/>
                <w:bCs/>
                <w:i w:val="false"/>
                <w:iCs w:val="false"/>
                <w:color w:val="1B3A6B"/>
                <w:sz w:val="19"/>
                <w:szCs w:val="19"/>
              </w:rPr>
              <w:t xml:space="preserve">DATA NOTES</w:t>
            </w:r>
          </w:p>
          <w:p>
            <w:pPr>
              <w:spacing w:after="80" w:before="0"/>
              <w:jc w:val="left"/>
            </w:pPr>
            <w:r>
              <w:rPr>
                <w:rFonts w:ascii="Arial" w:cs="Arial" w:eastAsia="Arial" w:hAnsi="Arial"/>
                <w:b w:val="false"/>
                <w:bCs w:val="false"/>
                <w:i/>
                <w:iCs/>
                <w:color w:val="4A5568"/>
                <w:sz w:val="17"/>
                <w:szCs w:val="17"/>
              </w:rPr>
              <w:t xml:space="preserve">Source: Nassau Candy Distributor internal sales system  |  Records: 10,194  |  Period: Jan 2024 – Dec 2025  |  Completeness: 100%  |  Currency: USD (nominal)  |  Margin: Gross Profit / Revenue — excludes SG&amp;A and tax.</w:t>
            </w:r>
          </w:p>
        </w:tc>
      </w:tr>
    </w:tbl>
    <w:sectPr>
      <w:headerReference w:type="default" r:id="rId7"/>
      <w:footerReference w:type="default" r:id="rId8"/>
      <w:pgSz w:w="12240" w:h="15840" w:orient="portrait"/>
      <w:pgMar w:top="820" w:right="900" w:bottom="8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80" w:before="60"/>
      <w:jc w:val="center"/>
    </w:pPr>
    <w:r>
      <w:rPr>
        <w:rFonts w:ascii="Arial" w:cs="Arial" w:eastAsia="Arial" w:hAnsi="Arial"/>
        <w:b w:val="false"/>
        <w:bCs w:val="false"/>
        <w:i w:val="false"/>
        <w:iCs w:val="false"/>
        <w:color w:val="999999"/>
        <w:sz w:val="16"/>
        <w:szCs w:val="16"/>
      </w:rPr>
      <w:t xml:space="preserve">Nassau Candy Distributor  |  Government Summary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2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40"/>
      <w:gridCol w:w="2520"/>
    </w:tblGrid>
    <w:tr>
      <w:tc>
        <w:tcPr>
          <w:tcW w:type="dxa" w:w="6840"/>
          <w:tcBorders>
            <w:top w:val="none" w:color="FFFFFF" w:sz="0"/>
            <w:left w:val="none" w:color="FFFFFF" w:sz="0"/>
            <w:bottom w:val="none" w:color="FFFFFF" w:sz="0"/>
            <w:right w:val="none" w:color="FFFFFF" w:sz="0"/>
          </w:tcBorders>
          <w:shd w:fill="1B3A6B" w:val="clear"/>
          <w:tcMar>
            <w:top w:type="dxa" w:w="80"/>
            <w:left w:type="dxa" w:w="200"/>
            <w:bottom w:type="dxa" w:w="80"/>
            <w:right w:type="dxa" w:w="80"/>
          </w:tcMar>
          <w:vAlign w:val="top"/>
        </w:tcPr>
        <w:p>
          <w:pPr>
            <w:spacing w:after="80" w:before="0"/>
            <w:jc w:val="left"/>
          </w:pPr>
          <w:r>
            <w:rPr>
              <w:rFonts w:ascii="Arial" w:cs="Arial" w:eastAsia="Arial" w:hAnsi="Arial"/>
              <w:b/>
              <w:bCs/>
              <w:i w:val="false"/>
              <w:iCs w:val="false"/>
              <w:color w:val="FFFFFF"/>
              <w:sz w:val="22"/>
              <w:szCs w:val="22"/>
            </w:rPr>
            <w:t xml:space="preserve">NASSAU CANDY DISTRIBUTOR</w:t>
          </w:r>
        </w:p>
        <w:p>
          <w:pPr>
            <w:spacing w:after="80" w:before="0"/>
            <w:jc w:val="left"/>
          </w:pPr>
          <w:r>
            <w:rPr>
              <w:rFonts w:ascii="Arial" w:cs="Arial" w:eastAsia="Arial" w:hAnsi="Arial"/>
              <w:b w:val="false"/>
              <w:bCs w:val="false"/>
              <w:i w:val="false"/>
              <w:iCs w:val="false"/>
              <w:color w:val="AADDC8"/>
              <w:sz w:val="17"/>
              <w:szCs w:val="17"/>
            </w:rPr>
            <w:t xml:space="preserve">Government Stakeholder Summary</w:t>
          </w:r>
        </w:p>
      </w:tc>
      <w:tc>
        <w:tcPr>
          <w:tcW w:type="dxa" w:w="2520"/>
          <w:tcBorders>
            <w:top w:val="none" w:color="FFFFFF" w:sz="0"/>
            <w:left w:val="none" w:color="FFFFFF" w:sz="0"/>
            <w:bottom w:val="none" w:color="FFFFFF" w:sz="0"/>
            <w:right w:val="none" w:color="FFFFFF" w:sz="0"/>
          </w:tcBorders>
          <w:shd w:fill="1D6E5E" w:val="clear"/>
          <w:tcMar>
            <w:top w:type="dxa" w:w="80"/>
            <w:left w:type="dxa" w:w="80"/>
            <w:bottom w:type="dxa" w:w="80"/>
            <w:right w:type="dxa" w:w="200"/>
          </w:tcMar>
          <w:vAlign w:val="top"/>
        </w:tcPr>
        <w:p>
          <w:pPr>
            <w:spacing w:after="80" w:before="0"/>
            <w:jc w:val="right"/>
          </w:pPr>
          <w:r>
            <w:rPr>
              <w:rFonts w:ascii="Arial" w:cs="Arial" w:eastAsia="Arial" w:hAnsi="Arial"/>
              <w:b w:val="false"/>
              <w:bCs w:val="false"/>
              <w:i w:val="false"/>
              <w:iCs w:val="false"/>
              <w:color w:val="AADDC8"/>
              <w:sz w:val="17"/>
              <w:szCs w:val="17"/>
            </w:rPr>
            <w:t xml:space="preserve">Fiscal Period: 2024–2025</w:t>
          </w:r>
        </w:p>
        <w:p>
          <w:pPr>
            <w:spacing w:after="80" w:before="0"/>
            <w:jc w:val="right"/>
          </w:pPr>
          <w:r>
            <w:rPr>
              <w:rFonts w:ascii="Arial" w:cs="Arial" w:eastAsia="Arial" w:hAnsi="Arial"/>
              <w:b/>
              <w:bCs/>
              <w:i w:val="false"/>
              <w:iCs w:val="false"/>
              <w:color w:val="FFFFFF"/>
              <w:sz w:val="19"/>
              <w:szCs w:val="19"/>
            </w:rPr>
            <w:t xml:space="preserve">Classification: Public Release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2026-04-27T08:09:32.426Z</dcterms:created>
  <dcterms:modified xsi:type="dcterms:W3CDTF">2026-04-27T08:09:32.427Z</dcterms:modified>
</cp:coreProperties>
</file>

<file path=docProps/custom.xml><?xml version="1.0" encoding="utf-8"?>
<Properties xmlns="http://schemas.openxmlformats.org/officeDocument/2006/custom-properties" xmlns:vt="http://schemas.openxmlformats.org/officeDocument/2006/docPropsVTypes"/>
</file>