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B3355" w:rsidP="66DC4736" w:rsidRDefault="00000000" w14:paraId="2FC593E4" w14:textId="334FE6E7">
      <w:pPr>
        <w:spacing w:before="120" w:after="8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drawing>
          <wp:inline>
            <wp:extent cx="1691640" cy="1060858"/>
            <wp:docPr id="11750483" name="Picture 1175048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691640" cy="1060858"/>
                    </a:xfrm>
                    <a:prstGeom prst="rect"/>
                  </pic:spPr>
                </pic:pic>
              </a:graphicData>
            </a:graphic>
          </wp:inline>
        </w:drawing>
      </w:r>
    </w:p>
    <w:p w:rsidR="007B3355" w:rsidP="66DC4736" w:rsidRDefault="00000000" w14:paraId="7E593D8F" w14:textId="70A7E6E4">
      <w:pPr>
        <w:spacing w:before="12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t>Department of Artificial Intelligence and Machine Learning</w:t>
      </w:r>
    </w:p>
    <w:p w:rsidR="007B3355" w:rsidP="66DC4736" w:rsidRDefault="00000000" w14:paraId="4A0A70FB" w14:textId="57087FE3">
      <w:pPr>
        <w:spacing w:before="0" w:after="0" w:line="20" w:lineRule="exact"/>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
    <w:p w:rsidR="007B3355" w:rsidP="66DC4736" w:rsidRDefault="00000000" w14:paraId="2F92AEF6" w14:textId="2AAD2C80">
      <w:pPr>
        <w:spacing w:before="12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t>AIML · 7th Semester</w:t>
      </w:r>
    </w:p>
    <w:p w:rsidR="007B3355" w:rsidP="66DC4736" w:rsidRDefault="00000000" w14:paraId="49C2A069" w14:textId="631F9BCB">
      <w:pPr>
        <w:spacing w:before="400" w:after="120"/>
        <w:jc w:val="center"/>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pPr>
      <w:r>
        <w:t>PROJECT REPORT</w:t>
      </w:r>
    </w:p>
    <w:p w:rsidR="007B3355" w:rsidP="66DC4736" w:rsidRDefault="00000000" w14:paraId="6427C615" w14:textId="0D11BCEB">
      <w:pPr>
        <w:pStyle w:val="Title"/>
        <w:spacing w:after="160" w:afterAutospacing="off" w:before="80"/>
        <w:jc w:val="center"/>
        <w:rPr>
          <w:rFonts w:ascii="Times New Roman" w:hAnsi="Times New Roman" w:eastAsia="Times New Roman" w:cs="Times New Roman"/>
          <w:b w:val="1"/>
          <w:bCs w:val="1"/>
          <w:i w:val="0"/>
          <w:iCs w:val="0"/>
          <w:caps w:val="0"/>
          <w:smallCaps w:val="0"/>
          <w:noProof w:val="0"/>
          <w:color w:val="000000" w:themeColor="text1" w:themeTint="FF" w:themeShade="FF"/>
          <w:sz w:val="44"/>
          <w:szCs w:val="44"/>
          <w:lang w:val="en-US"/>
        </w:rPr>
      </w:pPr>
      <w:r>
        <w:rPr>
          <w:rFonts w:ascii="Manrope" w:hAnsi="Manrope"/>
          <w:b/>
          <w:color w:val="143727"/>
          <w:sz w:val="72"/>
        </w:rPr>
        <w:t>WasteVision AI</w:t>
      </w:r>
    </w:p>
    <w:p w:rsidR="007B3355" w:rsidP="66DC4736" w:rsidRDefault="00000000" w14:paraId="285E3094" w14:textId="67531C1E">
      <w:pPr>
        <w:spacing w:after="280" w:afterAutospacing="off"/>
        <w:jc w:val="center"/>
        <w:rPr>
          <w:rFonts w:ascii="Times New Roman" w:hAnsi="Times New Roman" w:eastAsia="Times New Roman" w:cs="Times New Roman"/>
          <w:b w:val="1"/>
          <w:bCs w:val="1"/>
          <w:i w:val="0"/>
          <w:iCs w:val="0"/>
          <w:caps w:val="0"/>
          <w:smallCaps w:val="0"/>
          <w:noProof w:val="0"/>
          <w:color w:val="000000" w:themeColor="text1" w:themeTint="FF" w:themeShade="FF"/>
          <w:sz w:val="44"/>
          <w:szCs w:val="44"/>
          <w:lang w:val="en-US"/>
        </w:rPr>
      </w:pPr>
      <w:r>
        <w:t>Waste Recognition, Sorting Guidance, and Cleanup Prioritization</w:t>
      </w:r>
    </w:p>
    <w:p w:rsidR="007B3355" w:rsidP="66DC4736" w:rsidRDefault="00000000" w14:paraId="0F0C2BEE" w14:textId="3F20C8C7">
      <w:pPr>
        <w:spacing w:after="0" w:before="0" w:line="20" w:lineRule="exact"/>
        <w:jc w:val="center"/>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p>
    <w:p w:rsidR="007B3355" w:rsidP="66DC4736" w:rsidRDefault="00000000" w14:paraId="60D85B0A" w14:textId="13A911D8">
      <w:pPr>
        <w:spacing w:before="0" w:after="0" w:line="20" w:lineRule="exac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tbl>
      <w:tblPr>
        <w:tblStyle w:val="TableNormal"/>
        <w:bidiVisual w:val="0"/>
        <w:tblW w:w="0" w:type="auto"/>
        <w:jc w:val="center"/>
        <w:tblBorders>
          <w:top w:val="single" w:sz="6"/>
          <w:left w:val="single" w:sz="6"/>
          <w:bottom w:val="single" w:sz="6"/>
          <w:right w:val="single" w:sz="6"/>
        </w:tblBorders>
        <w:tblLook w:val="04A0" w:firstRow="1" w:lastRow="0" w:firstColumn="1" w:lastColumn="0" w:noHBand="0" w:noVBand="1"/>
      </w:tblPr>
      <w:tblGrid>
        <w:gridCol w:w="2790"/>
        <w:gridCol w:w="7095"/>
      </w:tblGrid>
      <w:tr w:rsidR="66DC4736" w:rsidTr="66DC4736" w14:paraId="0FF2DE88">
        <w:trPr>
          <w:trHeight w:val="300"/>
        </w:trPr>
        <w:tc>
          <w:tcPr>
            <w:tcW w:w="2790" w:type="dxa"/>
            <w:tcBorders>
              <w:top w:val="single" w:color="C9D9CE" w:sz="5"/>
              <w:left w:val="single" w:color="C9D9CE" w:sz="5"/>
              <w:bottom w:val="single" w:color="C9D9CE" w:sz="5"/>
              <w:right w:val="single" w:color="C9D9CE" w:sz="5"/>
              <w:insideH w:val="single" w:sz="5" w:color="C9D9CE"/>
              <w:insideV w:val="single" w:sz="5" w:color="C9D9CE"/>
            </w:tcBorders>
            <w:tcMar>
              <w:top w:w="75" w:type="dxa"/>
              <w:left w:w="120" w:type="dxa"/>
              <w:bottom w:w="75" w:type="dxa"/>
              <w:right w:w="120" w:type="dxa"/>
            </w:tcMar>
            <w:vAlign w:val="center"/>
            <w:shd w:fill="F3F8F4"/>
          </w:tcPr>
          <w:p w:rsidR="66DC4736" w:rsidP="66DC4736" w:rsidRDefault="66DC4736" w14:paraId="2EBAD839" w14:textId="4F0759BC">
            <w:pPr>
              <w:spacing w:before="100" w:after="100"/>
              <w:rPr>
                <w:rFonts w:ascii="Times New Roman" w:hAnsi="Times New Roman" w:eastAsia="Times New Roman" w:cs="Times New Roman"/>
                <w:b w:val="0"/>
                <w:bCs w:val="0"/>
                <w:i w:val="0"/>
                <w:iCs w:val="0"/>
                <w:sz w:val="22"/>
                <w:szCs w:val="22"/>
              </w:rPr>
            </w:pPr>
            <w:r w:rsidRPr="66DC4736" w:rsidR="66DC4736">
              <w:rPr>
                <w:rFonts w:ascii="Times New Roman" w:hAnsi="Times New Roman" w:eastAsia="Times New Roman" w:cs="Times New Roman"/>
                <w:b/>
                <w:bCs w:val="1"/>
                <w:i w:val="0"/>
                <w:iCs w:val="0"/>
                <w:color w:val="1C5339"/>
                <w:sz w:val="20"/>
                <w:szCs w:val="22"/>
                <w:lang w:val="en-US"/>
              </w:rPr>
              <w:t>Project Title</w:t>
            </w:r>
          </w:p>
        </w:tc>
        <w:tc>
          <w:tcPr>
            <w:tcW w:w="7095" w:type="dxa"/>
            <w:tcBorders>
              <w:top w:val="single" w:color="C9D9CE" w:sz="5"/>
              <w:left w:val="single" w:color="C9D9CE" w:sz="5"/>
              <w:bottom w:val="single" w:color="C9D9CE" w:sz="5"/>
              <w:right w:val="single" w:color="C9D9CE" w:sz="5"/>
              <w:insideH w:val="single" w:sz="5" w:color="C9D9CE"/>
              <w:insideV w:val="single" w:sz="5" w:color="C9D9CE"/>
            </w:tcBorders>
            <w:tcMar>
              <w:top w:w="75" w:type="dxa"/>
              <w:left w:w="120" w:type="dxa"/>
              <w:bottom w:w="75" w:type="dxa"/>
              <w:right w:w="120" w:type="dxa"/>
            </w:tcMar>
            <w:vAlign w:val="center"/>
            <w:shd w:fill="F3F8F4"/>
          </w:tcPr>
          <w:p>
            <w:pPr>
              <w:spacing w:before="100" w:after="100"/>
            </w:pPr>
            <w:r>
              <w:rPr>
                <w:sz w:val="20"/>
              </w:rPr>
              <w:t>WasteVision AI</w:t>
            </w:r>
          </w:p>
        </w:tc>
      </w:tr>
      <w:tr w:rsidR="66DC4736" w:rsidTr="66DC4736" w14:paraId="302E9625">
        <w:trPr>
          <w:trHeight w:val="300"/>
        </w:trPr>
        <w:tc>
          <w:tcPr>
            <w:tcW w:w="2790" w:type="dxa"/>
            <w:tcBorders>
              <w:top w:val="single" w:color="C9D9CE" w:sz="5"/>
              <w:left w:val="single" w:color="C9D9CE" w:sz="5"/>
              <w:bottom w:val="single" w:color="C9D9CE" w:sz="5"/>
              <w:right w:val="single" w:color="C9D9CE" w:sz="5"/>
              <w:insideH w:val="single" w:sz="5" w:color="C9D9CE"/>
              <w:insideV w:val="single" w:sz="5" w:color="C9D9CE"/>
            </w:tcBorders>
            <w:tcMar>
              <w:top w:w="75" w:type="dxa"/>
              <w:left w:w="120" w:type="dxa"/>
              <w:bottom w:w="75" w:type="dxa"/>
              <w:right w:w="120" w:type="dxa"/>
            </w:tcMar>
            <w:vAlign w:val="center"/>
          </w:tcPr>
          <w:p w:rsidR="66DC4736" w:rsidP="66DC4736" w:rsidRDefault="66DC4736" w14:paraId="114D9315" w14:textId="216F7B21">
            <w:pPr>
              <w:spacing w:before="100" w:after="100"/>
              <w:rPr>
                <w:rFonts w:ascii="Times New Roman" w:hAnsi="Times New Roman" w:eastAsia="Times New Roman" w:cs="Times New Roman"/>
                <w:b w:val="0"/>
                <w:bCs w:val="0"/>
                <w:i w:val="0"/>
                <w:iCs w:val="0"/>
                <w:sz w:val="22"/>
                <w:szCs w:val="22"/>
              </w:rPr>
            </w:pPr>
            <w:r w:rsidRPr="66DC4736" w:rsidR="66DC4736">
              <w:rPr>
                <w:rFonts w:ascii="Times New Roman" w:hAnsi="Times New Roman" w:eastAsia="Times New Roman" w:cs="Times New Roman"/>
                <w:b/>
                <w:bCs w:val="1"/>
                <w:i w:val="0"/>
                <w:iCs w:val="0"/>
                <w:color w:val="1C5339"/>
                <w:sz w:val="20"/>
                <w:szCs w:val="22"/>
                <w:lang w:val="en-US"/>
              </w:rPr>
              <w:t>Domain</w:t>
            </w:r>
          </w:p>
        </w:tc>
        <w:tc>
          <w:tcPr>
            <w:tcW w:w="7095" w:type="dxa"/>
            <w:tcBorders>
              <w:top w:val="single" w:color="C9D9CE" w:sz="5"/>
              <w:left w:val="single" w:color="C9D9CE" w:sz="5"/>
              <w:bottom w:val="single" w:color="C9D9CE" w:sz="5"/>
              <w:right w:val="single" w:color="C9D9CE" w:sz="5"/>
              <w:insideH w:val="single" w:sz="5" w:color="C9D9CE"/>
              <w:insideV w:val="single" w:sz="5" w:color="C9D9CE"/>
            </w:tcBorders>
            <w:tcMar>
              <w:top w:w="75" w:type="dxa"/>
              <w:left w:w="120" w:type="dxa"/>
              <w:bottom w:w="75" w:type="dxa"/>
              <w:right w:w="120" w:type="dxa"/>
            </w:tcMar>
            <w:vAlign w:val="center"/>
          </w:tcPr>
          <w:p>
            <w:pPr>
              <w:spacing w:before="100" w:after="100"/>
            </w:pPr>
            <w:r>
              <w:rPr>
                <w:sz w:val="20"/>
              </w:rPr>
              <w:t>Environmental sustainability and waste management</w:t>
            </w:r>
          </w:p>
        </w:tc>
      </w:tr>
      <w:tr>
        <w:tc>
          <w:tcPr>
            <w:tcW w:type="dxa" w:w="2790"/>
            <w:tcBorders>
              <w:top w:val="single" w:sz="5" w:color="C9D9CE"/>
              <w:left w:val="single" w:sz="5" w:color="C9D9CE"/>
              <w:bottom w:val="single" w:sz="5" w:color="C9D9CE"/>
              <w:right w:val="single" w:sz="5" w:color="C9D9CE"/>
              <w:insideH w:val="single" w:sz="5" w:color="C9D9CE"/>
              <w:insideV w:val="single" w:sz="5" w:color="C9D9CE"/>
            </w:tcBorders>
            <w:shd w:fill="F3F8F4"/>
            <w:vAlign w:val="center"/>
          </w:tcPr>
          <w:p>
            <w:pPr>
              <w:spacing w:before="100" w:after="100"/>
            </w:pPr>
            <w:r>
              <w:rPr>
                <w:b/>
                <w:color w:val="1C5339"/>
                <w:sz w:val="20"/>
              </w:rPr>
              <w:t>Subject</w:t>
            </w:r>
          </w:p>
        </w:tc>
        <w:tc>
          <w:tcPr>
            <w:tcW w:type="dxa" w:w="7095"/>
            <w:tcBorders>
              <w:top w:val="single" w:sz="5" w:color="C9D9CE"/>
              <w:left w:val="single" w:sz="5" w:color="C9D9CE"/>
              <w:bottom w:val="single" w:sz="5" w:color="C9D9CE"/>
              <w:right w:val="single" w:sz="5" w:color="C9D9CE"/>
              <w:insideH w:val="single" w:sz="5" w:color="C9D9CE"/>
              <w:insideV w:val="single" w:sz="5" w:color="C9D9CE"/>
            </w:tcBorders>
            <w:shd w:fill="F3F8F4"/>
            <w:vAlign w:val="center"/>
          </w:tcPr>
          <w:p>
            <w:r>
              <w:t>Image Analytics using Computer Vision AML23701</w:t>
            </w:r>
          </w:p>
        </w:tc>
      </w:tr>
    </w:tbl>
    <w:p w:rsidR="007B3355" w:rsidP="66DC4736" w:rsidRDefault="00000000" w14:paraId="4EC9004C" w14:textId="4DDB7E48">
      <w:pPr>
        <w:bidi w:val="0"/>
        <w:spacing w:before="0" w:after="0" w:line="20" w:lineRule="exact"/>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07B3355" w:rsidP="66DC4736" w:rsidRDefault="00000000" w14:paraId="0F0C3408" w14:textId="45B03FDF">
      <w:pPr>
        <w:bidi w:val="0"/>
        <w:spacing w:before="120" w:after="12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Pr>
          <w:b/>
          <w:sz w:val="24"/>
        </w:rPr>
        <w:t>Submitted by</w:t>
      </w:r>
      <w:r>
        <w:br/>
      </w:r>
      <w:r>
        <w:rPr>
          <w:sz w:val="22"/>
        </w:rPr>
        <w:t>Guide: Prof. Vijaya Dalawai</w:t>
      </w:r>
    </w:p>
    <w:p w:rsidR="007B3355" w:rsidP="66DC4736" w:rsidRDefault="00000000" w14:paraId="5D5205D8" w14:textId="06821905">
      <w:pPr>
        <w:bidi w:val="0"/>
        <w:spacing w:before="0" w:after="0" w:line="20" w:lineRule="exac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tbl>
      <w:tblPr>
        <w:tblStyle w:val="TableNormal"/>
        <w:bidiVisual w:val="0"/>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4A0" w:firstRow="1" w:lastRow="0" w:firstColumn="1" w:lastColumn="0" w:noHBand="0" w:noVBand="1"/>
      </w:tblPr>
      <w:tblGrid>
        <w:gridCol w:w="690"/>
        <w:gridCol w:w="3285"/>
        <w:gridCol w:w="2790"/>
      </w:tblGrid>
      <w:tr w:rsidR="66DC4736" w:rsidTr="66DC4736" w14:paraId="75F66FBF">
        <w:trPr>
          <w:trHeight w:val="300"/>
        </w:trPr>
        <w:tc>
          <w:tcPr>
            <w:tcW w:w="1800" w:type="dxa"/>
            <w:tcMar>
              <w:top w:w="75" w:type="dxa"/>
              <w:left w:w="120" w:type="dxa"/>
              <w:bottom w:w="75" w:type="dxa"/>
              <w:right w:w="120" w:type="dxa"/>
            </w:tcMar>
            <w:vAlign w:val="center"/>
            <w:tcBorders>
              <w:top w:val="single" w:sz="5" w:color="C9D9CE"/>
              <w:left w:val="single" w:sz="5" w:color="C9D9CE"/>
              <w:bottom w:val="single" w:sz="5" w:color="C9D9CE"/>
              <w:right w:val="single" w:sz="5" w:color="C9D9CE"/>
              <w:insideH w:val="single" w:sz="5" w:color="C9D9CE"/>
              <w:insideV w:val="single" w:sz="5" w:color="C9D9CE"/>
            </w:tcBorders>
            <w:shd w:fill="1D6846"/>
          </w:tcPr>
          <w:p>
            <w:pPr>
              <w:spacing w:before="80" w:after="80"/>
              <w:jc w:val="center"/>
            </w:pPr>
            <w:r>
              <w:rPr>
                <w:b/>
                <w:color w:val="FFFFFF"/>
                <w:sz w:val="20"/>
              </w:rPr>
              <w:t>Team Member</w:t>
            </w:r>
          </w:p>
        </w:tc>
        <w:tc>
          <w:tcPr>
            <w:tcW w:w="4608" w:type="dxa"/>
            <w:tcMar>
              <w:top w:w="75" w:type="dxa"/>
              <w:left w:w="120" w:type="dxa"/>
              <w:bottom w:w="75" w:type="dxa"/>
              <w:right w:w="120" w:type="dxa"/>
            </w:tcMar>
            <w:vAlign w:val="center"/>
            <w:tcBorders>
              <w:top w:val="single" w:sz="5" w:color="C9D9CE"/>
              <w:left w:val="single" w:sz="5" w:color="C9D9CE"/>
              <w:bottom w:val="single" w:sz="5" w:color="C9D9CE"/>
              <w:right w:val="single" w:sz="5" w:color="C9D9CE"/>
              <w:insideH w:val="single" w:sz="5" w:color="C9D9CE"/>
              <w:insideV w:val="single" w:sz="5" w:color="C9D9CE"/>
            </w:tcBorders>
            <w:shd w:fill="1D6846"/>
          </w:tcPr>
          <w:p>
            <w:pPr>
              <w:spacing w:before="80" w:after="80"/>
            </w:pPr>
            <w:r>
              <w:rPr>
                <w:b/>
                <w:color w:val="FFFFFF"/>
                <w:sz w:val="20"/>
              </w:rPr>
              <w:t>Name</w:t>
            </w:r>
          </w:p>
        </w:tc>
        <w:tc>
          <w:tcPr>
            <w:tcW w:w="2880" w:type="dxa"/>
            <w:tcMar>
              <w:top w:w="75" w:type="dxa"/>
              <w:left w:w="120" w:type="dxa"/>
              <w:bottom w:w="75" w:type="dxa"/>
              <w:right w:w="120" w:type="dxa"/>
            </w:tcMar>
            <w:vAlign w:val="center"/>
            <w:tcBorders>
              <w:top w:val="single" w:sz="5" w:color="C9D9CE"/>
              <w:left w:val="single" w:sz="5" w:color="C9D9CE"/>
              <w:bottom w:val="single" w:sz="5" w:color="C9D9CE"/>
              <w:right w:val="single" w:sz="5" w:color="C9D9CE"/>
              <w:insideH w:val="single" w:sz="5" w:color="C9D9CE"/>
              <w:insideV w:val="single" w:sz="5" w:color="C9D9CE"/>
            </w:tcBorders>
            <w:shd w:fill="1D6846"/>
          </w:tcPr>
          <w:p>
            <w:pPr>
              <w:spacing w:before="80" w:after="80"/>
              <w:jc w:val="center"/>
            </w:pPr>
            <w:r>
              <w:rPr>
                <w:b/>
                <w:color w:val="FFFFFF"/>
                <w:sz w:val="20"/>
              </w:rPr>
              <w:t>USN</w:t>
            </w:r>
          </w:p>
        </w:tc>
      </w:tr>
      <w:tr w:rsidR="66DC4736" w:rsidTr="66DC4736" w14:paraId="715FBEA3">
        <w:trPr>
          <w:trHeight w:val="300"/>
        </w:trPr>
        <w:tc>
          <w:tcPr>
            <w:tcW w:w="1800" w:type="dxa"/>
            <w:tcMar>
              <w:top w:w="75" w:type="dxa"/>
              <w:left w:w="120" w:type="dxa"/>
              <w:bottom w:w="75" w:type="dxa"/>
              <w:right w:w="120" w:type="dxa"/>
            </w:tcMar>
            <w:vAlign w:val="center"/>
            <w:tcBorders>
              <w:top w:val="single" w:sz="5" w:color="C9D9CE"/>
              <w:left w:val="single" w:sz="5" w:color="C9D9CE"/>
              <w:bottom w:val="single" w:sz="5" w:color="C9D9CE"/>
              <w:right w:val="single" w:sz="5" w:color="C9D9CE"/>
              <w:insideH w:val="single" w:sz="5" w:color="C9D9CE"/>
              <w:insideV w:val="single" w:sz="5" w:color="C9D9CE"/>
            </w:tcBorders>
          </w:tcPr>
          <w:p w:rsidR="66DC4736" w:rsidP="66DC4736" w:rsidRDefault="66DC4736" w14:paraId="2A7AC586" w14:textId="78E5379A">
            <w:pPr>
              <w:bidi w:val="0"/>
              <w:spacing w:before="80" w:after="80"/>
              <w:jc w:val="center"/>
              <w:rPr>
                <w:rFonts w:ascii="Times New Roman" w:hAnsi="Times New Roman" w:eastAsia="Times New Roman" w:cs="Times New Roman"/>
                <w:b w:val="0"/>
                <w:bCs w:val="0"/>
                <w:i w:val="0"/>
                <w:iCs w:val="0"/>
                <w:sz w:val="22"/>
                <w:szCs w:val="22"/>
              </w:rPr>
            </w:pPr>
            <w:r w:rsidRPr="66DC4736" w:rsidR="66DC4736">
              <w:rPr>
                <w:rFonts w:ascii="Times New Roman" w:hAnsi="Times New Roman" w:eastAsia="Times New Roman" w:cs="Times New Roman"/>
                <w:b w:val="0"/>
                <w:bCs w:val="0"/>
                <w:i w:val="0"/>
                <w:iCs w:val="0"/>
                <w:sz w:val="20"/>
                <w:szCs w:val="22"/>
                <w:lang w:val="en-US"/>
              </w:rPr>
              <w:t>1</w:t>
            </w:r>
          </w:p>
        </w:tc>
        <w:tc>
          <w:tcPr>
            <w:tcW w:w="4608" w:type="dxa"/>
            <w:tcMar>
              <w:top w:w="75" w:type="dxa"/>
              <w:left w:w="120" w:type="dxa"/>
              <w:bottom w:w="75" w:type="dxa"/>
              <w:right w:w="120" w:type="dxa"/>
            </w:tcMar>
            <w:vAlign w:val="center"/>
            <w:tcBorders>
              <w:top w:val="single" w:sz="5" w:color="C9D9CE"/>
              <w:left w:val="single" w:sz="5" w:color="C9D9CE"/>
              <w:bottom w:val="single" w:sz="5" w:color="C9D9CE"/>
              <w:right w:val="single" w:sz="5" w:color="C9D9CE"/>
              <w:insideH w:val="single" w:sz="5" w:color="C9D9CE"/>
              <w:insideV w:val="single" w:sz="5" w:color="C9D9CE"/>
            </w:tcBorders>
          </w:tcPr>
          <w:p>
            <w:pPr>
              <w:spacing w:before="80" w:after="80"/>
            </w:pPr>
            <w:r>
              <w:rPr>
                <w:sz w:val="20"/>
              </w:rPr>
              <w:t>Aditi S Yaranal</w:t>
            </w:r>
          </w:p>
        </w:tc>
        <w:tc>
          <w:tcPr>
            <w:tcW w:w="2880" w:type="dxa"/>
            <w:tcMar>
              <w:top w:w="75" w:type="dxa"/>
              <w:left w:w="120" w:type="dxa"/>
              <w:bottom w:w="75" w:type="dxa"/>
              <w:right w:w="120" w:type="dxa"/>
            </w:tcMar>
            <w:vAlign w:val="center"/>
            <w:tcBorders>
              <w:top w:val="single" w:sz="5" w:color="C9D9CE"/>
              <w:left w:val="single" w:sz="5" w:color="C9D9CE"/>
              <w:bottom w:val="single" w:sz="5" w:color="C9D9CE"/>
              <w:right w:val="single" w:sz="5" w:color="C9D9CE"/>
              <w:insideH w:val="single" w:sz="5" w:color="C9D9CE"/>
              <w:insideV w:val="single" w:sz="5" w:color="C9D9CE"/>
            </w:tcBorders>
          </w:tcPr>
          <w:p>
            <w:pPr>
              <w:spacing w:before="80" w:after="80"/>
              <w:jc w:val="center"/>
            </w:pPr>
            <w:r>
              <w:rPr>
                <w:sz w:val="20"/>
              </w:rPr>
              <w:t>1GA23AI003</w:t>
            </w:r>
          </w:p>
        </w:tc>
      </w:tr>
      <w:tr w:rsidR="66DC4736" w:rsidTr="66DC4736" w14:paraId="1AF08400">
        <w:trPr>
          <w:trHeight w:val="300"/>
        </w:trPr>
        <w:tc>
          <w:tcPr>
            <w:tcW w:w="1800" w:type="dxa"/>
            <w:tcMar>
              <w:top w:w="75" w:type="dxa"/>
              <w:left w:w="120" w:type="dxa"/>
              <w:bottom w:w="75" w:type="dxa"/>
              <w:right w:w="120" w:type="dxa"/>
            </w:tcMar>
            <w:vAlign w:val="center"/>
            <w:tcBorders>
              <w:top w:val="single" w:sz="5" w:color="C9D9CE"/>
              <w:left w:val="single" w:sz="5" w:color="C9D9CE"/>
              <w:bottom w:val="single" w:sz="5" w:color="C9D9CE"/>
              <w:right w:val="single" w:sz="5" w:color="C9D9CE"/>
              <w:insideH w:val="single" w:sz="5" w:color="C9D9CE"/>
              <w:insideV w:val="single" w:sz="5" w:color="C9D9CE"/>
            </w:tcBorders>
            <w:shd w:fill="F3F8F4"/>
          </w:tcPr>
          <w:p w:rsidR="66DC4736" w:rsidP="66DC4736" w:rsidRDefault="66DC4736" w14:paraId="2FB42480" w14:textId="1499A2B1">
            <w:pPr>
              <w:bidi w:val="0"/>
              <w:spacing w:before="80" w:after="80"/>
              <w:jc w:val="center"/>
              <w:rPr>
                <w:rFonts w:ascii="Times New Roman" w:hAnsi="Times New Roman" w:eastAsia="Times New Roman" w:cs="Times New Roman"/>
                <w:b w:val="0"/>
                <w:bCs w:val="0"/>
                <w:i w:val="0"/>
                <w:iCs w:val="0"/>
                <w:sz w:val="22"/>
                <w:szCs w:val="22"/>
              </w:rPr>
            </w:pPr>
            <w:r w:rsidRPr="66DC4736" w:rsidR="66DC4736">
              <w:rPr>
                <w:rFonts w:ascii="Times New Roman" w:hAnsi="Times New Roman" w:eastAsia="Times New Roman" w:cs="Times New Roman"/>
                <w:b w:val="0"/>
                <w:bCs w:val="0"/>
                <w:i w:val="0"/>
                <w:iCs w:val="0"/>
                <w:sz w:val="20"/>
                <w:szCs w:val="22"/>
                <w:lang w:val="en-US"/>
              </w:rPr>
              <w:t>2</w:t>
            </w:r>
          </w:p>
        </w:tc>
        <w:tc>
          <w:tcPr>
            <w:tcW w:w="4608" w:type="dxa"/>
            <w:tcMar>
              <w:top w:w="75" w:type="dxa"/>
              <w:left w:w="120" w:type="dxa"/>
              <w:bottom w:w="75" w:type="dxa"/>
              <w:right w:w="120" w:type="dxa"/>
            </w:tcMar>
            <w:vAlign w:val="center"/>
            <w:tcBorders>
              <w:top w:val="single" w:sz="5" w:color="C9D9CE"/>
              <w:left w:val="single" w:sz="5" w:color="C9D9CE"/>
              <w:bottom w:val="single" w:sz="5" w:color="C9D9CE"/>
              <w:right w:val="single" w:sz="5" w:color="C9D9CE"/>
              <w:insideH w:val="single" w:sz="5" w:color="C9D9CE"/>
              <w:insideV w:val="single" w:sz="5" w:color="C9D9CE"/>
            </w:tcBorders>
            <w:shd w:fill="F3F8F4"/>
          </w:tcPr>
          <w:p>
            <w:pPr>
              <w:spacing w:before="80" w:after="80"/>
            </w:pPr>
            <w:r>
              <w:rPr>
                <w:sz w:val="20"/>
              </w:rPr>
              <w:t>Adhisha Sreedith</w:t>
            </w:r>
          </w:p>
        </w:tc>
        <w:tc>
          <w:tcPr>
            <w:tcW w:w="2880" w:type="dxa"/>
            <w:tcMar>
              <w:top w:w="75" w:type="dxa"/>
              <w:left w:w="120" w:type="dxa"/>
              <w:bottom w:w="75" w:type="dxa"/>
              <w:right w:w="120" w:type="dxa"/>
            </w:tcMar>
            <w:vAlign w:val="center"/>
            <w:tcBorders>
              <w:top w:val="single" w:sz="5" w:color="C9D9CE"/>
              <w:left w:val="single" w:sz="5" w:color="C9D9CE"/>
              <w:bottom w:val="single" w:sz="5" w:color="C9D9CE"/>
              <w:right w:val="single" w:sz="5" w:color="C9D9CE"/>
              <w:insideH w:val="single" w:sz="5" w:color="C9D9CE"/>
              <w:insideV w:val="single" w:sz="5" w:color="C9D9CE"/>
            </w:tcBorders>
            <w:shd w:fill="F3F8F4"/>
          </w:tcPr>
          <w:p>
            <w:pPr>
              <w:spacing w:before="80" w:after="80"/>
              <w:jc w:val="center"/>
            </w:pPr>
            <w:r>
              <w:rPr>
                <w:sz w:val="20"/>
              </w:rPr>
              <w:t>1GA23AI002</w:t>
            </w:r>
          </w:p>
        </w:tc>
      </w:tr>
    </w:tbl>
    <w:p w:rsidR="007B3355" w:rsidP="66DC4736" w:rsidRDefault="00000000" w14:paraId="237102B1" w14:textId="60A2E490">
      <w:pPr>
        <w:pageBreakBefore w:val="0"/>
        <w:bidi w:val="0"/>
        <w:spacing w:before="80" w:after="0"/>
        <w:jc w:val="center"/>
        <w:rPr>
          <w:rFonts w:ascii="Times New Roman" w:hAnsi="Times New Roman" w:eastAsia="Times New Roman" w:cs="Times New Roman"/>
        </w:rPr>
      </w:pPr>
      <w:r>
        <w:rPr>
          <w:sz w:val="18"/>
        </w:rPr>
        <w:t>Department of Artificial Intelligence and Machine Learning · 7th Semester</w:t>
      </w:r>
    </w:p>
    <w:p w:rsidR="007B3355" w:rsidP="66DC4736" w:rsidRDefault="00000000" w14:paraId="06CABF6B" w14:textId="6D5BEA21">
      <w:pPr>
        <w:pStyle w:val="Heading1"/>
        <w:pageBreakBefore/>
        <w:pBdr>
          <w:bottom w:val="single" w:color="B56B6B" w:sz="6" w:space="4"/>
        </w:pBdr>
        <w:spacing w:before="320" w:after="160"/>
        <w:jc w:val="center"/>
        <w:rPr>
          <w:rFonts w:ascii="Times New Roman" w:hAnsi="Times New Roman" w:eastAsia="Times New Roman" w:cs="Times New Roman"/>
          <w:b w:val="1"/>
          <w:bCs w:val="1"/>
          <w:i w:val="0"/>
          <w:iCs w:val="0"/>
          <w:caps w:val="0"/>
          <w:smallCaps w:val="0"/>
          <w:noProof w:val="0"/>
          <w:color w:val="auto"/>
          <w:sz w:val="36"/>
          <w:szCs w:val="36"/>
          <w:lang w:val="en-US"/>
        </w:rPr>
      </w:pPr>
      <w:r w:rsidRPr="66DC4736" w:rsidR="188B855E">
        <w:rPr>
          <w:rFonts w:ascii="Times New Roman" w:hAnsi="Times New Roman" w:eastAsia="Times New Roman" w:cs="Times New Roman"/>
          <w:b/>
          <w:bCs w:val="1"/>
          <w:i w:val="0"/>
          <w:iCs w:val="0"/>
          <w:caps w:val="0"/>
          <w:smallCaps w:val="0"/>
          <w:noProof w:val="0"/>
          <w:color w:val="auto"/>
          <w:sz w:val="40"/>
          <w:szCs w:val="36"/>
          <w:lang w:val="en-US"/>
        </w:rPr>
        <w:t>Table of Contents</w:t>
      </w:r>
    </w:p>
    <w:p>
      <w:pPr>
        <w:pageBreakBefore w:val="0"/>
      </w:pPr>
      <w:r>
        <w:t>1. Project Overview</w:t>
      </w:r>
    </w:p>
    <w:p>
      <w:pPr/>
      <w:r>
        <w:t>2. Input Data and Model Preparation</w:t>
      </w:r>
    </w:p>
    <w:p>
      <w:pPr/>
      <w:r>
        <w:t>3. System Architecture</w:t>
      </w:r>
    </w:p>
    <w:p>
      <w:pPr/>
      <w:r>
        <w:t>4. Implementation Details</w:t>
      </w:r>
    </w:p>
    <w:p>
      <w:pPr/>
      <w:r>
        <w:t>5. Test Sheet: Sample Scenarios and Outputs</w:t>
      </w:r>
    </w:p>
    <w:p>
      <w:pPr/>
      <w:r>
        <w:t>6. Evaluation</w:t>
      </w:r>
    </w:p>
    <w:p>
      <w:pPr/>
      <w:r>
        <w:t>7. Failure Case Analysis</w:t>
      </w:r>
    </w:p>
    <w:p>
      <w:pPr/>
      <w:r>
        <w:t>8. Limitations and Future Scope</w:t>
      </w:r>
    </w:p>
    <w:p>
      <w:pPr/>
      <w:r>
        <w:t>9. Learnings and Reflection</w:t>
      </w:r>
    </w:p>
    <w:p>
      <w:pPr/>
      <w:r>
        <w:t>10. Use of AI Tools Disclosure</w:t>
      </w:r>
    </w:p>
    <w:p>
      <w:pPr/>
      <w:r>
        <w:t>Appendix A. Interface Evidence</w:t>
      </w:r>
    </w:p>
    <w:p w:rsidR="007B3355" w:rsidP="66DC4736" w:rsidRDefault="00000000" w14:paraId="23194503" w14:textId="6B68F51C">
      <w:pPr>
        <w:pStyle w:val="Heading2"/>
        <w:pageBreakBefore/>
        <w:rPr>
          <w:rFonts w:ascii="Times New Roman" w:hAnsi="Times New Roman" w:eastAsia="Times New Roman" w:cs="Times New Roman"/>
        </w:rPr>
      </w:pPr>
      <w:r w:rsidRPr="66DC4736" w:rsidR="2E41A2CF">
        <w:rPr>
          <w:rFonts w:ascii="Times New Roman" w:hAnsi="Times New Roman" w:eastAsia="Times New Roman" w:cs="Times New Roman"/>
        </w:rPr>
        <w:t>1</w:t>
      </w:r>
      <w:r w:rsidRPr="66DC4736" w:rsidR="79493D6C">
        <w:rPr>
          <w:rFonts w:ascii="Times New Roman" w:hAnsi="Times New Roman" w:eastAsia="Times New Roman" w:cs="Times New Roman"/>
        </w:rPr>
        <w:t>. Project Overview</w:t>
      </w:r>
    </w:p>
    <w:p w:rsidR="007B3355" w:rsidP="66DC4736" w:rsidRDefault="00000000" w14:paraId="1B795191" w14:textId="77777777">
      <w:pPr>
        <w:rPr>
          <w:rFonts w:ascii="Times New Roman" w:hAnsi="Times New Roman" w:eastAsia="Times New Roman" w:cs="Times New Roman"/>
        </w:rPr>
      </w:pPr>
      <w:r>
        <w:t>Project title: WasteVision AI</w:t>
      </w:r>
    </w:p>
    <w:p w:rsidR="007B3355" w:rsidP="66DC4736" w:rsidRDefault="00000000" w14:paraId="183AFA79" w14:textId="77777777">
      <w:pPr>
        <w:rPr>
          <w:rFonts w:ascii="Times New Roman" w:hAnsi="Times New Roman" w:eastAsia="Times New Roman" w:cs="Times New Roman"/>
        </w:rPr>
      </w:pPr>
      <w:r>
        <w:t>Domain: Environmental sustainability and community waste response</w:t>
      </w:r>
    </w:p>
    <w:p w:rsidR="007B3355" w:rsidP="66DC4736" w:rsidRDefault="00000000" w14:paraId="29A7C2C9" w14:textId="77777777">
      <w:pPr>
        <w:rPr>
          <w:rFonts w:ascii="Times New Roman" w:hAnsi="Times New Roman" w:eastAsia="Times New Roman" w:cs="Times New Roman"/>
        </w:rPr>
      </w:pPr>
      <w:r>
        <w:t>Target users: Residents, campus communities, and cleanup coordinators</w:t>
      </w:r>
    </w:p>
    <w:p w:rsidR="007B3355" w:rsidP="66DC4736" w:rsidRDefault="00000000" w14:paraId="23E84FCB" w14:textId="77777777">
      <w:pPr>
        <w:rPr>
          <w:rFonts w:ascii="Times New Roman" w:hAnsi="Times New Roman" w:eastAsia="Times New Roman" w:cs="Times New Roman"/>
        </w:rPr>
      </w:pPr>
      <w:r>
        <w:t>Problem statement: People may be unsure how to sort individual items, while mixed waste and overflowing public bins can be difficult to report and prioritize. A single workflow can connect visual inspection, plain-language sorting guidance, and a trackable cleanup queue.</w:t>
      </w:r>
    </w:p>
    <w:p w:rsidR="007B3355" w:rsidP="66DC4736" w:rsidRDefault="00000000" w14:paraId="2249F01F" w14:textId="77777777">
      <w:pPr>
        <w:rPr>
          <w:rFonts w:ascii="Times New Roman" w:hAnsi="Times New Roman" w:eastAsia="Times New Roman" w:cs="Times New Roman"/>
        </w:rPr>
      </w:pPr>
      <w:r>
        <w:t>Value of the solution: The app combines photo-based waste scanning, free-text disposal lookup, hotspot reporting, a transparent triage estimate, and an impact dashboard. The prototype helps organize next steps; it does not establish official safety or environmental findings.</w:t>
      </w:r>
    </w:p>
    <w:p w:rsidR="007B3355" w:rsidP="66DC4736" w:rsidRDefault="00000000" w14:paraId="098D92C8" w14:textId="43B5F64A">
      <w:pPr>
        <w:pStyle w:val="Heading2"/>
        <w:rPr>
          <w:rFonts w:ascii="Times New Roman" w:hAnsi="Times New Roman" w:eastAsia="Times New Roman" w:cs="Times New Roman"/>
        </w:rPr>
      </w:pPr>
      <w:r>
        <w:t>2. Input Data and Model Preparation</w:t>
      </w:r>
    </w:p>
    <w:tbl>
      <w:tblPr>
        <w:tblStyle w:val="TableGrid"/>
        <w:tblW w:w="0" w:type="auto"/>
        <w:tblLayout w:type="fixed"/>
        <w:tblLook w:val="0420" w:firstRow="1" w:lastRow="0" w:firstColumn="0" w:lastColumn="0" w:noHBand="0" w:noVBand="1"/>
      </w:tblPr>
      <w:tblGrid>
        <w:gridCol w:w="4680"/>
        <w:gridCol w:w="4680"/>
      </w:tblGrid>
      <w:tr w:rsidR="007B3355" w:rsidTr="66DC4736" w14:paraId="627D8A76" w14:textId="77777777">
        <w:trPr>
          <w:tblHeader/>
        </w:trPr>
        <w:tc>
          <w:tcPr>
            <w:tcW w:w="4680" w:type="dxa"/>
            <w:shd w:val="clear" w:color="auto" w:fill="F2F2F2" w:themeFill="background1" w:themeFillShade="F2"/>
            <w:tcMar/>
            <w:vAlign w:val="center"/>
          </w:tcPr>
          <w:p>
            <w:r>
              <w:rPr>
                <w:sz w:val="17"/>
              </w:rPr>
              <w:t>Item</w:t>
            </w:r>
          </w:p>
        </w:tc>
        <w:tc>
          <w:tcPr>
            <w:tcW w:w="4680" w:type="dxa"/>
            <w:shd w:val="clear" w:color="auto" w:fill="F2F2F2" w:themeFill="background1" w:themeFillShade="F2"/>
            <w:tcMar/>
            <w:vAlign w:val="center"/>
          </w:tcPr>
          <w:p>
            <w:r>
              <w:rPr>
                <w:sz w:val="17"/>
              </w:rPr>
              <w:t>Details</w:t>
            </w:r>
          </w:p>
        </w:tc>
      </w:tr>
      <w:tr w:rsidR="007B3355" w:rsidTr="66DC4736" w14:paraId="2CCC8767" w14:textId="77777777">
        <w:tc>
          <w:tcPr>
            <w:tcW w:w="4680" w:type="dxa"/>
            <w:tcMar/>
            <w:vAlign w:val="center"/>
          </w:tcPr>
          <w:p>
            <w:r>
              <w:rPr>
                <w:sz w:val="17"/>
              </w:rPr>
              <w:t>Input sources</w:t>
            </w:r>
          </w:p>
        </w:tc>
        <w:tc>
          <w:tcPr>
            <w:tcW w:w="4680" w:type="dxa"/>
            <w:tcMar/>
            <w:vAlign w:val="center"/>
          </w:tcPr>
          <w:p>
            <w:r>
              <w:rPr>
                <w:sz w:val="17"/>
              </w:rPr>
              <w:t>User-uploaded JPG/JPEG/PNG photos; typed waste descriptions; manually entered hotspot location and conditions.</w:t>
            </w:r>
          </w:p>
        </w:tc>
      </w:tr>
      <w:tr w:rsidR="007B3355" w:rsidTr="66DC4736" w14:paraId="179CC28F" w14:textId="77777777">
        <w:tc>
          <w:tcPr>
            <w:tcW w:w="4680" w:type="dxa"/>
            <w:tcMar/>
            <w:vAlign w:val="center"/>
          </w:tcPr>
          <w:p>
            <w:r>
              <w:rPr>
                <w:sz w:val="17"/>
              </w:rPr>
              <w:t>Image model</w:t>
            </w:r>
          </w:p>
        </w:tc>
        <w:tc>
          <w:tcPr>
            <w:tcW w:w="4680" w:type="dxa"/>
            <w:tcMar/>
            <w:vAlign w:val="center"/>
          </w:tcPr>
          <w:p>
            <w:r>
              <w:rPr>
                <w:sz w:val="17"/>
              </w:rPr>
              <w:t>YOLO-World open-vocabulary adapter with default yolov8s-worldv2.pt; Roboflow adapter is also supported by configuration.</w:t>
            </w:r>
          </w:p>
        </w:tc>
      </w:tr>
      <w:tr w:rsidR="007B3355" w:rsidTr="66DC4736" w14:paraId="36D7B4DF" w14:textId="77777777">
        <w:tc>
          <w:tcPr>
            <w:tcW w:w="4680" w:type="dxa"/>
            <w:tcMar/>
            <w:vAlign w:val="center"/>
          </w:tcPr>
          <w:p>
            <w:r>
              <w:rPr>
                <w:sz w:val="17"/>
              </w:rPr>
              <w:t>Waste labels</w:t>
            </w:r>
          </w:p>
        </w:tc>
        <w:tc>
          <w:tcPr>
            <w:tcW w:w="4680" w:type="dxa"/>
            <w:tcMar/>
            <w:vAlign w:val="center"/>
          </w:tcPr>
          <w:p>
            <w:r>
              <w:rPr>
                <w:sz w:val="17"/>
              </w:rPr>
              <w:t>Common bottles, bags, wrappers, cardboard, cans, glass, food scraps, and visible litter; labels normalized through config.py.</w:t>
            </w:r>
          </w:p>
        </w:tc>
      </w:tr>
      <w:tr w:rsidR="007B3355" w:rsidTr="66DC4736" w14:paraId="77E25472" w14:textId="77777777">
        <w:tc>
          <w:tcPr>
            <w:tcW w:w="4680" w:type="dxa"/>
            <w:tcMar/>
            <w:vAlign w:val="center"/>
          </w:tcPr>
          <w:p>
            <w:r>
              <w:rPr>
                <w:sz w:val="17"/>
              </w:rPr>
              <w:t>Normalized categories</w:t>
            </w:r>
          </w:p>
        </w:tc>
        <w:tc>
          <w:tcPr>
            <w:tcW w:w="4680" w:type="dxa"/>
            <w:tcMar/>
            <w:vAlign w:val="center"/>
          </w:tcPr>
          <w:p>
            <w:r>
              <w:rPr>
                <w:sz w:val="17"/>
              </w:rPr>
              <w:t>General, plastic, paper, organic, metal, and glass. Unsupported labels are filtered.</w:t>
            </w:r>
          </w:p>
        </w:tc>
      </w:tr>
      <w:tr w:rsidR="007B3355" w:rsidTr="66DC4736" w14:paraId="1C3C36DA" w14:textId="77777777">
        <w:tc>
          <w:tcPr>
            <w:tcW w:w="4680" w:type="dxa"/>
            <w:tcMar/>
            <w:vAlign w:val="center"/>
          </w:tcPr>
          <w:p>
            <w:r>
              <w:rPr>
                <w:sz w:val="17"/>
              </w:rPr>
              <w:t>Image preparation</w:t>
            </w:r>
          </w:p>
        </w:tc>
        <w:tc>
          <w:tcPr>
            <w:tcW w:w="4680" w:type="dxa"/>
            <w:tcMar/>
            <w:vAlign w:val="center"/>
          </w:tcPr>
          <w:p>
            <w:r>
              <w:rPr>
                <w:sz w:val="17"/>
              </w:rPr>
              <w:t>Image upload is passed to the detector; inference uses a larger image size and test-time augmentation in the Ultralytics adapter.</w:t>
            </w:r>
          </w:p>
        </w:tc>
      </w:tr>
      <w:tr w:rsidR="007B3355" w:rsidTr="66DC4736" w14:paraId="5202D238" w14:textId="77777777">
        <w:tc>
          <w:tcPr>
            <w:tcW w:w="4680" w:type="dxa"/>
            <w:tcMar/>
            <w:vAlign w:val="center"/>
          </w:tcPr>
          <w:p>
            <w:r>
              <w:rPr>
                <w:sz w:val="17"/>
              </w:rPr>
              <w:t>Text preparation</w:t>
            </w:r>
          </w:p>
        </w:tc>
        <w:tc>
          <w:tcPr>
            <w:tcW w:w="4680" w:type="dxa"/>
            <w:tcMar/>
            <w:vAlign w:val="center"/>
          </w:tcPr>
          <w:p>
            <w:r>
              <w:rPr>
                <w:sz w:val="17"/>
              </w:rPr>
              <w:t>Typed item text is normalized and matched against explicit category and alias rules.</w:t>
            </w:r>
          </w:p>
        </w:tc>
      </w:tr>
      <w:tr w:rsidR="007B3355" w:rsidTr="66DC4736" w14:paraId="4F856F21" w14:textId="77777777">
        <w:tc>
          <w:tcPr>
            <w:tcW w:w="4680" w:type="dxa"/>
            <w:tcMar/>
            <w:vAlign w:val="center"/>
          </w:tcPr>
          <w:p>
            <w:r>
              <w:rPr>
                <w:sz w:val="17"/>
              </w:rPr>
              <w:t>Persisted records</w:t>
            </w:r>
          </w:p>
        </w:tc>
        <w:tc>
          <w:tcPr>
            <w:tcW w:w="4680" w:type="dxa"/>
            <w:tcMar/>
            <w:vAlign w:val="center"/>
          </w:tcPr>
          <w:p>
            <w:r>
              <w:rPr>
                <w:sz w:val="17"/>
              </w:rPr>
              <w:t>SQLite stores report details and scan counts; the app seeds clearly marked illustrative demo records on first run.</w:t>
            </w:r>
          </w:p>
        </w:tc>
      </w:tr>
      <w:tr w:rsidR="007B3355" w:rsidTr="66DC4736" w14:paraId="2E660417" w14:textId="77777777">
        <w:tc>
          <w:tcPr>
            <w:tcW w:w="4680" w:type="dxa"/>
            <w:tcMar/>
            <w:vAlign w:val="center"/>
          </w:tcPr>
          <w:p>
            <w:r>
              <w:rPr>
                <w:sz w:val="17"/>
              </w:rPr>
              <w:t>Data caveat</w:t>
            </w:r>
          </w:p>
        </w:tc>
        <w:tc>
          <w:tcPr>
            <w:tcW w:w="4680" w:type="dxa"/>
            <w:tcMar/>
            <w:vAlign w:val="center"/>
          </w:tcPr>
          <w:p>
            <w:r>
              <w:rPr>
                <w:sz w:val="17"/>
              </w:rPr>
              <w:t>No labeled training/evaluation corpus or measured dataset size is supplied. Demo records and detections are not ground truth.</w:t>
            </w:r>
          </w:p>
        </w:tc>
      </w:tr>
    </w:tbl>
    <w:p w:rsidR="007B3355" w:rsidP="66DC4736" w:rsidRDefault="00000000" w14:paraId="1AB7B362" w14:textId="77777777">
      <w:pPr>
        <w:rPr>
          <w:rFonts w:ascii="Times New Roman" w:hAnsi="Times New Roman" w:eastAsia="Times New Roman" w:cs="Times New Roman"/>
          <w:i w:val="1"/>
          <w:iCs w:val="1"/>
        </w:rPr>
      </w:pPr>
      <w:r>
        <w:t>This project does not use a document corpus, text chunking, or retrieval-augmented generation. Inputs are uploaded images, typed item descriptions, and user-entered hotspot details. The scanner maps model labels to a small set of waste categories; sorting guidance uses local rule-based mappings.</w:t>
      </w:r>
    </w:p>
    <w:p w:rsidR="007B3355" w:rsidP="66DC4736" w:rsidRDefault="00000000" w14:paraId="146985F4" w14:textId="0C369A6A">
      <w:pPr>
        <w:pStyle w:val="Heading2"/>
        <w:rPr>
          <w:rFonts w:ascii="Times New Roman" w:hAnsi="Times New Roman" w:eastAsia="Times New Roman" w:cs="Times New Roman"/>
        </w:rPr>
      </w:pPr>
      <w:r w:rsidRPr="66DC4736" w:rsidR="41504FA0">
        <w:rPr>
          <w:rFonts w:ascii="Times New Roman" w:hAnsi="Times New Roman" w:eastAsia="Times New Roman" w:cs="Times New Roman"/>
        </w:rPr>
        <w:t>3</w:t>
      </w:r>
      <w:r w:rsidRPr="66DC4736" w:rsidR="79493D6C">
        <w:rPr>
          <w:rFonts w:ascii="Times New Roman" w:hAnsi="Times New Roman" w:eastAsia="Times New Roman" w:cs="Times New Roman"/>
        </w:rPr>
        <w:t>. System Architecture</w:t>
      </w:r>
    </w:p>
    <w:p w:rsidR="007B3355" w:rsidP="66DC4736" w:rsidRDefault="00000000" w14:paraId="2F44A2D4" w14:textId="77777777">
      <w:pPr>
        <w:rPr>
          <w:rFonts w:ascii="Times New Roman" w:hAnsi="Times New Roman" w:eastAsia="Times New Roman" w:cs="Times New Roman"/>
          <w:i w:val="1"/>
          <w:iCs w:val="1"/>
        </w:rPr>
      </w:pPr>
      <w:r>
        <w:t>System flow: User image or item description → Streamlit page → model label mapping or sorting rules → disposal guidance; hotspot details → priority estimate → SQLite report queue → Plotly impact dashboard.</w:t>
      </w:r>
    </w:p>
    <w:p w:rsidR="007B3355" w:rsidP="66DC4736" w:rsidRDefault="00000000" w14:paraId="772779E7" w14:textId="77777777">
      <w:pPr>
        <w:rPr>
          <w:rFonts w:ascii="Times New Roman" w:hAnsi="Times New Roman" w:eastAsia="Times New Roman" w:cs="Times New Roman"/>
        </w:rPr>
      </w:pPr>
      <w:r>
        <w:t>WasteVision AI connects recognition and community action in one Streamlit workflow.</w:t>
      </w:r>
    </w:p>
    <w:p w:rsidR="007B3355" w:rsidP="66DC4736" w:rsidRDefault="00000000" w14:paraId="407C796C" w14:textId="3988A9DF">
      <w:pPr>
        <w:pStyle w:val="Heading3"/>
        <w:rPr>
          <w:rFonts w:ascii="Times New Roman" w:hAnsi="Times New Roman" w:eastAsia="Times New Roman" w:cs="Times New Roman"/>
        </w:rPr>
      </w:pPr>
      <w:r>
        <w:t>3.1 Pipeline Stages</w:t>
      </w:r>
    </w:p>
    <w:tbl>
      <w:tblPr>
        <w:tblStyle w:val="TableGrid"/>
        <w:tblW w:w="0" w:type="auto"/>
        <w:tblLayout w:type="fixed"/>
        <w:tblLook w:val="0420" w:firstRow="1" w:lastRow="0" w:firstColumn="0" w:lastColumn="0" w:noHBand="0" w:noVBand="1"/>
      </w:tblPr>
      <w:tblGrid>
        <w:gridCol w:w="2340"/>
        <w:gridCol w:w="2340"/>
        <w:gridCol w:w="2340"/>
        <w:gridCol w:w="2340"/>
      </w:tblGrid>
      <w:tr w:rsidR="007B3355" w:rsidTr="66DC4736" w14:paraId="6D3BC017" w14:textId="77777777">
        <w:trPr>
          <w:tblHeader/>
        </w:trPr>
        <w:tc>
          <w:tcPr>
            <w:tcW w:w="2340" w:type="dxa"/>
            <w:shd w:val="clear" w:color="auto" w:fill="F2F2F2" w:themeFill="background1" w:themeFillShade="F2"/>
            <w:tcMar/>
            <w:vAlign w:val="center"/>
          </w:tcPr>
          <w:p>
            <w:r>
              <w:rPr>
                <w:sz w:val="17"/>
              </w:rPr>
              <w:t>Stage</w:t>
            </w:r>
          </w:p>
        </w:tc>
        <w:tc>
          <w:tcPr>
            <w:tcW w:w="2340" w:type="dxa"/>
            <w:shd w:val="clear" w:color="auto" w:fill="F2F2F2" w:themeFill="background1" w:themeFillShade="F2"/>
            <w:tcMar/>
            <w:vAlign w:val="center"/>
          </w:tcPr>
          <w:p>
            <w:r>
              <w:rPr>
                <w:sz w:val="17"/>
              </w:rPr>
              <w:t>What the system does</w:t>
            </w:r>
          </w:p>
        </w:tc>
        <w:tc>
          <w:tcPr>
            <w:tcW w:w="2340" w:type="dxa"/>
            <w:shd w:val="clear" w:color="auto" w:fill="F2F2F2" w:themeFill="background1" w:themeFillShade="F2"/>
            <w:tcMar/>
            <w:vAlign w:val="center"/>
          </w:tcPr>
          <w:p>
            <w:r>
              <w:rPr>
                <w:sz w:val="17"/>
              </w:rPr>
              <w:t>Tool / library</w:t>
            </w:r>
          </w:p>
        </w:tc>
        <w:tc>
          <w:tcPr>
            <w:tcW w:w="2340" w:type="dxa"/>
            <w:shd w:val="clear" w:color="auto" w:fill="F2F2F2" w:themeFill="background1" w:themeFillShade="F2"/>
            <w:tcMar/>
            <w:vAlign w:val="center"/>
          </w:tcPr>
          <w:p>
            <w:r>
              <w:rPr>
                <w:sz w:val="17"/>
              </w:rPr>
              <w:t>Key design choice</w:t>
            </w:r>
          </w:p>
        </w:tc>
      </w:tr>
      <w:tr w:rsidR="007B3355" w:rsidTr="66DC4736" w14:paraId="2A2C8E11" w14:textId="77777777">
        <w:tc>
          <w:tcPr>
            <w:tcW w:w="2340" w:type="dxa"/>
            <w:tcMar/>
            <w:vAlign w:val="center"/>
          </w:tcPr>
          <w:p>
            <w:r>
              <w:rPr>
                <w:sz w:val="17"/>
              </w:rPr>
              <w:t>Scan</w:t>
            </w:r>
          </w:p>
        </w:tc>
        <w:tc>
          <w:tcPr>
            <w:tcW w:w="2340" w:type="dxa"/>
            <w:tcMar/>
            <w:vAlign w:val="center"/>
          </w:tcPr>
          <w:p>
            <w:r>
              <w:rPr>
                <w:sz w:val="17"/>
              </w:rPr>
              <w:t>Find candidate objects in an uploaded image.</w:t>
            </w:r>
          </w:p>
        </w:tc>
        <w:tc>
          <w:tcPr>
            <w:tcW w:w="2340" w:type="dxa"/>
            <w:tcMar/>
            <w:vAlign w:val="center"/>
          </w:tcPr>
          <w:p>
            <w:r>
              <w:rPr>
                <w:sz w:val="17"/>
              </w:rPr>
              <w:t>Ultralytics YOLO-World; optional Roboflow inference SDK</w:t>
            </w:r>
          </w:p>
        </w:tc>
        <w:tc>
          <w:tcPr>
            <w:tcW w:w="2340" w:type="dxa"/>
            <w:tcMar/>
            <w:vAlign w:val="center"/>
          </w:tcPr>
          <w:p>
            <w:r>
              <w:rPr>
                <w:sz w:val="17"/>
              </w:rPr>
              <w:t>Open-vocabulary prompts broaden visible object search, but are not a waste-specific validated model.</w:t>
            </w:r>
          </w:p>
        </w:tc>
      </w:tr>
      <w:tr w:rsidR="007B3355" w:rsidTr="66DC4736" w14:paraId="03FEC623" w14:textId="77777777">
        <w:tc>
          <w:tcPr>
            <w:tcW w:w="2340" w:type="dxa"/>
            <w:tcMar/>
            <w:vAlign w:val="center"/>
          </w:tcPr>
          <w:p>
            <w:r>
              <w:rPr>
                <w:sz w:val="17"/>
              </w:rPr>
              <w:t>Normalize</w:t>
            </w:r>
          </w:p>
        </w:tc>
        <w:tc>
          <w:tcPr>
            <w:tcW w:w="2340" w:type="dxa"/>
            <w:tcMar/>
            <w:vAlign w:val="center"/>
          </w:tcPr>
          <w:p>
            <w:r>
              <w:rPr>
                <w:sz w:val="17"/>
              </w:rPr>
              <w:t>Map recognized labels to supported waste categories.</w:t>
            </w:r>
          </w:p>
        </w:tc>
        <w:tc>
          <w:tcPr>
            <w:tcW w:w="2340" w:type="dxa"/>
            <w:tcMar/>
            <w:vAlign w:val="center"/>
          </w:tcPr>
          <w:p>
            <w:r>
              <w:rPr>
                <w:sz w:val="17"/>
              </w:rPr>
              <w:t>config.py label aliases and filters</w:t>
            </w:r>
          </w:p>
        </w:tc>
        <w:tc>
          <w:tcPr>
            <w:tcW w:w="2340" w:type="dxa"/>
            <w:tcMar/>
            <w:vAlign w:val="center"/>
          </w:tcPr>
          <w:p>
            <w:r>
              <w:rPr>
                <w:sz w:val="17"/>
              </w:rPr>
              <w:t>Ignore unsupported labels to reduce arbitrary categories.</w:t>
            </w:r>
          </w:p>
        </w:tc>
      </w:tr>
      <w:tr w:rsidR="007B3355" w:rsidTr="66DC4736" w14:paraId="6B57D96C" w14:textId="77777777">
        <w:tc>
          <w:tcPr>
            <w:tcW w:w="2340" w:type="dxa"/>
            <w:tcMar/>
            <w:vAlign w:val="center"/>
          </w:tcPr>
          <w:p>
            <w:r>
              <w:rPr>
                <w:sz w:val="17"/>
              </w:rPr>
              <w:t>Guide</w:t>
            </w:r>
          </w:p>
        </w:tc>
        <w:tc>
          <w:tcPr>
            <w:tcW w:w="2340" w:type="dxa"/>
            <w:tcMar/>
            <w:vAlign w:val="center"/>
          </w:tcPr>
          <w:p>
            <w:r>
              <w:rPr>
                <w:sz w:val="17"/>
              </w:rPr>
              <w:t>Match a typed item to a disposal stream and plain-language advice.</w:t>
            </w:r>
          </w:p>
        </w:tc>
        <w:tc>
          <w:tcPr>
            <w:tcW w:w="2340" w:type="dxa"/>
            <w:tcMar/>
            <w:vAlign w:val="center"/>
          </w:tcPr>
          <w:p>
            <w:r>
              <w:rPr>
                <w:sz w:val="17"/>
              </w:rPr>
              <w:t>Rule-based recommender</w:t>
            </w:r>
          </w:p>
        </w:tc>
        <w:tc>
          <w:tcPr>
            <w:tcW w:w="2340" w:type="dxa"/>
            <w:tcMar/>
            <w:vAlign w:val="center"/>
          </w:tcPr>
          <w:p>
            <w:r>
              <w:rPr>
                <w:sz w:val="17"/>
              </w:rPr>
              <w:t>Give a cautious fallback for unknown descriptions; local rules may differ.</w:t>
            </w:r>
          </w:p>
        </w:tc>
      </w:tr>
      <w:tr w:rsidR="007B3355" w:rsidTr="66DC4736" w14:paraId="4844CD08" w14:textId="77777777">
        <w:tc>
          <w:tcPr>
            <w:tcW w:w="2340" w:type="dxa"/>
            <w:tcMar/>
            <w:vAlign w:val="center"/>
          </w:tcPr>
          <w:p>
            <w:r>
              <w:rPr>
                <w:sz w:val="17"/>
              </w:rPr>
              <w:t>Triage and review</w:t>
            </w:r>
          </w:p>
        </w:tc>
        <w:tc>
          <w:tcPr>
            <w:tcW w:w="2340" w:type="dxa"/>
            <w:tcMar/>
            <w:vAlign w:val="center"/>
          </w:tcPr>
          <w:p>
            <w:r>
              <w:rPr>
                <w:sz w:val="17"/>
              </w:rPr>
              <w:t>Estimate hotspot priority and store/update report status.</w:t>
            </w:r>
          </w:p>
        </w:tc>
        <w:tc>
          <w:tcPr>
            <w:tcW w:w="2340" w:type="dxa"/>
            <w:tcMar/>
            <w:vAlign w:val="center"/>
          </w:tcPr>
          <w:p>
            <w:r>
              <w:rPr>
                <w:sz w:val="17"/>
              </w:rPr>
              <w:t>Python priority logic; SQLite</w:t>
            </w:r>
          </w:p>
        </w:tc>
        <w:tc>
          <w:tcPr>
            <w:tcW w:w="2340" w:type="dxa"/>
            <w:tcMar/>
            <w:vAlign w:val="center"/>
          </w:tcPr>
          <w:p>
            <w:r>
              <w:rPr>
                <w:sz w:val="17"/>
              </w:rPr>
              <w:t>Show severity, overflow, sensitive-site inputs, and score explanation; label score as an estimate.</w:t>
            </w:r>
          </w:p>
        </w:tc>
      </w:tr>
      <w:tr>
        <w:tc>
          <w:tcPr>
            <w:tcW w:type="dxa" w:w="2340"/>
            <w:vAlign w:val="center"/>
          </w:tcPr>
          <w:p>
            <w:r>
              <w:rPr>
                <w:sz w:val="17"/>
              </w:rPr>
              <w:t>Visualize</w:t>
            </w:r>
          </w:p>
        </w:tc>
        <w:tc>
          <w:tcPr>
            <w:tcW w:type="dxa" w:w="2340"/>
            <w:vAlign w:val="center"/>
          </w:tcPr>
          <w:p>
            <w:r>
              <w:rPr>
                <w:sz w:val="17"/>
              </w:rPr>
              <w:t>Summarize materials, urgency, status, trends, and hotspots.</w:t>
            </w:r>
          </w:p>
        </w:tc>
        <w:tc>
          <w:tcPr>
            <w:tcW w:type="dxa" w:w="2340"/>
            <w:vAlign w:val="center"/>
          </w:tcPr>
          <w:p>
            <w:r>
              <w:rPr>
                <w:sz w:val="17"/>
              </w:rPr>
              <w:t>Streamlit, pandas, Plotly</w:t>
            </w:r>
          </w:p>
        </w:tc>
        <w:tc>
          <w:tcPr>
            <w:tcW w:type="dxa" w:w="2340"/>
            <w:vAlign w:val="center"/>
          </w:tcPr>
          <w:p>
            <w:r>
              <w:rPr>
                <w:sz w:val="17"/>
              </w:rPr>
              <w:t>Separate demo data from field reports where the source filter is available.</w:t>
            </w:r>
          </w:p>
        </w:tc>
      </w:tr>
    </w:tbl>
    <w:p w:rsidR="007B3355" w:rsidP="66DC4736" w:rsidRDefault="00000000" w14:paraId="127A93D6" w14:textId="3F446CAF">
      <w:pPr>
        <w:pStyle w:val="Heading3"/>
        <w:rPr>
          <w:rFonts w:ascii="Times New Roman" w:hAnsi="Times New Roman" w:eastAsia="Times New Roman" w:cs="Times New Roman"/>
        </w:rPr>
      </w:pPr>
      <w:r>
        <w:t>3.2 Sorting Guidance Rules</w:t>
      </w:r>
    </w:p>
    <w:p w:rsidR="007B3355" w:rsidP="66DC4736" w:rsidRDefault="00000000" w14:paraId="03863823" w14:textId="77777777">
      <w:pPr>
        <w:rPr>
          <w:rFonts w:ascii="Times New Roman" w:hAnsi="Times New Roman" w:eastAsia="Times New Roman" w:cs="Times New Roman"/>
          <w:i w:val="1"/>
          <w:iCs w:val="1"/>
        </w:rPr>
      </w:pPr>
      <w:r>
        <w:t>No generative language-model prompt is used by the application. Typed item descriptions are matched to explicit local waste rules. The scanner uses open-vocabulary object prompts and then maps supported labels to normalized waste categories.</w:t>
      </w:r>
    </w:p>
    <w:p w:rsidR="007B3355" w:rsidP="66DC4736" w:rsidRDefault="00000000" w14:paraId="4F243D74" w14:textId="77777777">
      <w:pPr>
        <w:rPr>
          <w:rFonts w:ascii="Times New Roman" w:hAnsi="Times New Roman" w:eastAsia="Times New Roman" w:cs="Times New Roman"/>
        </w:rPr>
      </w:pPr>
      <w:r>
        <w:t>Example lookup: “eggshells” → Wet waste / compost. Guidance: put food scraps in the wet-waste or compost stream and keep plastic packaging out. The app advises checking local rules for uncertain materials.</w:t>
      </w:r>
    </w:p>
    <w:p w:rsidR="007B3355" w:rsidP="66DC4736" w:rsidRDefault="00000000" w14:paraId="3C566175" w14:textId="1EECFCD6">
      <w:pPr>
        <w:pStyle w:val="Heading3"/>
        <w:rPr>
          <w:rFonts w:ascii="Times New Roman" w:hAnsi="Times New Roman" w:eastAsia="Times New Roman" w:cs="Times New Roman"/>
        </w:rPr>
      </w:pPr>
      <w:r>
        <w:t>3.3 Handling Unknown Items</w:t>
      </w:r>
    </w:p>
    <w:p w:rsidR="007B3355" w:rsidP="66DC4736" w:rsidRDefault="00000000" w14:paraId="58E5A8EF" w14:textId="77777777">
      <w:pPr>
        <w:rPr>
          <w:rFonts w:ascii="Times New Roman" w:hAnsi="Times New Roman" w:eastAsia="Times New Roman" w:cs="Times New Roman"/>
        </w:rPr>
      </w:pPr>
      <w:r>
        <w:t>Unknown typed descriptions receive a clearly labeled residual-waste fallback rather than an invented specific route. Unknown model labels are ignored until they are mapped in config.py. Hazardous or uncertain items should be checked with the local waste authority.</w:t>
      </w:r>
    </w:p>
    <w:p w:rsidR="007B3355" w:rsidP="66DC4736" w:rsidRDefault="00000000" w14:paraId="7D8EB415" w14:textId="740F1853">
      <w:pPr>
        <w:pStyle w:val="Heading2"/>
        <w:rPr>
          <w:rFonts w:ascii="Times New Roman" w:hAnsi="Times New Roman" w:eastAsia="Times New Roman" w:cs="Times New Roman"/>
        </w:rPr>
      </w:pPr>
      <w:r w:rsidRPr="66DC4736" w:rsidR="6B761AF3">
        <w:rPr>
          <w:rFonts w:ascii="Times New Roman" w:hAnsi="Times New Roman" w:eastAsia="Times New Roman" w:cs="Times New Roman"/>
        </w:rPr>
        <w:t>4</w:t>
      </w:r>
      <w:r w:rsidRPr="66DC4736" w:rsidR="79493D6C">
        <w:rPr>
          <w:rFonts w:ascii="Times New Roman" w:hAnsi="Times New Roman" w:eastAsia="Times New Roman" w:cs="Times New Roman"/>
        </w:rPr>
        <w:t>. Implementation Details</w:t>
      </w:r>
    </w:p>
    <w:p w:rsidR="007B3355" w:rsidP="66DC4736" w:rsidRDefault="00000000" w14:paraId="669F92F8" w14:textId="7BF0B221">
      <w:pPr>
        <w:pStyle w:val="Heading3"/>
        <w:rPr>
          <w:rFonts w:ascii="Times New Roman" w:hAnsi="Times New Roman" w:eastAsia="Times New Roman" w:cs="Times New Roman"/>
        </w:rPr>
      </w:pPr>
      <w:r w:rsidRPr="66DC4736" w:rsidR="5A010B16">
        <w:rPr>
          <w:rFonts w:ascii="Times New Roman" w:hAnsi="Times New Roman" w:eastAsia="Times New Roman" w:cs="Times New Roman"/>
        </w:rPr>
        <w:t>4</w:t>
      </w:r>
      <w:r w:rsidRPr="66DC4736" w:rsidR="79493D6C">
        <w:rPr>
          <w:rFonts w:ascii="Times New Roman" w:hAnsi="Times New Roman" w:eastAsia="Times New Roman" w:cs="Times New Roman"/>
        </w:rPr>
        <w:t>.1 Tools and Libraries</w:t>
      </w:r>
    </w:p>
    <w:tbl>
      <w:tblPr>
        <w:tblStyle w:val="TableGrid"/>
        <w:tblW w:w="0" w:type="auto"/>
        <w:tblLayout w:type="fixed"/>
        <w:tblLook w:val="0420" w:firstRow="1" w:lastRow="0" w:firstColumn="0" w:lastColumn="0" w:noHBand="0" w:noVBand="1"/>
      </w:tblPr>
      <w:tblGrid>
        <w:gridCol w:w="4680"/>
        <w:gridCol w:w="4680"/>
      </w:tblGrid>
      <w:tr w:rsidR="007B3355" w:rsidTr="66DC4736" w14:paraId="122CF764" w14:textId="77777777">
        <w:trPr>
          <w:tblHeader/>
        </w:trPr>
        <w:tc>
          <w:tcPr>
            <w:tcW w:w="4680" w:type="dxa"/>
            <w:shd w:val="clear" w:color="auto" w:fill="F2F2F2" w:themeFill="background1" w:themeFillShade="F2"/>
            <w:tcMar/>
            <w:vAlign w:val="center"/>
          </w:tcPr>
          <w:p>
            <w:r>
              <w:rPr>
                <w:sz w:val="17"/>
              </w:rPr>
              <w:t>Tool / library</w:t>
            </w:r>
          </w:p>
        </w:tc>
        <w:tc>
          <w:tcPr>
            <w:tcW w:w="4680" w:type="dxa"/>
            <w:shd w:val="clear" w:color="auto" w:fill="F2F2F2" w:themeFill="background1" w:themeFillShade="F2"/>
            <w:tcMar/>
            <w:vAlign w:val="center"/>
          </w:tcPr>
          <w:p>
            <w:r>
              <w:rPr>
                <w:sz w:val="17"/>
              </w:rPr>
              <w:t>Purpose</w:t>
            </w:r>
          </w:p>
        </w:tc>
      </w:tr>
      <w:tr w:rsidR="007B3355" w:rsidTr="66DC4736" w14:paraId="195763CD" w14:textId="77777777">
        <w:tc>
          <w:tcPr>
            <w:tcW w:w="4680" w:type="dxa"/>
            <w:tcMar/>
            <w:vAlign w:val="center"/>
          </w:tcPr>
          <w:p>
            <w:r>
              <w:rPr>
                <w:sz w:val="17"/>
              </w:rPr>
              <w:t>Streamlit</w:t>
            </w:r>
          </w:p>
        </w:tc>
        <w:tc>
          <w:tcPr>
            <w:tcW w:w="4680" w:type="dxa"/>
            <w:tcMar/>
            <w:vAlign w:val="center"/>
          </w:tcPr>
          <w:p>
            <w:r>
              <w:rPr>
                <w:sz w:val="17"/>
              </w:rPr>
              <w:t>Multipage-style interactive application and controls.</w:t>
            </w:r>
          </w:p>
        </w:tc>
      </w:tr>
      <w:tr w:rsidR="007B3355" w:rsidTr="66DC4736" w14:paraId="6BDE717A" w14:textId="77777777">
        <w:tc>
          <w:tcPr>
            <w:tcW w:w="4680" w:type="dxa"/>
            <w:tcMar/>
            <w:vAlign w:val="center"/>
          </w:tcPr>
          <w:p>
            <w:r>
              <w:rPr>
                <w:sz w:val="17"/>
              </w:rPr>
              <w:t>Ultralytics YOLO-World</w:t>
            </w:r>
          </w:p>
        </w:tc>
        <w:tc>
          <w:tcPr>
            <w:tcW w:w="4680" w:type="dxa"/>
            <w:tcMar/>
            <w:vAlign w:val="center"/>
          </w:tcPr>
          <w:p>
            <w:r>
              <w:rPr>
                <w:sz w:val="17"/>
              </w:rPr>
              <w:t>Default open-vocabulary image detection adapter.</w:t>
            </w:r>
          </w:p>
        </w:tc>
      </w:tr>
      <w:tr w:rsidR="007B3355" w:rsidTr="66DC4736" w14:paraId="71648415" w14:textId="77777777">
        <w:tc>
          <w:tcPr>
            <w:tcW w:w="4680" w:type="dxa"/>
            <w:tcMar/>
            <w:vAlign w:val="center"/>
          </w:tcPr>
          <w:p>
            <w:r>
              <w:rPr>
                <w:sz w:val="17"/>
              </w:rPr>
              <w:t>Roboflow inference-sdk</w:t>
            </w:r>
          </w:p>
        </w:tc>
        <w:tc>
          <w:tcPr>
            <w:tcW w:w="4680" w:type="dxa"/>
            <w:tcMar/>
            <w:vAlign w:val="center"/>
          </w:tcPr>
          <w:p>
            <w:r>
              <w:rPr>
                <w:sz w:val="17"/>
              </w:rPr>
              <w:t>Optional hosted model provider.</w:t>
            </w:r>
          </w:p>
        </w:tc>
      </w:tr>
      <w:tr>
        <w:tc>
          <w:tcPr>
            <w:tcW w:type="dxa" w:w="4680"/>
            <w:vAlign w:val="center"/>
          </w:tcPr>
          <w:p>
            <w:r>
              <w:rPr>
                <w:sz w:val="17"/>
              </w:rPr>
              <w:t>Pillow and OpenCV</w:t>
            </w:r>
          </w:p>
        </w:tc>
        <w:tc>
          <w:tcPr>
            <w:tcW w:type="dxa" w:w="4680"/>
            <w:vAlign w:val="center"/>
          </w:tcPr>
          <w:p>
            <w:r>
              <w:rPr>
                <w:sz w:val="17"/>
              </w:rPr>
              <w:t>Image handling and model input support.</w:t>
            </w:r>
          </w:p>
        </w:tc>
      </w:tr>
      <w:tr>
        <w:tc>
          <w:tcPr>
            <w:tcW w:type="dxa" w:w="4680"/>
            <w:vAlign w:val="center"/>
          </w:tcPr>
          <w:p>
            <w:r>
              <w:rPr>
                <w:sz w:val="17"/>
              </w:rPr>
              <w:t>SQLite</w:t>
            </w:r>
          </w:p>
        </w:tc>
        <w:tc>
          <w:tcPr>
            <w:tcW w:type="dxa" w:w="4680"/>
            <w:vAlign w:val="center"/>
          </w:tcPr>
          <w:p>
            <w:r>
              <w:rPr>
                <w:sz w:val="17"/>
              </w:rPr>
              <w:t>Local persistence for reports and scan totals.</w:t>
            </w:r>
          </w:p>
        </w:tc>
      </w:tr>
      <w:tr>
        <w:tc>
          <w:tcPr>
            <w:tcW w:type="dxa" w:w="4680"/>
            <w:vAlign w:val="center"/>
          </w:tcPr>
          <w:p>
            <w:r>
              <w:rPr>
                <w:sz w:val="17"/>
              </w:rPr>
              <w:t>pandas and Plotly</w:t>
            </w:r>
          </w:p>
        </w:tc>
        <w:tc>
          <w:tcPr>
            <w:tcW w:type="dxa" w:w="4680"/>
            <w:vAlign w:val="center"/>
          </w:tcPr>
          <w:p>
            <w:r>
              <w:rPr>
                <w:sz w:val="17"/>
              </w:rPr>
              <w:t>Dashboard data shaping and interactive charts.</w:t>
            </w:r>
          </w:p>
        </w:tc>
      </w:tr>
    </w:tbl>
    <w:p w:rsidR="007B3355" w:rsidP="66DC4736" w:rsidRDefault="00000000" w14:paraId="382C1B2E" w14:textId="7132F41B">
      <w:pPr>
        <w:pStyle w:val="Heading3"/>
        <w:rPr>
          <w:rFonts w:ascii="Times New Roman" w:hAnsi="Times New Roman" w:eastAsia="Times New Roman" w:cs="Times New Roman"/>
        </w:rPr>
      </w:pPr>
      <w:r w:rsidRPr="66DC4736" w:rsidR="1D7810E1">
        <w:rPr>
          <w:rFonts w:ascii="Times New Roman" w:hAnsi="Times New Roman" w:eastAsia="Times New Roman" w:cs="Times New Roman"/>
        </w:rPr>
        <w:t>4</w:t>
      </w:r>
      <w:r w:rsidRPr="66DC4736" w:rsidR="79493D6C">
        <w:rPr>
          <w:rFonts w:ascii="Times New Roman" w:hAnsi="Times New Roman" w:eastAsia="Times New Roman" w:cs="Times New Roman"/>
        </w:rPr>
        <w:t>.2 What We Built vs. What We Borrowed</w:t>
      </w:r>
    </w:p>
    <w:tbl>
      <w:tblPr>
        <w:tblStyle w:val="TableGrid"/>
        <w:tblW w:w="0" w:type="auto"/>
        <w:tblLayout w:type="fixed"/>
        <w:tblLook w:val="0420" w:firstRow="1" w:lastRow="0" w:firstColumn="0" w:lastColumn="0" w:noHBand="0" w:noVBand="1"/>
      </w:tblPr>
      <w:tblGrid>
        <w:gridCol w:w="3120"/>
        <w:gridCol w:w="3120"/>
        <w:gridCol w:w="3120"/>
      </w:tblGrid>
      <w:tr w:rsidR="007B3355" w:rsidTr="66DC4736" w14:paraId="52758D70" w14:textId="77777777">
        <w:trPr>
          <w:tblHeader/>
        </w:trPr>
        <w:tc>
          <w:tcPr>
            <w:tcW w:w="3120" w:type="dxa"/>
            <w:shd w:val="clear" w:color="auto" w:fill="F2F2F2" w:themeFill="background1" w:themeFillShade="F2"/>
            <w:tcMar/>
            <w:vAlign w:val="center"/>
          </w:tcPr>
          <w:p>
            <w:r>
              <w:rPr>
                <w:sz w:val="17"/>
              </w:rPr>
              <w:t>Component</w:t>
            </w:r>
          </w:p>
        </w:tc>
        <w:tc>
          <w:tcPr>
            <w:tcW w:w="3120" w:type="dxa"/>
            <w:shd w:val="clear" w:color="auto" w:fill="F2F2F2" w:themeFill="background1" w:themeFillShade="F2"/>
            <w:tcMar/>
            <w:vAlign w:val="center"/>
          </w:tcPr>
          <w:p>
            <w:r>
              <w:rPr>
                <w:sz w:val="17"/>
              </w:rPr>
              <w:t>Built by team</w:t>
            </w:r>
          </w:p>
        </w:tc>
        <w:tc>
          <w:tcPr>
            <w:tcW w:w="3120" w:type="dxa"/>
            <w:shd w:val="clear" w:color="auto" w:fill="F2F2F2" w:themeFill="background1" w:themeFillShade="F2"/>
            <w:tcMar/>
            <w:vAlign w:val="center"/>
          </w:tcPr>
          <w:p>
            <w:r>
              <w:rPr>
                <w:sz w:val="17"/>
              </w:rPr>
              <w:t>Borrowed / adapted from</w:t>
            </w:r>
          </w:p>
        </w:tc>
      </w:tr>
      <w:tr w:rsidR="007B3355" w:rsidTr="66DC4736" w14:paraId="3F37A7AB" w14:textId="77777777">
        <w:tc>
          <w:tcPr>
            <w:tcW w:w="3120" w:type="dxa"/>
            <w:tcMar/>
            <w:vAlign w:val="center"/>
          </w:tcPr>
          <w:p>
            <w:r>
              <w:rPr>
                <w:sz w:val="17"/>
              </w:rPr>
              <w:t>Waste workflow and Streamlit pages</w:t>
            </w:r>
          </w:p>
        </w:tc>
        <w:tc>
          <w:tcPr>
            <w:tcW w:w="3120" w:type="dxa"/>
            <w:tcMar/>
            <w:vAlign w:val="center"/>
          </w:tcPr>
          <w:p>
            <w:r>
              <w:rPr>
                <w:sz w:val="17"/>
              </w:rPr>
              <w:t>Yes</w:t>
            </w:r>
          </w:p>
        </w:tc>
        <w:tc>
          <w:tcPr>
            <w:tcW w:w="3120" w:type="dxa"/>
            <w:tcMar/>
            <w:vAlign w:val="center"/>
          </w:tcPr>
          <w:p>
            <w:r>
              <w:rPr>
                <w:sz w:val="17"/>
              </w:rPr>
              <w:t>Streamlit framework and widgets.</w:t>
            </w:r>
          </w:p>
        </w:tc>
      </w:tr>
      <w:tr w:rsidR="007B3355" w:rsidTr="66DC4736" w14:paraId="70023D87" w14:textId="77777777">
        <w:tc>
          <w:tcPr>
            <w:tcW w:w="3120" w:type="dxa"/>
            <w:tcMar/>
            <w:vAlign w:val="center"/>
          </w:tcPr>
          <w:p>
            <w:r>
              <w:rPr>
                <w:sz w:val="17"/>
              </w:rPr>
              <w:t>Label mapping and sorting rules</w:t>
            </w:r>
          </w:p>
        </w:tc>
        <w:tc>
          <w:tcPr>
            <w:tcW w:w="3120" w:type="dxa"/>
            <w:tcMar/>
            <w:vAlign w:val="center"/>
          </w:tcPr>
          <w:p>
            <w:r>
              <w:rPr>
                <w:sz w:val="17"/>
              </w:rPr>
              <w:t>Yes</w:t>
            </w:r>
          </w:p>
        </w:tc>
        <w:tc>
          <w:tcPr>
            <w:tcW w:w="3120" w:type="dxa"/>
            <w:tcMar/>
            <w:vAlign w:val="center"/>
          </w:tcPr>
          <w:p>
            <w:r>
              <w:rPr>
                <w:sz w:val="17"/>
              </w:rPr>
              <w:t>Waste-category conventions; local municipal rules need configuration.</w:t>
            </w:r>
          </w:p>
        </w:tc>
      </w:tr>
      <w:tr w:rsidR="007B3355" w:rsidTr="66DC4736" w14:paraId="3DC9D158" w14:textId="77777777">
        <w:tc>
          <w:tcPr>
            <w:tcW w:w="3120" w:type="dxa"/>
            <w:tcMar/>
            <w:vAlign w:val="center"/>
          </w:tcPr>
          <w:p>
            <w:r>
              <w:rPr>
                <w:sz w:val="17"/>
              </w:rPr>
              <w:t>Priority estimate and status tracking</w:t>
            </w:r>
          </w:p>
        </w:tc>
        <w:tc>
          <w:tcPr>
            <w:tcW w:w="3120" w:type="dxa"/>
            <w:tcMar/>
            <w:vAlign w:val="center"/>
          </w:tcPr>
          <w:p>
            <w:r>
              <w:rPr>
                <w:sz w:val="17"/>
              </w:rPr>
              <w:t>Yes</w:t>
            </w:r>
          </w:p>
        </w:tc>
        <w:tc>
          <w:tcPr>
            <w:tcW w:w="3120" w:type="dxa"/>
            <w:tcMar/>
            <w:vAlign w:val="center"/>
          </w:tcPr>
          <w:p>
            <w:r>
              <w:rPr>
                <w:sz w:val="17"/>
              </w:rPr>
              <w:t>Project-defined transparent triage factors; not an official standard.</w:t>
            </w:r>
          </w:p>
        </w:tc>
      </w:tr>
      <w:tr w:rsidR="007B3355" w:rsidTr="66DC4736" w14:paraId="5D67EDB2" w14:textId="77777777">
        <w:tc>
          <w:tcPr>
            <w:tcW w:w="3120" w:type="dxa"/>
            <w:tcMar/>
            <w:vAlign w:val="center"/>
          </w:tcPr>
          <w:p>
            <w:r>
              <w:rPr>
                <w:sz w:val="17"/>
              </w:rPr>
              <w:t>Dashboard charts and report persistence</w:t>
            </w:r>
          </w:p>
        </w:tc>
        <w:tc>
          <w:tcPr>
            <w:tcW w:w="3120" w:type="dxa"/>
            <w:tcMar/>
            <w:vAlign w:val="center"/>
          </w:tcPr>
          <w:p>
            <w:r>
              <w:rPr>
                <w:sz w:val="17"/>
              </w:rPr>
              <w:t>Yes</w:t>
            </w:r>
          </w:p>
        </w:tc>
        <w:tc>
          <w:tcPr>
            <w:tcW w:w="3120" w:type="dxa"/>
            <w:tcMar/>
            <w:vAlign w:val="center"/>
          </w:tcPr>
          <w:p>
            <w:r>
              <w:rPr>
                <w:sz w:val="17"/>
              </w:rPr>
              <w:t>Plotly charts and Python SQLite library.</w:t>
            </w:r>
          </w:p>
        </w:tc>
      </w:tr>
    </w:tbl>
    <w:p w:rsidR="007B3355" w:rsidP="66DC4736" w:rsidRDefault="00000000" w14:paraId="7716B022" w14:textId="4C0ABAE2">
      <w:pPr>
        <w:pStyle w:val="Heading3"/>
        <w:rPr>
          <w:rFonts w:ascii="Times New Roman" w:hAnsi="Times New Roman" w:eastAsia="Times New Roman" w:cs="Times New Roman"/>
        </w:rPr>
      </w:pPr>
      <w:r>
        <w:t>4.3 Report Data and Priority Logic</w:t>
      </w:r>
    </w:p>
    <w:p w:rsidR="007B3355" w:rsidP="66DC4736" w:rsidRDefault="00000000" w14:paraId="3C700CD3" w14:textId="77777777">
      <w:pPr>
        <w:pStyle w:val="ListParagraph"/>
        <w:numPr>
          <w:ilvl w:val="0"/>
          <w:numId w:val="3"/>
        </w:numPr>
        <w:rPr>
          <w:rFonts w:ascii="Times New Roman" w:hAnsi="Times New Roman" w:eastAsia="Times New Roman" w:cs="Times New Roman"/>
        </w:rPr>
      </w:pPr>
      <w:r>
        <w:t>Data records: Reports store location, categories, item count, severity, overflow and sensitive-site flags, priority estimate, status, source, and time.</w:t>
      </w:r>
    </w:p>
    <w:p w:rsidR="007B3355" w:rsidP="66DC4736" w:rsidRDefault="00000000" w14:paraId="31A8D9E3" w14:textId="77777777">
      <w:pPr>
        <w:pStyle w:val="ListParagraph"/>
        <w:numPr>
          <w:ilvl w:val="0"/>
          <w:numId w:val="3"/>
        </w:numPr>
        <w:rPr>
          <w:rFonts w:ascii="Times New Roman" w:hAnsi="Times New Roman" w:eastAsia="Times New Roman" w:cs="Times New Roman"/>
        </w:rPr>
      </w:pPr>
      <w:r>
        <w:t>Persistence: SQLite stores reports and scan counts; the app seeds clearly labeled sample rows on first run.</w:t>
      </w:r>
    </w:p>
    <w:p w:rsidR="007B3355" w:rsidP="66DC4736" w:rsidRDefault="00000000" w14:paraId="35BBAE23" w14:textId="77777777">
      <w:pPr>
        <w:pStyle w:val="ListParagraph"/>
        <w:numPr>
          <w:ilvl w:val="0"/>
          <w:numId w:val="3"/>
        </w:numPr>
        <w:rPr>
          <w:rFonts w:ascii="Times New Roman" w:hAnsi="Times New Roman" w:eastAsia="Times New Roman" w:cs="Times New Roman"/>
        </w:rPr>
      </w:pPr>
      <w:r>
        <w:t>Priority logic: Combines item count, category variety, reporter-rated severity, overflow or dumping, and sensitive-site proximity. The result is a triage estimate, not an official hazard assessment.</w:t>
      </w:r>
    </w:p>
    <w:p w:rsidR="007B3355" w:rsidP="66DC4736" w:rsidRDefault="00000000" w14:paraId="7C1431EE" w14:textId="594C5D22">
      <w:pPr>
        <w:pStyle w:val="Heading2"/>
        <w:rPr>
          <w:rFonts w:ascii="Times New Roman" w:hAnsi="Times New Roman" w:eastAsia="Times New Roman" w:cs="Times New Roman"/>
        </w:rPr>
      </w:pPr>
      <w:r>
        <w:t>5. Test Sheet: Sample Scenarios and Outputs</w:t>
      </w:r>
    </w:p>
    <w:p w:rsidR="007B3355" w:rsidP="66DC4736" w:rsidRDefault="00000000" w14:paraId="2DCC60A9" w14:textId="77777777">
      <w:pPr>
        <w:rPr>
          <w:rFonts w:ascii="Times New Roman" w:hAnsi="Times New Roman" w:eastAsia="Times New Roman" w:cs="Times New Roman"/>
          <w:i w:val="1"/>
          <w:iCs w:val="1"/>
        </w:rPr>
      </w:pPr>
      <w:r>
        <w:t>The table records five functional scenarios from the prototype and supplied screenshots. These are workflow observations, not a controlled accuracy study. A mixed-bin scan is marked partial because the example returned only one object.</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7B3355" w:rsidTr="66DC4736" w14:paraId="4F74686E" w14:textId="77777777">
        <w:trPr>
          <w:tblHeader/>
          <w:cantSplit/>
        </w:trPr>
        <w:tc>
          <w:tcPr>
            <w:tcW w:w="1872" w:type="dxa"/>
            <w:shd w:val="clear" w:color="auto" w:fill="F2F2F2" w:themeFill="background1" w:themeFillShade="F2"/>
            <w:tcMar/>
            <w:vAlign w:val="center"/>
          </w:tcPr>
          <w:p>
            <w:r>
              <w:rPr>
                <w:sz w:val="17"/>
              </w:rPr>
              <w:t>#</w:t>
            </w:r>
          </w:p>
        </w:tc>
        <w:tc>
          <w:tcPr>
            <w:tcW w:w="1872" w:type="dxa"/>
            <w:shd w:val="clear" w:color="auto" w:fill="F2F2F2" w:themeFill="background1" w:themeFillShade="F2"/>
            <w:tcMar/>
            <w:vAlign w:val="center"/>
          </w:tcPr>
          <w:p>
            <w:r>
              <w:rPr>
                <w:sz w:val="17"/>
              </w:rPr>
              <w:t>Scenario</w:t>
            </w:r>
          </w:p>
        </w:tc>
        <w:tc>
          <w:tcPr>
            <w:tcW w:w="1872" w:type="dxa"/>
            <w:shd w:val="clear" w:color="auto" w:fill="F2F2F2" w:themeFill="background1" w:themeFillShade="F2"/>
            <w:tcMar/>
            <w:vAlign w:val="center"/>
          </w:tcPr>
          <w:p>
            <w:r>
              <w:rPr>
                <w:sz w:val="17"/>
              </w:rPr>
              <w:t>Observed output</w:t>
            </w:r>
          </w:p>
        </w:tc>
        <w:tc>
          <w:tcPr>
            <w:tcW w:w="1872" w:type="dxa"/>
            <w:shd w:val="clear" w:color="auto" w:fill="F2F2F2" w:themeFill="background1" w:themeFillShade="F2"/>
            <w:tcMar/>
            <w:vAlign w:val="center"/>
          </w:tcPr>
          <w:p>
            <w:r>
              <w:rPr>
                <w:sz w:val="17"/>
              </w:rPr>
              <w:t>Evidence / expected behavior</w:t>
            </w:r>
          </w:p>
        </w:tc>
        <w:tc>
          <w:tcPr>
            <w:tcW w:w="1872" w:type="dxa"/>
            <w:shd w:val="clear" w:color="auto" w:fill="F2F2F2" w:themeFill="background1" w:themeFillShade="F2"/>
            <w:tcMar/>
            <w:vAlign w:val="center"/>
          </w:tcPr>
          <w:p>
            <w:r>
              <w:rPr>
                <w:sz w:val="17"/>
              </w:rPr>
              <w:t>Result</w:t>
            </w:r>
          </w:p>
        </w:tc>
      </w:tr>
      <w:tr w:rsidR="007B3355" w:rsidTr="66DC4736" w14:paraId="609840D4" w14:textId="77777777">
        <w:trPr>
          <w:cantSplit/>
        </w:trPr>
        <w:tc>
          <w:tcPr>
            <w:tcW w:w="1872" w:type="dxa"/>
            <w:tcMar/>
            <w:vAlign w:val="center"/>
          </w:tcPr>
          <w:p>
            <w:r>
              <w:rPr>
                <w:sz w:val="17"/>
              </w:rPr>
              <w:t>1</w:t>
            </w:r>
          </w:p>
        </w:tc>
        <w:tc>
          <w:tcPr>
            <w:tcW w:w="1872" w:type="dxa"/>
            <w:tcMar/>
            <w:vAlign w:val="center"/>
          </w:tcPr>
          <w:p>
            <w:r>
              <w:rPr>
                <w:sz w:val="17"/>
              </w:rPr>
              <w:t>Open the home page</w:t>
            </w:r>
          </w:p>
        </w:tc>
        <w:tc>
          <w:tcPr>
            <w:tcW w:w="1872" w:type="dxa"/>
            <w:tcMar/>
            <w:vAlign w:val="center"/>
          </w:tcPr>
          <w:p>
            <w:r>
              <w:rPr>
                <w:sz w:val="17"/>
              </w:rPr>
              <w:t>Operations desk, four workflows, report and scan metrics.</w:t>
            </w:r>
          </w:p>
        </w:tc>
        <w:tc>
          <w:tcPr>
            <w:tcW w:w="1872" w:type="dxa"/>
            <w:tcMar/>
            <w:vAlign w:val="center"/>
          </w:tcPr>
          <w:p>
            <w:r>
              <w:rPr>
                <w:sz w:val="17"/>
              </w:rPr>
              <w:t>Supplied home screenshot; navigation and actions are visible.</w:t>
            </w:r>
          </w:p>
        </w:tc>
        <w:tc>
          <w:tcPr>
            <w:tcW w:w="1872" w:type="dxa"/>
            <w:tcMar/>
            <w:vAlign w:val="center"/>
          </w:tcPr>
          <w:p>
            <w:r>
              <w:rPr>
                <w:sz w:val="17"/>
              </w:rPr>
              <w:t>Pass</w:t>
            </w:r>
          </w:p>
        </w:tc>
      </w:tr>
      <w:tr w:rsidR="007B3355" w:rsidTr="66DC4736" w14:paraId="57548D8A" w14:textId="77777777">
        <w:trPr>
          <w:cantSplit/>
        </w:trPr>
        <w:tc>
          <w:tcPr>
            <w:tcW w:w="1872" w:type="dxa"/>
            <w:tcMar/>
            <w:vAlign w:val="center"/>
          </w:tcPr>
          <w:p>
            <w:r>
              <w:rPr>
                <w:sz w:val="17"/>
              </w:rPr>
              <w:t>2</w:t>
            </w:r>
          </w:p>
        </w:tc>
        <w:tc>
          <w:tcPr>
            <w:tcW w:w="1872" w:type="dxa"/>
            <w:tcMar/>
            <w:vAlign w:val="center"/>
          </w:tcPr>
          <w:p>
            <w:r>
              <w:rPr>
                <w:sz w:val="17"/>
              </w:rPr>
              <w:t>Scan the supplied mixed-bin photo</w:t>
            </w:r>
          </w:p>
        </w:tc>
        <w:tc>
          <w:tcPr>
            <w:tcW w:w="1872" w:type="dxa"/>
            <w:tcMar/>
            <w:vAlign w:val="center"/>
          </w:tcPr>
          <w:p>
            <w:r>
              <w:rPr>
                <w:sz w:val="17"/>
              </w:rPr>
              <w:t>One “paper cup” detection at 49% confidence.</w:t>
            </w:r>
          </w:p>
        </w:tc>
        <w:tc>
          <w:tcPr>
            <w:tcW w:w="1872" w:type="dxa"/>
            <w:tcMar/>
            <w:vAlign w:val="center"/>
          </w:tcPr>
          <w:p>
            <w:r>
              <w:rPr>
                <w:sz w:val="17"/>
              </w:rPr>
              <w:t>Scanner screenshot; many other objects are visible but were not reported.</w:t>
            </w:r>
          </w:p>
        </w:tc>
        <w:tc>
          <w:tcPr>
            <w:tcW w:w="1872" w:type="dxa"/>
            <w:tcMar/>
            <w:vAlign w:val="center"/>
          </w:tcPr>
          <w:p>
            <w:r>
              <w:rPr>
                <w:sz w:val="17"/>
              </w:rPr>
              <w:t>Partial</w:t>
            </w:r>
          </w:p>
        </w:tc>
      </w:tr>
      <w:tr w:rsidR="007B3355" w:rsidTr="66DC4736" w14:paraId="7FB73688" w14:textId="77777777">
        <w:trPr>
          <w:cantSplit/>
        </w:trPr>
        <w:tc>
          <w:tcPr>
            <w:tcW w:w="1872" w:type="dxa"/>
            <w:tcMar/>
            <w:vAlign w:val="center"/>
          </w:tcPr>
          <w:p>
            <w:r>
              <w:rPr>
                <w:sz w:val="17"/>
              </w:rPr>
              <w:t>3</w:t>
            </w:r>
          </w:p>
        </w:tc>
        <w:tc>
          <w:tcPr>
            <w:tcW w:w="1872" w:type="dxa"/>
            <w:tcMar/>
            <w:vAlign w:val="center"/>
          </w:tcPr>
          <w:p>
            <w:r>
              <w:rPr>
                <w:sz w:val="17"/>
              </w:rPr>
              <w:t>Type “eggshells” in Smart Segregation</w:t>
            </w:r>
          </w:p>
        </w:tc>
        <w:tc>
          <w:tcPr>
            <w:tcW w:w="1872" w:type="dxa"/>
            <w:tcMar/>
            <w:vAlign w:val="center"/>
          </w:tcPr>
          <w:p>
            <w:r>
              <w:rPr>
                <w:sz w:val="17"/>
              </w:rPr>
              <w:t>Wet waste / compost recommendation with handling advice.</w:t>
            </w:r>
          </w:p>
        </w:tc>
        <w:tc>
          <w:tcPr>
            <w:tcW w:w="1872" w:type="dxa"/>
            <w:tcMar/>
            <w:vAlign w:val="center"/>
          </w:tcPr>
          <w:p>
            <w:r>
              <w:rPr>
                <w:sz w:val="17"/>
              </w:rPr>
              <w:t>Supplied segregation screenshot.</w:t>
            </w:r>
          </w:p>
        </w:tc>
        <w:tc>
          <w:tcPr>
            <w:tcW w:w="1872" w:type="dxa"/>
            <w:tcMar/>
            <w:vAlign w:val="center"/>
          </w:tcPr>
          <w:p>
            <w:r>
              <w:rPr>
                <w:sz w:val="17"/>
              </w:rPr>
              <w:t>Pass</w:t>
            </w:r>
          </w:p>
        </w:tc>
      </w:tr>
      <w:tr w:rsidR="007B3355" w:rsidTr="66DC4736" w14:paraId="0AEFA63E" w14:textId="77777777">
        <w:trPr>
          <w:cantSplit/>
        </w:trPr>
        <w:tc>
          <w:tcPr>
            <w:tcW w:w="1872" w:type="dxa"/>
            <w:tcMar/>
            <w:vAlign w:val="center"/>
          </w:tcPr>
          <w:p>
            <w:r>
              <w:rPr>
                <w:sz w:val="17"/>
              </w:rPr>
              <w:t>4</w:t>
            </w:r>
          </w:p>
        </w:tc>
        <w:tc>
          <w:tcPr>
            <w:tcW w:w="1872" w:type="dxa"/>
            <w:tcMar/>
            <w:vAlign w:val="center"/>
          </w:tcPr>
          <w:p>
            <w:r>
              <w:rPr>
                <w:sz w:val="17"/>
              </w:rPr>
              <w:t>Enter a hotspot report with severity/site conditions</w:t>
            </w:r>
          </w:p>
        </w:tc>
        <w:tc>
          <w:tcPr>
            <w:tcW w:w="1872" w:type="dxa"/>
            <w:tcMar/>
            <w:vAlign w:val="center"/>
          </w:tcPr>
          <w:p>
            <w:r>
              <w:rPr>
                <w:sz w:val="17"/>
              </w:rPr>
              <w:t>Report queue displays location, categories, priority inputs, and status.</w:t>
            </w:r>
          </w:p>
        </w:tc>
        <w:tc>
          <w:tcPr>
            <w:tcW w:w="1872" w:type="dxa"/>
            <w:tcMar/>
            <w:vAlign w:val="center"/>
          </w:tcPr>
          <w:p>
            <w:r>
              <w:rPr>
                <w:sz w:val="17"/>
              </w:rPr>
              <w:t>Supplied report screenshot.</w:t>
            </w:r>
          </w:p>
        </w:tc>
        <w:tc>
          <w:tcPr>
            <w:tcW w:w="1872" w:type="dxa"/>
            <w:tcMar/>
            <w:vAlign w:val="center"/>
          </w:tcPr>
          <w:p>
            <w:r>
              <w:rPr>
                <w:sz w:val="17"/>
              </w:rPr>
              <w:t>Pass</w:t>
            </w:r>
          </w:p>
        </w:tc>
      </w:tr>
      <w:tr w:rsidR="007B3355" w:rsidTr="66DC4736" w14:paraId="3E6B68B9" w14:textId="77777777">
        <w:trPr>
          <w:cantSplit/>
        </w:trPr>
        <w:tc>
          <w:tcPr>
            <w:tcW w:w="1872" w:type="dxa"/>
            <w:tcMar/>
            <w:vAlign w:val="center"/>
          </w:tcPr>
          <w:p>
            <w:r>
              <w:rPr>
                <w:sz w:val="17"/>
              </w:rPr>
              <w:t>5</w:t>
            </w:r>
          </w:p>
        </w:tc>
        <w:tc>
          <w:tcPr>
            <w:tcW w:w="1872" w:type="dxa"/>
            <w:tcMar/>
            <w:vAlign w:val="center"/>
          </w:tcPr>
          <w:p>
            <w:r>
              <w:rPr>
                <w:sz w:val="17"/>
              </w:rPr>
              <w:t>Review community impact</w:t>
            </w:r>
          </w:p>
        </w:tc>
        <w:tc>
          <w:tcPr>
            <w:tcW w:w="1872" w:type="dxa"/>
            <w:tcMar/>
            <w:vAlign w:val="center"/>
          </w:tcPr>
          <w:p>
            <w:r>
              <w:rPr>
                <w:sz w:val="17"/>
              </w:rPr>
              <w:t>Material mix, urgency, response status, and report rhythm charts.</w:t>
            </w:r>
          </w:p>
        </w:tc>
        <w:tc>
          <w:tcPr>
            <w:tcW w:w="1872" w:type="dxa"/>
            <w:tcMar/>
            <w:vAlign w:val="center"/>
          </w:tcPr>
          <w:p>
            <w:r>
              <w:rPr>
                <w:sz w:val="17"/>
              </w:rPr>
              <w:t>Supplied dashboard screenshot.</w:t>
            </w:r>
          </w:p>
        </w:tc>
        <w:tc>
          <w:tcPr>
            <w:tcW w:w="1872" w:type="dxa"/>
            <w:tcMar/>
            <w:vAlign w:val="center"/>
          </w:tcPr>
          <w:p>
            <w:r>
              <w:rPr>
                <w:sz w:val="17"/>
              </w:rPr>
              <w:t>Pass</w:t>
            </w:r>
          </w:p>
        </w:tc>
      </w:tr>
    </w:tbl>
    <w:p w:rsidR="007B3355" w:rsidP="66DC4736" w:rsidRDefault="00000000" w14:paraId="399D5A73" w14:textId="6BD95767">
      <w:pPr>
        <w:pStyle w:val="Heading2"/>
        <w:rPr>
          <w:rFonts w:ascii="Times New Roman" w:hAnsi="Times New Roman" w:eastAsia="Times New Roman" w:cs="Times New Roman"/>
        </w:rPr>
      </w:pPr>
      <w:r w:rsidRPr="66DC4736" w:rsidR="4F8C872B">
        <w:rPr>
          <w:rFonts w:ascii="Times New Roman" w:hAnsi="Times New Roman" w:eastAsia="Times New Roman" w:cs="Times New Roman"/>
        </w:rPr>
        <w:t>6</w:t>
      </w:r>
      <w:r w:rsidRPr="66DC4736" w:rsidR="79493D6C">
        <w:rPr>
          <w:rFonts w:ascii="Times New Roman" w:hAnsi="Times New Roman" w:eastAsia="Times New Roman" w:cs="Times New Roman"/>
        </w:rPr>
        <w:t>. Evaluation</w:t>
      </w:r>
    </w:p>
    <w:tbl>
      <w:tblPr>
        <w:tblStyle w:val="TableGrid"/>
        <w:tblW w:w="0" w:type="auto"/>
        <w:tblLayout w:type="fixed"/>
        <w:tblLook w:val="0420" w:firstRow="1" w:lastRow="0" w:firstColumn="0" w:lastColumn="0" w:noHBand="0" w:noVBand="1"/>
      </w:tblPr>
      <w:tblGrid>
        <w:gridCol w:w="4680"/>
        <w:gridCol w:w="4680"/>
      </w:tblGrid>
      <w:tr w:rsidR="007B3355" w:rsidTr="66DC4736" w14:paraId="65E2E136" w14:textId="77777777">
        <w:trPr>
          <w:tblHeader/>
        </w:trPr>
        <w:tc>
          <w:tcPr>
            <w:tcW w:w="4680" w:type="dxa"/>
            <w:shd w:val="clear" w:color="auto" w:fill="F2F2F2" w:themeFill="background1" w:themeFillShade="F2"/>
            <w:tcMar/>
            <w:vAlign w:val="center"/>
          </w:tcPr>
          <w:p>
            <w:r>
              <w:rPr>
                <w:sz w:val="17"/>
              </w:rPr>
              <w:t>Measure</w:t>
            </w:r>
          </w:p>
        </w:tc>
        <w:tc>
          <w:tcPr>
            <w:tcW w:w="4680" w:type="dxa"/>
            <w:shd w:val="clear" w:color="auto" w:fill="F2F2F2" w:themeFill="background1" w:themeFillShade="F2"/>
            <w:tcMar/>
            <w:vAlign w:val="center"/>
          </w:tcPr>
          <w:p>
            <w:r>
              <w:rPr>
                <w:sz w:val="17"/>
              </w:rPr>
              <w:t>Result</w:t>
            </w:r>
          </w:p>
        </w:tc>
      </w:tr>
      <w:tr w:rsidR="007B3355" w:rsidTr="66DC4736" w14:paraId="2AC0AB2F" w14:textId="77777777">
        <w:tc>
          <w:tcPr>
            <w:tcW w:w="4680" w:type="dxa"/>
            <w:tcMar/>
            <w:vAlign w:val="center"/>
          </w:tcPr>
          <w:p>
            <w:r>
              <w:rPr>
                <w:sz w:val="17"/>
              </w:rPr>
              <w:t>Manual workflow scenarios observed</w:t>
            </w:r>
          </w:p>
        </w:tc>
        <w:tc>
          <w:tcPr>
            <w:tcW w:w="4680" w:type="dxa"/>
            <w:tcMar/>
            <w:vAlign w:val="center"/>
          </w:tcPr>
          <w:p>
            <w:r>
              <w:rPr>
                <w:sz w:val="17"/>
              </w:rPr>
              <w:t>5</w:t>
            </w:r>
          </w:p>
        </w:tc>
      </w:tr>
      <w:tr w:rsidR="007B3355" w:rsidTr="66DC4736" w14:paraId="6BEEEF9F" w14:textId="77777777">
        <w:tc>
          <w:tcPr>
            <w:tcW w:w="4680" w:type="dxa"/>
            <w:tcMar/>
            <w:vAlign w:val="center"/>
          </w:tcPr>
          <w:p>
            <w:r>
              <w:rPr>
                <w:sz w:val="17"/>
              </w:rPr>
              <w:t>Workflow outcomes</w:t>
            </w:r>
          </w:p>
        </w:tc>
        <w:tc>
          <w:tcPr>
            <w:tcW w:w="4680" w:type="dxa"/>
            <w:tcMar/>
            <w:vAlign w:val="center"/>
          </w:tcPr>
          <w:p>
            <w:r>
              <w:rPr>
                <w:sz w:val="17"/>
              </w:rPr>
              <w:t>4 passed; 1 partial</w:t>
            </w:r>
          </w:p>
        </w:tc>
      </w:tr>
      <w:tr w:rsidR="007B3355" w:rsidTr="66DC4736" w14:paraId="4BA2F8A5" w14:textId="77777777">
        <w:tc>
          <w:tcPr>
            <w:tcW w:w="4680" w:type="dxa"/>
            <w:tcMar/>
            <w:vAlign w:val="center"/>
          </w:tcPr>
          <w:p>
            <w:r>
              <w:rPr>
                <w:sz w:val="17"/>
              </w:rPr>
              <w:t>Scanner detections in supplied mixed-bin example</w:t>
            </w:r>
          </w:p>
        </w:tc>
        <w:tc>
          <w:tcPr>
            <w:tcW w:w="4680" w:type="dxa"/>
            <w:tcMar/>
            <w:vAlign w:val="center"/>
          </w:tcPr>
          <w:p>
            <w:r>
              <w:rPr>
                <w:sz w:val="17"/>
              </w:rPr>
              <w:t>1 paper cup at 49% confidence</w:t>
            </w:r>
          </w:p>
        </w:tc>
      </w:tr>
      <w:tr w:rsidR="007B3355" w:rsidTr="66DC4736" w14:paraId="6F8CB571" w14:textId="77777777">
        <w:tc>
          <w:tcPr>
            <w:tcW w:w="4680" w:type="dxa"/>
            <w:tcMar/>
            <w:vAlign w:val="center"/>
          </w:tcPr>
          <w:p>
            <w:r>
              <w:rPr>
                <w:sz w:val="17"/>
              </w:rPr>
              <w:t>Detection precision / recall</w:t>
            </w:r>
          </w:p>
        </w:tc>
        <w:tc>
          <w:tcPr>
            <w:tcW w:w="4680" w:type="dxa"/>
            <w:tcMar/>
            <w:vAlign w:val="center"/>
          </w:tcPr>
          <w:p>
            <w:r>
              <w:rPr>
                <w:sz w:val="17"/>
              </w:rPr>
              <w:t>Not measured; no labeled ground truth dataset supplied</w:t>
            </w:r>
          </w:p>
        </w:tc>
      </w:tr>
      <w:tr w:rsidR="007B3355" w:rsidTr="66DC4736" w14:paraId="4D272240" w14:textId="77777777">
        <w:tc>
          <w:tcPr>
            <w:tcW w:w="4680" w:type="dxa"/>
            <w:tcMar/>
            <w:vAlign w:val="center"/>
          </w:tcPr>
          <w:p>
            <w:r>
              <w:rPr>
                <w:sz w:val="17"/>
              </w:rPr>
              <w:t>Sorting lookup examples shown</w:t>
            </w:r>
          </w:p>
        </w:tc>
        <w:tc>
          <w:tcPr>
            <w:tcW w:w="4680" w:type="dxa"/>
            <w:tcMar/>
            <w:vAlign w:val="center"/>
          </w:tcPr>
          <w:p>
            <w:r>
              <w:rPr>
                <w:sz w:val="17"/>
              </w:rPr>
              <w:t>1 (eggshells → wet waste / compost)</w:t>
            </w:r>
          </w:p>
        </w:tc>
      </w:tr>
      <w:tr w:rsidR="007B3355" w:rsidTr="66DC4736" w14:paraId="259203F5" w14:textId="77777777">
        <w:tc>
          <w:tcPr>
            <w:tcW w:w="4680" w:type="dxa"/>
            <w:tcMar/>
            <w:vAlign w:val="center"/>
          </w:tcPr>
          <w:p>
            <w:r>
              <w:rPr>
                <w:sz w:val="17"/>
              </w:rPr>
              <w:t>Priority score validation</w:t>
            </w:r>
          </w:p>
        </w:tc>
        <w:tc>
          <w:tcPr>
            <w:tcW w:w="4680" w:type="dxa"/>
            <w:tcMar/>
            <w:vAlign w:val="center"/>
          </w:tcPr>
          <w:p>
            <w:r>
              <w:rPr>
                <w:sz w:val="17"/>
              </w:rPr>
              <w:t>Not measured; score is an internal triage estimate</w:t>
            </w:r>
          </w:p>
        </w:tc>
      </w:tr>
      <w:tr w:rsidR="007B3355" w:rsidTr="66DC4736" w14:paraId="69C263A6" w14:textId="77777777">
        <w:tc>
          <w:tcPr>
            <w:tcW w:w="4680" w:type="dxa"/>
            <w:tcMar/>
            <w:vAlign w:val="center"/>
          </w:tcPr>
          <w:p>
            <w:r>
              <w:rPr>
                <w:sz w:val="17"/>
              </w:rPr>
              <w:t>Response time</w:t>
            </w:r>
          </w:p>
        </w:tc>
        <w:tc>
          <w:tcPr>
            <w:tcW w:w="4680" w:type="dxa"/>
            <w:tcMar/>
            <w:vAlign w:val="center"/>
          </w:tcPr>
          <w:p>
            <w:r>
              <w:rPr>
                <w:sz w:val="17"/>
              </w:rPr>
              <w:t>Not measured</w:t>
            </w:r>
          </w:p>
        </w:tc>
      </w:tr>
    </w:tbl>
    <w:p w:rsidR="007B3355" w:rsidP="66DC4736" w:rsidRDefault="00000000" w14:paraId="6175D27C" w14:textId="77777777">
      <w:pPr>
        <w:rPr>
          <w:rFonts w:ascii="Times New Roman" w:hAnsi="Times New Roman" w:eastAsia="Times New Roman" w:cs="Times New Roman"/>
        </w:rPr>
      </w:pPr>
      <w:r>
        <w:t>The supplied screenshots show the navigation, typed eggshell sorting guidance, hotspot intake and status queue, and dashboard views. The scanner ran on a mixed-bin photo but returned only one paper cup at 49% confidence. No labeled test dataset or ground-truth annotations were available, so model accuracy and detection recall were not measured.</w:t>
      </w:r>
    </w:p>
    <w:p w:rsidR="007B3355" w:rsidP="66DC4736" w:rsidRDefault="00000000" w14:paraId="0018D091" w14:textId="6DD17392">
      <w:pPr>
        <w:pStyle w:val="Heading2"/>
        <w:rPr>
          <w:rFonts w:ascii="Times New Roman" w:hAnsi="Times New Roman" w:eastAsia="Times New Roman" w:cs="Times New Roman"/>
        </w:rPr>
      </w:pPr>
      <w:r w:rsidRPr="66DC4736" w:rsidR="756B9D2E">
        <w:rPr>
          <w:rFonts w:ascii="Times New Roman" w:hAnsi="Times New Roman" w:eastAsia="Times New Roman" w:cs="Times New Roman"/>
        </w:rPr>
        <w:t>7</w:t>
      </w:r>
      <w:r w:rsidRPr="66DC4736" w:rsidR="79493D6C">
        <w:rPr>
          <w:rFonts w:ascii="Times New Roman" w:hAnsi="Times New Roman" w:eastAsia="Times New Roman" w:cs="Times New Roman"/>
        </w:rPr>
        <w:t>. Failure Case Analysis</w:t>
      </w:r>
    </w:p>
    <w:p w:rsidR="007B3355" w:rsidP="66DC4736" w:rsidRDefault="00000000" w14:paraId="53060545" w14:textId="77777777">
      <w:pPr>
        <w:rPr>
          <w:rFonts w:ascii="Times New Roman" w:hAnsi="Times New Roman" w:eastAsia="Times New Roman" w:cs="Times New Roman"/>
          <w:i w:val="1"/>
          <w:iCs w:val="1"/>
        </w:rPr>
      </w:pPr>
      <w:r>
        <w:t>The mixed-bin screenshot provides one observed weak case. The second case below is a known limitation of the current prototype, not a measured test result.</w:t>
      </w:r>
    </w:p>
    <w:tbl>
      <w:tblPr>
        <w:tblStyle w:val="TableGrid"/>
        <w:tblW w:w="0" w:type="auto"/>
        <w:tblLayout w:type="fixed"/>
        <w:tblLook w:val="0420" w:firstRow="1" w:lastRow="0" w:firstColumn="0" w:lastColumn="0" w:noHBand="0" w:noVBand="1"/>
      </w:tblPr>
      <w:tblGrid>
        <w:gridCol w:w="3120"/>
        <w:gridCol w:w="3120"/>
        <w:gridCol w:w="3120"/>
      </w:tblGrid>
      <w:tr w:rsidR="007B3355" w:rsidTr="66DC4736" w14:paraId="2D99B1B2" w14:textId="77777777">
        <w:trPr>
          <w:tblHeader/>
        </w:trPr>
        <w:tc>
          <w:tcPr>
            <w:tcW w:w="3120" w:type="dxa"/>
            <w:shd w:val="clear" w:color="auto" w:fill="F2F2F2" w:themeFill="background1" w:themeFillShade="F2"/>
            <w:tcMar/>
            <w:vAlign w:val="center"/>
          </w:tcPr>
          <w:p>
            <w:r>
              <w:rPr>
                <w:sz w:val="17"/>
              </w:rPr>
              <w:t>Field</w:t>
            </w:r>
          </w:p>
        </w:tc>
        <w:tc>
          <w:tcPr>
            <w:tcW w:w="3120" w:type="dxa"/>
            <w:shd w:val="clear" w:color="auto" w:fill="F2F2F2" w:themeFill="background1" w:themeFillShade="F2"/>
            <w:tcMar/>
            <w:vAlign w:val="center"/>
          </w:tcPr>
          <w:p>
            <w:r>
              <w:rPr>
                <w:sz w:val="17"/>
              </w:rPr>
              <w:t>Observed case: cluttered mixed bin</w:t>
            </w:r>
          </w:p>
        </w:tc>
        <w:tc>
          <w:tcPr>
            <w:tcW w:w="3120" w:type="dxa"/>
            <w:shd w:val="clear" w:color="auto" w:fill="F2F2F2" w:themeFill="background1" w:themeFillShade="F2"/>
            <w:tcMar/>
            <w:vAlign w:val="center"/>
          </w:tcPr>
          <w:p>
            <w:r>
              <w:rPr>
                <w:sz w:val="17"/>
              </w:rPr>
              <w:t>Known limitation: local sorting variation</w:t>
            </w:r>
          </w:p>
        </w:tc>
      </w:tr>
      <w:tr w:rsidR="007B3355" w:rsidTr="66DC4736" w14:paraId="530F2599" w14:textId="77777777">
        <w:tc>
          <w:tcPr>
            <w:tcW w:w="3120" w:type="dxa"/>
            <w:tcMar/>
            <w:vAlign w:val="center"/>
          </w:tcPr>
          <w:p>
            <w:r>
              <w:rPr>
                <w:sz w:val="17"/>
              </w:rPr>
              <w:t>Input</w:t>
            </w:r>
          </w:p>
        </w:tc>
        <w:tc>
          <w:tcPr>
            <w:tcW w:w="3120" w:type="dxa"/>
            <w:tcMar/>
            <w:vAlign w:val="center"/>
          </w:tcPr>
          <w:p>
            <w:r>
              <w:rPr>
                <w:sz w:val="17"/>
              </w:rPr>
              <w:t>Uploaded photo of two crowded waste bins.</w:t>
            </w:r>
          </w:p>
        </w:tc>
        <w:tc>
          <w:tcPr>
            <w:tcW w:w="3120" w:type="dxa"/>
            <w:tcMar/>
            <w:vAlign w:val="center"/>
          </w:tcPr>
          <w:p>
            <w:r>
              <w:rPr>
                <w:sz w:val="17"/>
              </w:rPr>
              <w:t>Typed or scanned material for which municipal rules vary.</w:t>
            </w:r>
          </w:p>
        </w:tc>
      </w:tr>
      <w:tr w:rsidR="007B3355" w:rsidTr="66DC4736" w14:paraId="29E21BCB" w14:textId="77777777">
        <w:tc>
          <w:tcPr>
            <w:tcW w:w="3120" w:type="dxa"/>
            <w:tcMar/>
            <w:vAlign w:val="center"/>
          </w:tcPr>
          <w:p>
            <w:r>
              <w:rPr>
                <w:sz w:val="17"/>
              </w:rPr>
              <w:t>Observed / possible output</w:t>
            </w:r>
          </w:p>
        </w:tc>
        <w:tc>
          <w:tcPr>
            <w:tcW w:w="3120" w:type="dxa"/>
            <w:tcMar/>
            <w:vAlign w:val="center"/>
          </w:tcPr>
          <w:p>
            <w:r>
              <w:rPr>
                <w:sz w:val="17"/>
              </w:rPr>
              <w:t>Only one paper cup was returned, at 49% confidence.</w:t>
            </w:r>
          </w:p>
        </w:tc>
        <w:tc>
          <w:tcPr>
            <w:tcW w:w="3120" w:type="dxa"/>
            <w:tcMar/>
            <w:vAlign w:val="center"/>
          </w:tcPr>
          <w:p>
            <w:r>
              <w:rPr>
                <w:sz w:val="17"/>
              </w:rPr>
              <w:t>A broad category route may not match local collection rules.</w:t>
            </w:r>
          </w:p>
        </w:tc>
      </w:tr>
      <w:tr w:rsidR="007B3355" w:rsidTr="66DC4736" w14:paraId="4CFE65F5" w14:textId="77777777">
        <w:tc>
          <w:tcPr>
            <w:tcW w:w="3120" w:type="dxa"/>
            <w:tcMar/>
            <w:vAlign w:val="center"/>
          </w:tcPr>
          <w:p>
            <w:r>
              <w:rPr>
                <w:sz w:val="17"/>
              </w:rPr>
              <w:t>What went wrong</w:t>
            </w:r>
          </w:p>
        </w:tc>
        <w:tc>
          <w:tcPr>
            <w:tcW w:w="3120" w:type="dxa"/>
            <w:tcMar/>
            <w:vAlign w:val="center"/>
          </w:tcPr>
          <w:p>
            <w:r>
              <w:rPr>
                <w:sz w:val="17"/>
              </w:rPr>
              <w:t>Visible mixed waste was largely missed in this example.</w:t>
            </w:r>
          </w:p>
        </w:tc>
        <w:tc>
          <w:tcPr>
            <w:tcW w:w="3120" w:type="dxa"/>
            <w:tcMar/>
            <w:vAlign w:val="center"/>
          </w:tcPr>
          <w:p>
            <w:r>
              <w:rPr>
                <w:sz w:val="17"/>
              </w:rPr>
              <w:t>The prototype does not load municipality-specific rules.</w:t>
            </w:r>
          </w:p>
        </w:tc>
      </w:tr>
      <w:tr w:rsidR="007B3355" w:rsidTr="66DC4736" w14:paraId="19BDE6F6" w14:textId="77777777">
        <w:tc>
          <w:tcPr>
            <w:tcW w:w="3120" w:type="dxa"/>
            <w:tcMar/>
            <w:vAlign w:val="center"/>
          </w:tcPr>
          <w:p>
            <w:r>
              <w:rPr>
                <w:sz w:val="17"/>
              </w:rPr>
              <w:t>Likely reason</w:t>
            </w:r>
          </w:p>
        </w:tc>
        <w:tc>
          <w:tcPr>
            <w:tcW w:w="3120" w:type="dxa"/>
            <w:tcMar/>
            <w:vAlign w:val="center"/>
          </w:tcPr>
          <w:p>
            <w:r>
              <w:rPr>
                <w:sz w:val="17"/>
              </w:rPr>
              <w:t>Clutter, occlusion, small objects, prompt coverage, and non-waste-trained weights can affect detection.</w:t>
            </w:r>
          </w:p>
        </w:tc>
        <w:tc>
          <w:tcPr>
            <w:tcW w:w="3120" w:type="dxa"/>
            <w:tcMar/>
            <w:vAlign w:val="center"/>
          </w:tcPr>
          <w:p>
            <w:r>
              <w:rPr>
                <w:sz w:val="17"/>
              </w:rPr>
              <w:t>Sorting mappings are intentionally broad and locally variable.</w:t>
            </w:r>
          </w:p>
        </w:tc>
      </w:tr>
      <w:tr w:rsidR="007B3355" w:rsidTr="66DC4736" w14:paraId="5F1FDEC7" w14:textId="77777777">
        <w:tc>
          <w:tcPr>
            <w:tcW w:w="3120" w:type="dxa"/>
            <w:tcMar/>
            <w:vAlign w:val="center"/>
          </w:tcPr>
          <w:p>
            <w:r>
              <w:rPr>
                <w:sz w:val="17"/>
              </w:rPr>
              <w:t>Possible fix</w:t>
            </w:r>
          </w:p>
        </w:tc>
        <w:tc>
          <w:tcPr>
            <w:tcW w:w="3120" w:type="dxa"/>
            <w:tcMar/>
            <w:vAlign w:val="center"/>
          </w:tcPr>
          <w:p>
            <w:r>
              <w:rPr>
                <w:sz w:val="17"/>
              </w:rPr>
              <w:t>Use a labeled waste image set, improve prompts/model training, and evaluate precision and recall.</w:t>
            </w:r>
          </w:p>
        </w:tc>
        <w:tc>
          <w:tcPr>
            <w:tcW w:w="3120" w:type="dxa"/>
            <w:tcMar/>
            <w:vAlign w:val="center"/>
          </w:tcPr>
          <w:p>
            <w:r>
              <w:rPr>
                <w:sz w:val="17"/>
              </w:rPr>
              <w:t>Add configurable local rules and a clear route to local authority guidance.</w:t>
            </w:r>
          </w:p>
        </w:tc>
      </w:tr>
    </w:tbl>
    <w:p w:rsidR="007B3355" w:rsidP="66DC4736" w:rsidRDefault="00000000" w14:paraId="725DC4DC" w14:textId="2FD2A7EF">
      <w:pPr>
        <w:pStyle w:val="Heading2"/>
        <w:rPr>
          <w:rFonts w:ascii="Times New Roman" w:hAnsi="Times New Roman" w:eastAsia="Times New Roman" w:cs="Times New Roman"/>
        </w:rPr>
      </w:pPr>
      <w:r w:rsidRPr="66DC4736" w:rsidR="6E5ECEB3">
        <w:rPr>
          <w:rFonts w:ascii="Times New Roman" w:hAnsi="Times New Roman" w:eastAsia="Times New Roman" w:cs="Times New Roman"/>
        </w:rPr>
        <w:t>8</w:t>
      </w:r>
      <w:r w:rsidRPr="66DC4736" w:rsidR="79493D6C">
        <w:rPr>
          <w:rFonts w:ascii="Times New Roman" w:hAnsi="Times New Roman" w:eastAsia="Times New Roman" w:cs="Times New Roman"/>
        </w:rPr>
        <w:t>. Limitations and Future Scope</w:t>
      </w:r>
    </w:p>
    <w:p w:rsidR="007B3355" w:rsidP="66DC4736" w:rsidRDefault="00000000" w14:paraId="1256156D" w14:textId="77777777">
      <w:pPr>
        <w:rPr>
          <w:rFonts w:ascii="Times New Roman" w:hAnsi="Times New Roman" w:eastAsia="Times New Roman" w:cs="Times New Roman"/>
        </w:rPr>
      </w:pPr>
      <w:r>
        <w:t>Limitations: The open-vocabulary detector is not trained or validated specifically for waste. Small, hidden, overlapping, or unfamiliar objects may be missed or mislabeled; the screenshot shows only one detection in a cluttered bin. Sorting rules are broad and vary by municipality. The SQLite prototype has no authentication, moderation, or multi-user synchronization. Seeded reports and demo detections are illustrative, not verified observations. Priority is a triage estimate, not an official hazard assessment.</w:t>
      </w:r>
    </w:p>
    <w:p w:rsidR="007B3355" w:rsidP="66DC4736" w:rsidRDefault="00000000" w14:paraId="0B80A07C" w14:textId="77777777">
      <w:pPr>
        <w:rPr>
          <w:rFonts w:ascii="Times New Roman" w:hAnsi="Times New Roman" w:eastAsia="Times New Roman" w:cs="Times New Roman"/>
        </w:rPr>
      </w:pPr>
      <w:r>
        <w:t>Future improvements: Collect and label diverse local waste images, then validate and fine-tune a waste-specific detector. Measure per-class precision and recall against a held-out dataset, improve clutter and small-object detection, and add calibrated confidence warnings. Add municipal-specific sorting rules, multilingual lookup, report photo review, map-based location capture, and verified before-and-after cleanup tracking.</w:t>
      </w:r>
    </w:p>
    <w:p w:rsidR="007B3355" w:rsidP="66DC4736" w:rsidRDefault="00000000" w14:paraId="60997D20" w14:textId="5DDC2DE9">
      <w:pPr>
        <w:pStyle w:val="Heading2"/>
        <w:rPr>
          <w:rFonts w:ascii="Times New Roman" w:hAnsi="Times New Roman" w:eastAsia="Times New Roman" w:cs="Times New Roman"/>
        </w:rPr>
      </w:pPr>
      <w:r w:rsidRPr="66DC4736" w:rsidR="073731ED">
        <w:rPr>
          <w:rFonts w:ascii="Times New Roman" w:hAnsi="Times New Roman" w:eastAsia="Times New Roman" w:cs="Times New Roman"/>
        </w:rPr>
        <w:t>9</w:t>
      </w:r>
      <w:r w:rsidRPr="66DC4736" w:rsidR="79493D6C">
        <w:rPr>
          <w:rFonts w:ascii="Times New Roman" w:hAnsi="Times New Roman" w:eastAsia="Times New Roman" w:cs="Times New Roman"/>
        </w:rPr>
        <w:t>. Learnings and Reflection</w:t>
      </w:r>
    </w:p>
    <w:p w:rsidR="007B3355" w:rsidP="66DC4736" w:rsidRDefault="00000000" w14:paraId="7B622AC9" w14:textId="77777777">
      <w:pPr>
        <w:rPr>
          <w:rFonts w:ascii="Times New Roman" w:hAnsi="Times New Roman" w:eastAsia="Times New Roman" w:cs="Times New Roman"/>
        </w:rPr>
      </w:pPr>
      <w:r>
        <w:t>The project combines computer vision, rule-based guidance, persistence, and dashboard design in one prototype. The mixed-bin scan demonstrates the challenge of detecting small and overlapping objects and the need to evaluate outputs against labeled examples. The modular Streamlit structure keeps scanning, segregation, reporting, and analytics independently extensible. The work connects software implementation with practical community waste workflows.</w:t>
      </w:r>
    </w:p>
    <w:p w:rsidR="007B3355" w:rsidP="66DC4736" w:rsidRDefault="00000000" w14:paraId="00104C05" w14:textId="503C5115">
      <w:pPr>
        <w:pStyle w:val="Heading2"/>
        <w:rPr>
          <w:rFonts w:ascii="Times New Roman" w:hAnsi="Times New Roman" w:eastAsia="Times New Roman" w:cs="Times New Roman"/>
        </w:rPr>
      </w:pPr>
      <w:r w:rsidRPr="66DC4736" w:rsidR="48B01353">
        <w:rPr>
          <w:rFonts w:ascii="Times New Roman" w:hAnsi="Times New Roman" w:eastAsia="Times New Roman" w:cs="Times New Roman"/>
        </w:rPr>
        <w:t>10</w:t>
      </w:r>
      <w:r w:rsidRPr="66DC4736" w:rsidR="79493D6C">
        <w:rPr>
          <w:rFonts w:ascii="Times New Roman" w:hAnsi="Times New Roman" w:eastAsia="Times New Roman" w:cs="Times New Roman"/>
        </w:rPr>
        <w:t>. Use of AI Tools Disclosure</w:t>
      </w:r>
    </w:p>
    <w:p w:rsidR="007B3355" w:rsidP="66DC4736" w:rsidRDefault="00000000" w14:paraId="0C411DFB" w14:textId="77777777">
      <w:pPr>
        <w:rPr>
          <w:rFonts w:ascii="Times New Roman" w:hAnsi="Times New Roman" w:eastAsia="Times New Roman" w:cs="Times New Roman"/>
        </w:rPr>
      </w:pPr>
      <w:r>
        <w:t>AI tools disclosure: ChatGPT was used to assist with code review, debugging, and report drafting. The application itself does not call a generative LLM; scanning uses an object-detection model and segregation uses explicit rules.</w:t>
      </w:r>
      <w:r>
        <w:t xml:space="preserve"> Project repository: </w:t>
      </w:r>
      <w:hyperlink r:id="rId7">
        <w:r>
          <w:t>https://github.com/Aditisy/Waste-Vision-AI</w:t>
        </w:r>
      </w:hyperlink>
    </w:p>
    <w:p>
      <w:r>
        <w:br w:type="page"/>
      </w:r>
    </w:p>
    <w:p>
      <w:pPr>
        <w:pStyle w:val="Heading1"/>
      </w:pPr>
      <w:r>
        <w:t>Appendix A. Interface Evidence</w:t>
      </w:r>
    </w:p>
    <w:p>
      <w:r>
        <w:t>The screenshots below document the prototype views and manual scenarios summarized in the report.</w:t>
      </w:r>
    </w:p>
    <w:p>
      <w:pPr>
        <w:jc w:val="center"/>
      </w:pPr>
      <w:r>
        <w:drawing>
          <wp:inline>
            <wp:extent cx="5806440" cy="2625192"/>
            <wp:docPr id="11750478" name="Picture 11750478"/>
            <wp:cNvGraphicFramePr>
              <a:graphicFrameLocks noChangeAspect="1"/>
            </wp:cNvGraphicFramePr>
            <a:graphic>
              <a:graphicData uri="http://schemas.openxmlformats.org/drawingml/2006/picture">
                <pic:pic>
                  <pic:nvPicPr>
                    <pic:cNvPr id="0" name="WhatsApp Image 2026-10-23 at 15.37.58.jpeg"/>
                    <pic:cNvPicPr/>
                  </pic:nvPicPr>
                  <pic:blipFill>
                    <a:blip r:embed="rId8"/>
                    <a:stretch>
                      <a:fillRect/>
                    </a:stretch>
                  </pic:blipFill>
                  <pic:spPr>
                    <a:xfrm>
                      <a:off x="0" y="0"/>
                      <a:ext cx="5806440" cy="2625192"/>
                    </a:xfrm>
                    <a:prstGeom prst="rect"/>
                  </pic:spPr>
                </pic:pic>
              </a:graphicData>
            </a:graphic>
          </wp:inline>
        </w:drawing>
      </w:r>
    </w:p>
    <w:p>
      <w:pPr>
        <w:jc w:val="center"/>
      </w:pPr>
      <w:r>
        <w:rPr>
          <w:i/>
          <w:sz w:val="18"/>
        </w:rPr>
        <w:t>Figure 1. Home operations desk showing report, priority, resolution, and scan metrics.</w:t>
      </w:r>
    </w:p>
    <w:p>
      <w:pPr>
        <w:jc w:val="center"/>
      </w:pPr>
      <w:r>
        <w:drawing>
          <wp:inline>
            <wp:extent cx="5806440" cy="2958641"/>
            <wp:docPr id="11750479" name="Picture 11750479"/>
            <wp:cNvGraphicFramePr>
              <a:graphicFrameLocks noChangeAspect="1"/>
            </wp:cNvGraphicFramePr>
            <a:graphic>
              <a:graphicData uri="http://schemas.openxmlformats.org/drawingml/2006/picture">
                <pic:pic>
                  <pic:nvPicPr>
                    <pic:cNvPr id="0" name="WhatsApp Image 2026-10-23 at 15.38.49.jpeg"/>
                    <pic:cNvPicPr/>
                  </pic:nvPicPr>
                  <pic:blipFill>
                    <a:blip r:embed="rId9"/>
                    <a:stretch>
                      <a:fillRect/>
                    </a:stretch>
                  </pic:blipFill>
                  <pic:spPr>
                    <a:xfrm>
                      <a:off x="0" y="0"/>
                      <a:ext cx="5806440" cy="2958641"/>
                    </a:xfrm>
                    <a:prstGeom prst="rect"/>
                  </pic:spPr>
                </pic:pic>
              </a:graphicData>
            </a:graphic>
          </wp:inline>
        </w:drawing>
      </w:r>
    </w:p>
    <w:p>
      <w:pPr>
        <w:jc w:val="center"/>
      </w:pPr>
      <w:r>
        <w:rPr>
          <w:i/>
          <w:sz w:val="18"/>
        </w:rPr>
        <w:t>Figure 2. Mixed-bin scan example. The shown result detected one paper cup at 49% confidence, illustrating the current recognition limitation.</w:t>
      </w:r>
    </w:p>
    <w:p>
      <w:r>
        <w:br w:type="page"/>
      </w:r>
    </w:p>
    <w:p>
      <w:pPr>
        <w:jc w:val="center"/>
      </w:pPr>
      <w:r>
        <w:drawing>
          <wp:inline>
            <wp:extent cx="5806440" cy="2759654"/>
            <wp:docPr id="11750480" name="Picture 11750480"/>
            <wp:cNvGraphicFramePr>
              <a:graphicFrameLocks noChangeAspect="1"/>
            </wp:cNvGraphicFramePr>
            <a:graphic>
              <a:graphicData uri="http://schemas.openxmlformats.org/drawingml/2006/picture">
                <pic:pic>
                  <pic:nvPicPr>
                    <pic:cNvPr id="0" name="WhatsApp Image 2026-10-23 at 15.39.55.jpeg"/>
                    <pic:cNvPicPr/>
                  </pic:nvPicPr>
                  <pic:blipFill>
                    <a:blip r:embed="rId10"/>
                    <a:stretch>
                      <a:fillRect/>
                    </a:stretch>
                  </pic:blipFill>
                  <pic:spPr>
                    <a:xfrm>
                      <a:off x="0" y="0"/>
                      <a:ext cx="5806440" cy="2759654"/>
                    </a:xfrm>
                    <a:prstGeom prst="rect"/>
                  </pic:spPr>
                </pic:pic>
              </a:graphicData>
            </a:graphic>
          </wp:inline>
        </w:drawing>
      </w:r>
    </w:p>
    <w:p>
      <w:pPr>
        <w:jc w:val="center"/>
      </w:pPr>
      <w:r>
        <w:rPr>
          <w:i/>
          <w:sz w:val="18"/>
        </w:rPr>
        <w:t>Figure 3. Free-text segregation lookup for “eggshells,” routed to wet waste or compost with handling guidance.</w:t>
      </w:r>
    </w:p>
    <w:p>
      <w:pPr>
        <w:jc w:val="center"/>
      </w:pPr>
      <w:r>
        <w:drawing>
          <wp:inline>
            <wp:extent cx="5806440" cy="2924288"/>
            <wp:docPr id="11750481" name="Picture 11750481"/>
            <wp:cNvGraphicFramePr>
              <a:graphicFrameLocks noChangeAspect="1"/>
            </wp:cNvGraphicFramePr>
            <a:graphic>
              <a:graphicData uri="http://schemas.openxmlformats.org/drawingml/2006/picture">
                <pic:pic>
                  <pic:nvPicPr>
                    <pic:cNvPr id="0" name="WhatsApp Image 2026-10-23 at 15.40.32.jpeg"/>
                    <pic:cNvPicPr/>
                  </pic:nvPicPr>
                  <pic:blipFill>
                    <a:blip r:embed="rId11"/>
                    <a:stretch>
                      <a:fillRect/>
                    </a:stretch>
                  </pic:blipFill>
                  <pic:spPr>
                    <a:xfrm>
                      <a:off x="0" y="0"/>
                      <a:ext cx="5806440" cy="2924288"/>
                    </a:xfrm>
                    <a:prstGeom prst="rect"/>
                  </pic:spPr>
                </pic:pic>
              </a:graphicData>
            </a:graphic>
          </wp:inline>
        </w:drawing>
      </w:r>
    </w:p>
    <w:p>
      <w:pPr>
        <w:jc w:val="center"/>
      </w:pPr>
      <w:r>
        <w:rPr>
          <w:i/>
          <w:sz w:val="18"/>
        </w:rPr>
        <w:t>Figure 4. Hotspot report inputs and response queue, including visible severity, overflow, sensitive-site proximity, priority, and status.</w:t>
      </w:r>
    </w:p>
    <w:p>
      <w:r>
        <w:br w:type="page"/>
      </w:r>
    </w:p>
    <w:p>
      <w:pPr>
        <w:jc w:val="center"/>
      </w:pPr>
      <w:r>
        <w:drawing>
          <wp:inline>
            <wp:extent cx="5806440" cy="2836530"/>
            <wp:docPr id="11750482" name="Picture 11750482"/>
            <wp:cNvGraphicFramePr>
              <a:graphicFrameLocks noChangeAspect="1"/>
            </wp:cNvGraphicFramePr>
            <a:graphic>
              <a:graphicData uri="http://schemas.openxmlformats.org/drawingml/2006/picture">
                <pic:pic>
                  <pic:nvPicPr>
                    <pic:cNvPr id="0" name="WhatsApp Image 2026-10-23 at 15.41.06.jpeg"/>
                    <pic:cNvPicPr/>
                  </pic:nvPicPr>
                  <pic:blipFill>
                    <a:blip r:embed="rId12"/>
                    <a:stretch>
                      <a:fillRect/>
                    </a:stretch>
                  </pic:blipFill>
                  <pic:spPr>
                    <a:xfrm>
                      <a:off x="0" y="0"/>
                      <a:ext cx="5806440" cy="2836530"/>
                    </a:xfrm>
                    <a:prstGeom prst="rect"/>
                  </pic:spPr>
                </pic:pic>
              </a:graphicData>
            </a:graphic>
          </wp:inline>
        </w:drawing>
      </w:r>
    </w:p>
    <w:p>
      <w:pPr>
        <w:jc w:val="center"/>
      </w:pPr>
      <w:r>
        <w:rPr>
          <w:i/>
          <w:sz w:val="18"/>
        </w:rPr>
        <w:t>Figure 5. Impact dashboard charts for material mix, urgency, response status, and report rhythm.</w:t>
      </w:r>
    </w:p>
    <w:sectPr w:rsidR="007B3355">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81CC2"/>
    <w:multiLevelType w:val="hybridMultilevel"/>
    <w:tmpl w:val="D71C07E2"/>
    <w:lvl w:ilvl="0" w:tplc="A1FCEA2E">
      <w:start w:val="1"/>
      <w:numFmt w:val="bullet"/>
      <w:lvlText w:val="•"/>
      <w:lvlJc w:val="left"/>
      <w:pPr>
        <w:ind w:left="720" w:hanging="360"/>
      </w:pPr>
    </w:lvl>
    <w:lvl w:ilvl="1" w:tplc="6E180926">
      <w:start w:val="1"/>
      <w:numFmt w:val="bullet"/>
      <w:lvlText w:val="o"/>
      <w:lvlJc w:val="left"/>
      <w:pPr>
        <w:ind w:left="1440" w:hanging="360"/>
      </w:pPr>
    </w:lvl>
    <w:lvl w:ilvl="2" w:tplc="325677F0">
      <w:start w:val="1"/>
      <w:numFmt w:val="bullet"/>
      <w:lvlText w:val="▪"/>
      <w:lvlJc w:val="left"/>
      <w:pPr>
        <w:ind w:left="2160" w:hanging="360"/>
      </w:pPr>
    </w:lvl>
    <w:lvl w:ilvl="3" w:tplc="C7409142">
      <w:start w:val="1"/>
      <w:numFmt w:val="bullet"/>
      <w:lvlText w:val="•"/>
      <w:lvlJc w:val="left"/>
      <w:pPr>
        <w:ind w:left="2880" w:hanging="360"/>
      </w:pPr>
    </w:lvl>
    <w:lvl w:ilvl="4" w:tplc="3D985B80">
      <w:start w:val="1"/>
      <w:numFmt w:val="bullet"/>
      <w:lvlText w:val="o"/>
      <w:lvlJc w:val="left"/>
      <w:pPr>
        <w:ind w:left="3600" w:hanging="360"/>
      </w:pPr>
    </w:lvl>
    <w:lvl w:ilvl="5" w:tplc="BBE8408A">
      <w:start w:val="1"/>
      <w:numFmt w:val="bullet"/>
      <w:lvlText w:val="▪"/>
      <w:lvlJc w:val="left"/>
      <w:pPr>
        <w:ind w:left="4320" w:hanging="360"/>
      </w:pPr>
    </w:lvl>
    <w:lvl w:ilvl="6" w:tplc="7F904226">
      <w:start w:val="1"/>
      <w:numFmt w:val="bullet"/>
      <w:lvlText w:val="•"/>
      <w:lvlJc w:val="left"/>
      <w:pPr>
        <w:ind w:left="5040" w:hanging="360"/>
      </w:pPr>
    </w:lvl>
    <w:lvl w:ilvl="7" w:tplc="3DB00450">
      <w:start w:val="1"/>
      <w:numFmt w:val="bullet"/>
      <w:lvlText w:val="o"/>
      <w:lvlJc w:val="left"/>
      <w:pPr>
        <w:ind w:left="5760" w:hanging="360"/>
      </w:pPr>
    </w:lvl>
    <w:lvl w:ilvl="8" w:tplc="B5784A30">
      <w:start w:val="1"/>
      <w:numFmt w:val="bullet"/>
      <w:lvlText w:val="▪"/>
      <w:lvlJc w:val="left"/>
      <w:pPr>
        <w:ind w:left="6480" w:hanging="360"/>
      </w:pPr>
    </w:lvl>
  </w:abstractNum>
  <w:abstractNum w:abstractNumId="1" w15:restartNumberingAfterBreak="0">
    <w:nsid w:val="51A603BB"/>
    <w:multiLevelType w:val="hybridMultilevel"/>
    <w:tmpl w:val="ACA6E69A"/>
    <w:lvl w:ilvl="0" w:tplc="57A269BE">
      <w:start w:val="1"/>
      <w:numFmt w:val="decimal"/>
      <w:lvlText w:val="%1."/>
      <w:lvlJc w:val="left"/>
      <w:pPr>
        <w:ind w:left="720" w:hanging="360"/>
      </w:pPr>
    </w:lvl>
    <w:lvl w:ilvl="1" w:tplc="2432E462">
      <w:start w:val="1"/>
      <w:numFmt w:val="lowerLetter"/>
      <w:lvlText w:val="%2."/>
      <w:lvlJc w:val="left"/>
      <w:pPr>
        <w:ind w:left="1440" w:hanging="360"/>
      </w:pPr>
    </w:lvl>
    <w:lvl w:ilvl="2" w:tplc="49DE609C">
      <w:start w:val="1"/>
      <w:numFmt w:val="lowerRoman"/>
      <w:lvlText w:val="%3."/>
      <w:lvlJc w:val="left"/>
      <w:pPr>
        <w:ind w:left="2160" w:hanging="360"/>
      </w:pPr>
    </w:lvl>
    <w:lvl w:ilvl="3" w:tplc="C4D0063C">
      <w:start w:val="1"/>
      <w:numFmt w:val="decimal"/>
      <w:lvlText w:val="%4."/>
      <w:lvlJc w:val="left"/>
      <w:pPr>
        <w:ind w:left="2880" w:hanging="360"/>
      </w:pPr>
    </w:lvl>
    <w:lvl w:ilvl="4" w:tplc="742E6BB2">
      <w:start w:val="1"/>
      <w:numFmt w:val="lowerLetter"/>
      <w:lvlText w:val="%5."/>
      <w:lvlJc w:val="left"/>
      <w:pPr>
        <w:ind w:left="3600" w:hanging="360"/>
      </w:pPr>
    </w:lvl>
    <w:lvl w:ilvl="5" w:tplc="F38E4A22">
      <w:start w:val="1"/>
      <w:numFmt w:val="lowerRoman"/>
      <w:lvlText w:val="%6."/>
      <w:lvlJc w:val="left"/>
      <w:pPr>
        <w:ind w:left="4320" w:hanging="360"/>
      </w:pPr>
    </w:lvl>
    <w:lvl w:ilvl="6" w:tplc="84483776">
      <w:start w:val="1"/>
      <w:numFmt w:val="decimal"/>
      <w:lvlText w:val="%7."/>
      <w:lvlJc w:val="left"/>
      <w:pPr>
        <w:ind w:left="5040" w:hanging="360"/>
      </w:pPr>
    </w:lvl>
    <w:lvl w:ilvl="7" w:tplc="39D2BFD0">
      <w:start w:val="1"/>
      <w:numFmt w:val="lowerLetter"/>
      <w:lvlText w:val="%8."/>
      <w:lvlJc w:val="left"/>
      <w:pPr>
        <w:ind w:left="5760" w:hanging="360"/>
      </w:pPr>
    </w:lvl>
    <w:lvl w:ilvl="8" w:tplc="404C0E0A">
      <w:start w:val="1"/>
      <w:numFmt w:val="lowerRoman"/>
      <w:lvlText w:val="%9."/>
      <w:lvlJc w:val="left"/>
      <w:pPr>
        <w:ind w:left="6480" w:hanging="360"/>
      </w:pPr>
    </w:lvl>
  </w:abstractNum>
  <w:num w:numId="1" w16cid:durableId="1669599494">
    <w:abstractNumId w:val="0"/>
  </w:num>
  <w:num w:numId="2" w16cid:durableId="221215558">
    <w:abstractNumId w:val="0"/>
  </w:num>
  <w:num w:numId="3" w16cid:durableId="35737862">
    <w:abstractNumId w:val="0"/>
  </w:num>
  <w:num w:numId="4" w16cid:durableId="1315915624">
    <w:abstractNumId w:val="0"/>
  </w:num>
  <w:num w:numId="5" w16cid:durableId="1311860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B3355"/>
    <w:rsid w:val="00000000"/>
    <w:rsid w:val="001E65CE"/>
    <w:rsid w:val="007B3355"/>
    <w:rsid w:val="00EF2DD6"/>
    <w:rsid w:val="0650FA24"/>
    <w:rsid w:val="073731ED"/>
    <w:rsid w:val="11213690"/>
    <w:rsid w:val="11213690"/>
    <w:rsid w:val="151C88F3"/>
    <w:rsid w:val="15CA95E1"/>
    <w:rsid w:val="188B855E"/>
    <w:rsid w:val="1AED9C2C"/>
    <w:rsid w:val="1C727CBB"/>
    <w:rsid w:val="1D7810E1"/>
    <w:rsid w:val="225B0CF9"/>
    <w:rsid w:val="234EF0B7"/>
    <w:rsid w:val="24BABFAE"/>
    <w:rsid w:val="2B558CCC"/>
    <w:rsid w:val="2E41A2CF"/>
    <w:rsid w:val="3161FDDF"/>
    <w:rsid w:val="31C96662"/>
    <w:rsid w:val="37E45A09"/>
    <w:rsid w:val="41504FA0"/>
    <w:rsid w:val="4281E031"/>
    <w:rsid w:val="4281E031"/>
    <w:rsid w:val="46B23C95"/>
    <w:rsid w:val="46B23C95"/>
    <w:rsid w:val="48B01353"/>
    <w:rsid w:val="4EC2C74C"/>
    <w:rsid w:val="4F8C872B"/>
    <w:rsid w:val="55030CC0"/>
    <w:rsid w:val="5A010B16"/>
    <w:rsid w:val="5C826607"/>
    <w:rsid w:val="6097774B"/>
    <w:rsid w:val="6167BFD5"/>
    <w:rsid w:val="66057F2C"/>
    <w:rsid w:val="66DC4736"/>
    <w:rsid w:val="67FC0A37"/>
    <w:rsid w:val="6AFA106B"/>
    <w:rsid w:val="6B761AF3"/>
    <w:rsid w:val="6BCAC979"/>
    <w:rsid w:val="6BCAC979"/>
    <w:rsid w:val="6E5ECEB3"/>
    <w:rsid w:val="72A93109"/>
    <w:rsid w:val="7400C7B7"/>
    <w:rsid w:val="756B9D2E"/>
    <w:rsid w:val="77530385"/>
    <w:rsid w:val="79493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92F05"/>
  <w15:docId w15:val="{A1C81AE4-7736-4DCC-A641-0BF6FDCD3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color="A0A0A0" w:sz="12" w:space="8"/>
      </w:pBdr>
      <w:ind w:left="720" w:right="720"/>
    </w:pPr>
    <w:rPr>
      <w:i/>
      <w:color w:val="404040"/>
    </w:rPr>
  </w:style>
  <w:style w:type="paragraph" w:styleId="Code" w:customStyle="1">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customStyle="1">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1488500198" Type="http://schemas.openxmlformats.org/officeDocument/2006/relationships/image" Target="../media/image.png"/><Relationship Id="rId7" Type="http://schemas.openxmlformats.org/officeDocument/2006/relationships/hyperlink" Target="https://github.com/Aditisy/Waste-Vision-AI" TargetMode="Externa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WasteVision AI Project Report</dc:title>
  <dc:description>Claude Docs node/89949bdc-38db@1 docx-w6</dc:description>
  <lastModifiedBy>Vasugi I</lastModifiedBy>
  <revision>3</revision>
  <dcterms:created xsi:type="dcterms:W3CDTF">2026-10-13T10:40:00.0000000Z</dcterms:created>
  <dcterms:modified xsi:type="dcterms:W3CDTF">2026-10-22T08:51:33.2648463Z</dcterms:modified>
  <dc:subject>Waste recognition, segregation guidance, and cleanup prioritization prototype</dc:subject>
  <dc:creator>Aditi S Yaranal; Adhisha Sreedith</dc:creator>
  <keywords>WasteVision AI, Streamlit, waste management, AIML</keywords>
</coreProperties>
</file>