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6ACF2" w14:textId="77777777" w:rsidR="00FF0978" w:rsidRDefault="00000000">
      <w:pPr>
        <w:jc w:val="center"/>
      </w:pPr>
      <w:r>
        <w:rPr>
          <w:rFonts w:ascii="Aptos Display" w:hAnsi="Aptos Display"/>
          <w:b/>
          <w:sz w:val="48"/>
        </w:rPr>
        <w:t>UML Use Case Diagram</w:t>
      </w:r>
    </w:p>
    <w:p w14:paraId="30F5C06B" w14:textId="77777777" w:rsidR="00FF0978" w:rsidRDefault="00000000">
      <w:pPr>
        <w:jc w:val="center"/>
      </w:pPr>
      <w:r>
        <w:rPr>
          <w:i/>
          <w:sz w:val="24"/>
        </w:rPr>
        <w:t>Maestro Enterprise Sovereign RAG</w:t>
      </w:r>
    </w:p>
    <w:p w14:paraId="5EE3A70E" w14:textId="77777777" w:rsidR="00FF0978" w:rsidRDefault="00FF0978"/>
    <w:p w14:paraId="5E8CAA49" w14:textId="77777777" w:rsidR="00FF0978" w:rsidRDefault="00000000">
      <w:pPr>
        <w:pStyle w:val="Heading1"/>
      </w:pPr>
      <w:r>
        <w:t>System Use-Case Scope</w:t>
      </w:r>
    </w:p>
    <w:p w14:paraId="556DA96E" w14:textId="7031B3D4" w:rsidR="00FF0978" w:rsidRDefault="00C6782B">
      <w:r>
        <w:rPr>
          <w:noProof/>
        </w:rPr>
        <w:drawing>
          <wp:anchor distT="0" distB="0" distL="114300" distR="114300" simplePos="0" relativeHeight="251657216" behindDoc="0" locked="0" layoutInCell="1" allowOverlap="1" wp14:anchorId="512B603D" wp14:editId="18EA1138">
            <wp:simplePos x="0" y="0"/>
            <wp:positionH relativeFrom="margin">
              <wp:posOffset>-570865</wp:posOffset>
            </wp:positionH>
            <wp:positionV relativeFrom="margin">
              <wp:posOffset>2896235</wp:posOffset>
            </wp:positionV>
            <wp:extent cx="7543800" cy="4243070"/>
            <wp:effectExtent l="0" t="0" r="0" b="5080"/>
            <wp:wrapSquare wrapText="bothSides"/>
            <wp:docPr id="20426706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424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The primary actor is the Authenticated User. Supporting actors are Clerk, Groq, PostgreSQL, Amazon Neptune and Qdrant. The diagram emphasizes user-visible capabilities while showing the external services that participate in those use cases.</w:t>
      </w:r>
      <w:r w:rsidRPr="00C6782B">
        <w:t xml:space="preserve"> </w:t>
      </w:r>
    </w:p>
    <w:p w14:paraId="55D41DD8" w14:textId="75A6CAD8" w:rsidR="000B267F" w:rsidRPr="000B267F" w:rsidRDefault="00000000" w:rsidP="000B267F">
      <w:pPr>
        <w:pStyle w:val="Heading2"/>
        <w:rPr>
          <w:lang w:val="en-IN"/>
        </w:rPr>
      </w:pPr>
      <w:proofErr w:type="spellStart"/>
      <w:r>
        <w:lastRenderedPageBreak/>
        <w:t>PlantUML</w:t>
      </w:r>
      <w:proofErr w:type="spellEnd"/>
      <w:r>
        <w:t xml:space="preserve"> Source</w:t>
      </w:r>
      <w:r w:rsidR="00325C45">
        <w:br/>
      </w:r>
      <w:r w:rsidR="00325C45">
        <w:br/>
      </w:r>
      <w:r w:rsidR="000B267F">
        <w:rPr>
          <w:noProof/>
        </w:rPr>
        <mc:AlternateContent>
          <mc:Choice Requires="wps">
            <w:drawing>
              <wp:inline distT="0" distB="0" distL="0" distR="0" wp14:anchorId="6AD94B16" wp14:editId="3EE77112">
                <wp:extent cx="304800" cy="304800"/>
                <wp:effectExtent l="0" t="0" r="0" b="0"/>
                <wp:docPr id="93695546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818092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0B267F">
        <w:rPr>
          <w:noProof/>
        </w:rPr>
        <mc:AlternateContent>
          <mc:Choice Requires="wps">
            <w:drawing>
              <wp:inline distT="0" distB="0" distL="0" distR="0" wp14:anchorId="5380A3B0" wp14:editId="536BE1AE">
                <wp:extent cx="304800" cy="304800"/>
                <wp:effectExtent l="0" t="0" r="0" b="0"/>
                <wp:docPr id="18865037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3707D7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0B267F">
        <w:rPr>
          <w:noProof/>
        </w:rPr>
        <mc:AlternateContent>
          <mc:Choice Requires="wps">
            <w:drawing>
              <wp:inline distT="0" distB="0" distL="0" distR="0" wp14:anchorId="088969BB" wp14:editId="0188DCE1">
                <wp:extent cx="304800" cy="304800"/>
                <wp:effectExtent l="0" t="0" r="0" b="0"/>
                <wp:docPr id="1197256128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53E241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0B267F" w:rsidRPr="000B267F">
        <w:rPr>
          <w:noProof/>
          <w:lang w:val="en-IN"/>
        </w:rPr>
        <w:drawing>
          <wp:inline distT="0" distB="0" distL="0" distR="0" wp14:anchorId="3C34EF7B" wp14:editId="0282F968">
            <wp:extent cx="6400800" cy="4461510"/>
            <wp:effectExtent l="0" t="0" r="0" b="0"/>
            <wp:docPr id="2053830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46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9C4EA" w14:textId="4589D158" w:rsidR="00FF0978" w:rsidRDefault="00325C45">
      <w:pPr>
        <w:pStyle w:val="Heading2"/>
      </w:pPr>
      <w:r>
        <w:br/>
      </w:r>
    </w:p>
    <w:p w14:paraId="16766826" w14:textId="77777777" w:rsidR="00FF0978" w:rsidRDefault="00000000">
      <w:pPr>
        <w:pStyle w:val="Heading1"/>
      </w:pPr>
      <w:r>
        <w:t>Use-Case Notes</w:t>
      </w:r>
    </w:p>
    <w:p w14:paraId="578634EC" w14:textId="77777777" w:rsidR="00FF0978" w:rsidRDefault="00000000">
      <w:pPr>
        <w:pStyle w:val="ListBullet"/>
        <w:spacing w:after="40"/>
      </w:pPr>
      <w:r>
        <w:t>Ask Natural-Language Query includes intent routing and grounded answer generation.</w:t>
      </w:r>
    </w:p>
    <w:p w14:paraId="52A927A3" w14:textId="77777777" w:rsidR="00FF0978" w:rsidRDefault="00000000">
      <w:pPr>
        <w:pStyle w:val="ListBullet"/>
        <w:spacing w:after="40"/>
      </w:pPr>
      <w:r>
        <w:t>Qdrant is the primary source for documentation/context, PostgreSQL for quantitative metrics, and Neptune for graph relationships.</w:t>
      </w:r>
    </w:p>
    <w:p w14:paraId="3E627341" w14:textId="77777777" w:rsidR="00FF0978" w:rsidRDefault="00000000">
      <w:pPr>
        <w:pStyle w:val="ListBullet"/>
        <w:spacing w:after="40"/>
      </w:pPr>
      <w:r>
        <w:t>Upload Knowledge Document creates vector representations for later semantic search.</w:t>
      </w:r>
    </w:p>
    <w:p w14:paraId="61EC52B0" w14:textId="77777777" w:rsidR="00FF0978" w:rsidRDefault="00000000">
      <w:pPr>
        <w:pStyle w:val="ListBullet"/>
        <w:spacing w:after="40"/>
      </w:pPr>
      <w:r>
        <w:t>Purge Session Vectors supports the Safe-RAG lifecycle.</w:t>
      </w:r>
    </w:p>
    <w:p w14:paraId="422D0E1E" w14:textId="77777777" w:rsidR="00FF0978" w:rsidRDefault="00000000">
      <w:pPr>
        <w:pStyle w:val="ListBullet"/>
        <w:spacing w:after="40"/>
      </w:pPr>
      <w:r>
        <w:t>Configuration and connection management cover credential setup and registration of named external data targets.</w:t>
      </w:r>
    </w:p>
    <w:sectPr w:rsidR="00FF0978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8263307">
    <w:abstractNumId w:val="8"/>
  </w:num>
  <w:num w:numId="2" w16cid:durableId="157428754">
    <w:abstractNumId w:val="6"/>
  </w:num>
  <w:num w:numId="3" w16cid:durableId="2136756082">
    <w:abstractNumId w:val="5"/>
  </w:num>
  <w:num w:numId="4" w16cid:durableId="1263949055">
    <w:abstractNumId w:val="4"/>
  </w:num>
  <w:num w:numId="5" w16cid:durableId="1850366469">
    <w:abstractNumId w:val="7"/>
  </w:num>
  <w:num w:numId="6" w16cid:durableId="1882204049">
    <w:abstractNumId w:val="3"/>
  </w:num>
  <w:num w:numId="7" w16cid:durableId="1944728094">
    <w:abstractNumId w:val="2"/>
  </w:num>
  <w:num w:numId="8" w16cid:durableId="1374774222">
    <w:abstractNumId w:val="1"/>
  </w:num>
  <w:num w:numId="9" w16cid:durableId="230310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530"/>
    <w:rsid w:val="000B267F"/>
    <w:rsid w:val="0015074B"/>
    <w:rsid w:val="0029639D"/>
    <w:rsid w:val="00325C45"/>
    <w:rsid w:val="00326F90"/>
    <w:rsid w:val="006844F8"/>
    <w:rsid w:val="006F707B"/>
    <w:rsid w:val="00AA1D8D"/>
    <w:rsid w:val="00B47730"/>
    <w:rsid w:val="00C6782B"/>
    <w:rsid w:val="00CB0664"/>
    <w:rsid w:val="00ED19D7"/>
    <w:rsid w:val="00FC693F"/>
    <w:rsid w:val="00FF0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DCABFF"/>
  <w14:defaultImageDpi w14:val="300"/>
  <w15:docId w15:val="{8FAE71F5-293C-4490-BC03-4F09BF172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B267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ALOK SINGH</cp:lastModifiedBy>
  <cp:revision>4</cp:revision>
  <dcterms:created xsi:type="dcterms:W3CDTF">2013-12-23T23:15:00Z</dcterms:created>
  <dcterms:modified xsi:type="dcterms:W3CDTF">2026-09-17T06:56:00Z</dcterms:modified>
  <cp:category/>
</cp:coreProperties>
</file>