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UML Use Case Diagram</w:t>
      </w:r>
    </w:p>
    <w:p>
      <w:pPr>
        <w:jc w:val="center"/>
      </w:pPr>
      <w:r>
        <w:rPr>
          <w:i/>
          <w:sz w:val="24"/>
        </w:rPr>
        <w:t>Maestro Enterprise Sovereign RAG</w:t>
      </w:r>
    </w:p>
    <w:p/>
    <w:p>
      <w:pPr>
        <w:pStyle w:val="Heading1"/>
      </w:pPr>
      <w:r>
        <w:t>System Use-Case Scope</w:t>
      </w:r>
    </w:p>
    <w:p>
      <w:r>
        <w:t>The primary actor is the Authenticated User. Supporting actors are Clerk, Groq, PostgreSQL, Amazon Neptune and Qdrant. The diagram emphasizes user-visible capabilities while showing the external services that participate in those use cases.</w:t>
      </w:r>
    </w:p>
    <w:p>
      <w:pPr>
        <w:pStyle w:val="Heading2"/>
      </w:pPr>
      <w:r>
        <w:t>PlantUML Source</w:t>
      </w:r>
    </w:p>
    <w:p>
      <w:pPr>
        <w:ind w:left="288"/>
      </w:pPr>
      <w:r>
        <w:rPr>
          <w:rFonts w:ascii="Consolas" w:hAnsi="Consolas"/>
          <w:sz w:val="17"/>
        </w:rPr>
        <w:t>@startuml</w:t>
        <w:br/>
        <w:t>left to right direction</w:t>
        <w:br/>
        <w:t>actor "Authenticated User" as User</w:t>
        <w:br/>
        <w:t>actor "Clerk" as Clerk</w:t>
        <w:br/>
        <w:t>actor "Groq LLM" as Groq</w:t>
        <w:br/>
        <w:t>actor "PostgreSQL" as PG</w:t>
        <w:br/>
        <w:t>actor "Amazon Neptune" as Neptune</w:t>
        <w:br/>
        <w:t>actor "Qdrant Vector DB" as Qdrant</w:t>
        <w:br/>
        <w:br/>
        <w:t>rectangle "Maestro Enterprise Sovereign RAG" {</w:t>
        <w:br/>
        <w:t xml:space="preserve">  usecase "Authenticate / Maintain Session" as UC1</w:t>
        <w:br/>
        <w:t xml:space="preserve">  usecase "Ask Natural-Language Query" as UC2</w:t>
        <w:br/>
        <w:t xml:space="preserve">  usecase "Route Query" as UC3</w:t>
        <w:br/>
        <w:t xml:space="preserve">  usecase "Search Documents / Context" as UC4</w:t>
        <w:br/>
        <w:t xml:space="preserve">  usecase "Query Metrics" as UC5</w:t>
        <w:br/>
        <w:t xml:space="preserve">  usecase "Query Graph Relationships" as UC6</w:t>
        <w:br/>
        <w:t xml:space="preserve">  usecase "Generate Grounded Answer" as UC7</w:t>
        <w:br/>
        <w:t xml:space="preserve">  usecase "Upload Knowledge Document" as UC8</w:t>
        <w:br/>
        <w:t xml:space="preserve">  usecase "Purge Session Vectors" as UC9</w:t>
        <w:br/>
        <w:t xml:space="preserve">  usecase "View Conversation History" as UC10</w:t>
        <w:br/>
        <w:t xml:space="preserve">  usecase "Delete Conversation" as UC11</w:t>
        <w:br/>
        <w:t xml:space="preserve">  usecase "Manage API &amp; DB Configuration" as UC12</w:t>
        <w:br/>
        <w:t xml:space="preserve">  usecase "Manage External Connections" as UC13</w:t>
        <w:br/>
        <w:t xml:space="preserve">  usecase "Switch LLM Model" as UC14</w:t>
        <w:br/>
        <w:t xml:space="preserve">  usecase "Check System Health" as UC15</w:t>
        <w:br/>
        <w:t>}</w:t>
        <w:br/>
        <w:br/>
        <w:t>User --&gt; UC1</w:t>
        <w:br/>
        <w:t>User --&gt; UC2</w:t>
        <w:br/>
        <w:t>User --&gt; UC8</w:t>
        <w:br/>
        <w:t>User --&gt; UC9</w:t>
        <w:br/>
        <w:t>User --&gt; UC10</w:t>
        <w:br/>
        <w:t>User --&gt; UC11</w:t>
        <w:br/>
        <w:t>User --&gt; UC12</w:t>
        <w:br/>
        <w:t>User --&gt; UC13</w:t>
        <w:br/>
        <w:t>User --&gt; UC14</w:t>
        <w:br/>
        <w:t>User --&gt; UC15</w:t>
        <w:br/>
        <w:br/>
        <w:t>UC1 --&gt; Clerk</w:t>
        <w:br/>
        <w:t>UC2 .&gt; UC3 : &lt;&lt;include&gt;&gt;</w:t>
        <w:br/>
        <w:t>UC2 .&gt; UC7 : &lt;&lt;include&gt;&gt;</w:t>
        <w:br/>
        <w:t>UC3 .&gt; UC4 : &lt;&lt;extend&gt;&gt;</w:t>
        <w:br/>
        <w:t>UC3 .&gt; UC5 : &lt;&lt;extend&gt;&gt;</w:t>
        <w:br/>
        <w:t>UC3 .&gt; UC6 : &lt;&lt;extend&gt;&gt;</w:t>
        <w:br/>
        <w:t>UC4 --&gt; Qdrant</w:t>
        <w:br/>
        <w:t>UC5 --&gt; PG</w:t>
        <w:br/>
        <w:t>UC6 --&gt; Neptune</w:t>
        <w:br/>
        <w:t>UC7 --&gt; Groq</w:t>
        <w:br/>
        <w:t>UC8 --&gt; Qdrant</w:t>
        <w:br/>
        <w:t>UC9 --&gt; Qdrant</w:t>
        <w:br/>
        <w:t>UC12 --&gt; Groq</w:t>
        <w:br/>
        <w:t>UC12 --&gt; Qdrant</w:t>
        <w:br/>
        <w:t>UC12 --&gt; PG</w:t>
        <w:br/>
        <w:t>UC12 --&gt; Neptune</w:t>
        <w:br/>
        <w:t>UC13 --&gt; PG</w:t>
        <w:br/>
        <w:t>UC13 --&gt; Neptune</w:t>
        <w:br/>
        <w:t>UC13 --&gt; Qdrant</w:t>
        <w:br/>
        <w:t>UC14 --&gt; Groq</w:t>
        <w:br/>
        <w:t>UC15 --&gt; PG</w:t>
        <w:br/>
        <w:t>UC15 --&gt; Neptune</w:t>
        <w:br/>
        <w:t>UC15 --&gt; Qdrant</w:t>
        <w:br/>
        <w:t>@enduml</w:t>
      </w:r>
    </w:p>
    <w:p>
      <w:pPr>
        <w:pStyle w:val="Heading1"/>
      </w:pPr>
      <w:r>
        <w:t>Use-Case Notes</w:t>
      </w:r>
    </w:p>
    <w:p>
      <w:pPr>
        <w:pStyle w:val="ListBullet"/>
        <w:spacing w:after="40"/>
      </w:pPr>
      <w:r>
        <w:t>Ask Natural-Language Query includes intent routing and grounded answer generation.</w:t>
      </w:r>
    </w:p>
    <w:p>
      <w:pPr>
        <w:pStyle w:val="ListBullet"/>
        <w:spacing w:after="40"/>
      </w:pPr>
      <w:r>
        <w:t>Qdrant is the primary source for documentation/context, PostgreSQL for quantitative metrics, and Neptune for graph relationships.</w:t>
      </w:r>
    </w:p>
    <w:p>
      <w:pPr>
        <w:pStyle w:val="ListBullet"/>
        <w:spacing w:after="40"/>
      </w:pPr>
      <w:r>
        <w:t>Upload Knowledge Document creates vector representations for later semantic search.</w:t>
      </w:r>
    </w:p>
    <w:p>
      <w:pPr>
        <w:pStyle w:val="ListBullet"/>
        <w:spacing w:after="40"/>
      </w:pPr>
      <w:r>
        <w:t>Purge Session Vectors supports the Safe-RAG lifecycle.</w:t>
      </w:r>
    </w:p>
    <w:p>
      <w:pPr>
        <w:pStyle w:val="ListBullet"/>
        <w:spacing w:after="40"/>
      </w:pPr>
      <w:r>
        <w:t>Configuration and connection management cover credential setup and registration of named external data targets.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