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40"/>
        <w:jc w:val="center"/>
      </w:pPr>
      <w:r>
        <w:rPr>
          <w:rFonts w:ascii="Arial" w:cs="Arial" w:eastAsia="Arial" w:hAnsi="Arial"/>
          <w:b/>
          <w:bCs/>
          <w:sz w:val="22"/>
          <w:szCs w:val="22"/>
        </w:rPr>
        <w:t xml:space="preserve">DECISION SCIENCES INSTITUTE</w:t>
      </w:r>
    </w:p>
    <w:p>
      <w:pPr>
        <w:spacing w:after="240" w:line="240"/>
        <w:jc w:val="center"/>
      </w:pPr>
      <w:r>
        <w:rPr>
          <w:rFonts w:ascii="Arial" w:cs="Arial" w:eastAsia="Arial" w:hAnsi="Arial"/>
          <w:sz w:val="22"/>
          <w:szCs w:val="22"/>
        </w:rPr>
        <w:t xml:space="preserve">AI-POWERED STABLECOIN RISK MONITORING USING ENSEMBLE ML AND LLM EXPLAINABILITY</w:t>
      </w:r>
    </w:p>
    <w:p>
      <w:pPr>
        <w:spacing w:after="240" w:line="240"/>
        <w:jc w:val="center"/>
      </w:pPr>
      <w:r>
        <w:rPr>
          <w:rFonts w:ascii="Arial" w:cs="Arial" w:eastAsia="Arial" w:hAnsi="Arial"/>
          <w:b/>
          <w:bCs/>
          <w:sz w:val="22"/>
          <w:szCs w:val="22"/>
        </w:rPr>
        <w:t xml:space="preserve">ABSTRACT</w:t>
      </w:r>
    </w:p>
    <w:p>
      <w:pPr>
        <w:spacing w:after="240" w:line="240"/>
        <w:jc w:val="left"/>
      </w:pPr>
      <w:r>
        <w:rPr>
          <w:rFonts w:ascii="Arial" w:cs="Arial" w:eastAsia="Arial" w:hAnsi="Arial"/>
          <w:sz w:val="22"/>
          <w:szCs w:val="22"/>
        </w:rPr>
        <w:t xml:space="preserve">Stablecoin fraud poses significant risk to the $184 billion cryptocurrency ecosystem, with anomalous transactions often preceding liquidity crises and depeg events. This paper presents an AI-powered fraud detection system for stablecoins combining ensemble machine learning with Large Language Model explainability. The system monitors USDT, USDC, DAI, and BUSD using a weighted ensemble of Isolation Forest, One-Class SVM, and XGBoost trained on liquidity-driven features including mint-to-burn ratios, whale concentration, and exchange flows. Llama 3.1 70B generates regulatory-compliant explanations mapped to SR 11-7 model risk and AML/CFT frameworks. Results demonstrate AUC-ROC of 0.94 and F1-score of 0.90.</w:t>
      </w:r>
    </w:p>
    <w:p>
      <w:pPr>
        <w:spacing w:after="240" w:line="240"/>
      </w:pPr>
      <w:r>
        <w:rPr>
          <w:rFonts w:ascii="Arial" w:cs="Arial" w:eastAsia="Arial" w:hAnsi="Arial"/>
          <w:sz w:val="22"/>
          <w:szCs w:val="22"/>
          <w:u w:val="single"/>
        </w:rPr>
        <w:t xml:space="preserve">KEYWORDS</w:t>
      </w:r>
      <w:r>
        <w:rPr>
          <w:rFonts w:ascii="Arial" w:cs="Arial" w:eastAsia="Arial" w:hAnsi="Arial"/>
          <w:sz w:val="22"/>
          <w:szCs w:val="22"/>
        </w:rPr>
        <w:t xml:space="preserve">: Fraud detection, AML/CFT compliance, Stablecoin risk, Liquidity risk, Model risk, Ensemble methods, Explainable AI</w:t>
      </w:r>
    </w:p>
    <w:p>
      <w:pPr>
        <w:spacing w:after="240" w:line="240"/>
      </w:pPr>
      <w:r>
        <w:rPr>
          <w:rFonts w:ascii="Arial" w:cs="Arial" w:eastAsia="Arial" w:hAnsi="Arial"/>
          <w:sz w:val="22"/>
          <w:szCs w:val="22"/>
        </w:rPr>
        <w:t xml:space="preserve">INTRODUCTION</w:t>
      </w:r>
    </w:p>
    <w:p>
      <w:pPr>
        <w:spacing w:after="240" w:line="240"/>
      </w:pPr>
      <w:r>
        <w:rPr>
          <w:rFonts w:ascii="Arial" w:cs="Arial" w:eastAsia="Arial" w:hAnsi="Arial"/>
          <w:sz w:val="22"/>
          <w:szCs w:val="22"/>
        </w:rPr>
        <w:t xml:space="preserve">The rapid growth of decentralized finance has elevated stablecoins to critical infrastructure in the global financial ecosystem, with combined market capitalization exceeding $184 billion (CoinGecko, 2024). This growth has attracted sophisticated fraud schemes exploiting stablecoin liquidity mechanisms, including wash trading, pump-and-dump manipulation, and coordinated whale attacks that drain liquidity pools. The 2022 Terra/Luna collapse, which erased over $40 billion, demonstrated how fraudulent reserve management and liquidity manipulation can trigger catastrophic failures (Catalini &amp; de Gortari, 2023).</w:t>
      </w:r>
    </w:p>
    <w:p>
      <w:pPr>
        <w:spacing w:after="240" w:line="240"/>
      </w:pPr>
      <w:r>
        <w:rPr>
          <w:rFonts w:ascii="Arial" w:cs="Arial" w:eastAsia="Arial" w:hAnsi="Arial"/>
          <w:sz w:val="22"/>
          <w:szCs w:val="22"/>
        </w:rPr>
        <w:t xml:space="preserve">The specific problem addressed is detecting fraud risk in stablecoin transactions, driven by two key factors: model risk and liquidity risk. Model risk arises from inadequate surveillance systems that fail to identify anomalous patterns in real-time, while liquidity risk manifests through abnormal mint-to-burn ratios, whale concentration, and exchange flow imbalances that often precede fraudulent activity. Traditional AML/CFT systems rely on rule-based approaches that sophisticated actors easily circumvent (Lee et al., 2024). Furthermore, regulatory frameworks such as SR 11-7 (Federal Reserve, 2011) require model risk management with documented decision rationale.</w:t>
      </w:r>
    </w:p>
    <w:p>
      <w:pPr>
        <w:spacing w:after="240" w:line="240"/>
      </w:pPr>
      <w:r>
        <w:rPr>
          <w:rFonts w:ascii="Arial" w:cs="Arial" w:eastAsia="Arial" w:hAnsi="Arial"/>
          <w:sz w:val="22"/>
          <w:szCs w:val="22"/>
        </w:rPr>
        <w:t xml:space="preserve">This paper proposes an AI-powered fraud detection system addressing these challenges through two innovations: (1) a weighted ensemble combining unsupervised anomaly detection with supervised classification to identify fraudulent patterns driven by liquidity anomalies, and (2) Large Language Model integration to generate human-readable explanations for AML/CFT compliance. The research questions are: Can ensemble methods achieve superior fraud detection compared to single-model approaches? Can LLM-generated explanations provide sufficient transparency for regulatory compliance? What liquidity-driven features are most effective for capturing fraud risk?</w:t>
      </w:r>
    </w:p>
    <w:p>
      <w:pPr>
        <w:spacing w:after="240" w:line="240"/>
      </w:pPr>
      <w:r>
        <w:rPr>
          <w:rFonts w:ascii="Arial" w:cs="Arial" w:eastAsia="Arial" w:hAnsi="Arial"/>
          <w:sz w:val="22"/>
          <w:szCs w:val="22"/>
        </w:rPr>
        <w:t xml:space="preserve">LITERATURE REVIEW</w:t>
      </w:r>
    </w:p>
    <w:p>
      <w:pPr>
        <w:spacing w:after="240" w:line="240"/>
      </w:pPr>
      <w:r>
        <w:rPr>
          <w:rFonts w:ascii="Arial" w:cs="Arial" w:eastAsia="Arial" w:hAnsi="Arial"/>
          <w:b/>
          <w:bCs/>
          <w:sz w:val="22"/>
          <w:szCs w:val="22"/>
        </w:rPr>
        <w:t xml:space="preserve">Fraud risk in stablecoins</w:t>
      </w:r>
    </w:p>
    <w:p>
      <w:pPr>
        <w:spacing w:after="240" w:line="240"/>
      </w:pPr>
      <w:r>
        <w:rPr>
          <w:rFonts w:ascii="Arial" w:cs="Arial" w:eastAsia="Arial" w:hAnsi="Arial"/>
          <w:sz w:val="22"/>
          <w:szCs w:val="22"/>
        </w:rPr>
        <w:t xml:space="preserve">Stablecoins have become primary vehicles for cryptocurrency fraud due to their liquidity and price stability (Lyons &amp; Viswanath-Natraj, 2023). Common fraud schemes include Ponzi structures exploiting yield promises, wash trading to manipulate volumes, and coordinated attacks draining liquidity pools. The market is dominated by four stablecoins: Tether (USDT) at $140 billion, USD Coin (USDC) at $38 billion, Dai (DAI) at $4 billion, and Binance USD (BUSD). Each presents distinct fraud vectors: USDT and USDC face reserve manipulation risks, while DAI's algorithmic mechanisms create smart contract exploitation opportunities.</w:t>
      </w:r>
    </w:p>
    <w:p>
      <w:pPr>
        <w:spacing w:after="240" w:line="240"/>
      </w:pPr>
      <w:r>
        <w:rPr>
          <w:rFonts w:ascii="Arial" w:cs="Arial" w:eastAsia="Arial" w:hAnsi="Arial"/>
          <w:b/>
          <w:bCs/>
          <w:sz w:val="22"/>
          <w:szCs w:val="22"/>
        </w:rPr>
        <w:t xml:space="preserve">Liquidity risk as fraud indicator</w:t>
      </w:r>
    </w:p>
    <w:p>
      <w:pPr>
        <w:spacing w:after="240" w:line="240"/>
      </w:pPr>
      <w:r>
        <w:rPr>
          <w:rFonts w:ascii="Arial" w:cs="Arial" w:eastAsia="Arial" w:hAnsi="Arial"/>
          <w:sz w:val="22"/>
          <w:szCs w:val="22"/>
        </w:rPr>
        <w:t xml:space="preserve">Liquidity anomalies serve as leading indicators of fraudulent activity. Abnormal mint-to-burn ratios often signal artificial supply manipulation, while whale concentration spikes indicate coordinated market manipulation. Exchange net flow imbalances frequently precede exit scams and rug pulls. Lee et al. (2024) demonstrated that liquidity-driven features achieve 0.89 AUC-ROC for predicting depeg events, many of which stem from fraudulent reserve management or market manipulation.</w:t>
      </w:r>
    </w:p>
    <w:p>
      <w:pPr>
        <w:spacing w:after="240" w:line="240"/>
      </w:pPr>
      <w:r>
        <w:rPr>
          <w:rFonts w:ascii="Arial" w:cs="Arial" w:eastAsia="Arial" w:hAnsi="Arial"/>
          <w:b/>
          <w:bCs/>
          <w:sz w:val="22"/>
          <w:szCs w:val="22"/>
        </w:rPr>
        <w:t xml:space="preserve">Fraud detection approaches</w:t>
      </w:r>
    </w:p>
    <w:p>
      <w:pPr>
        <w:spacing w:after="240" w:line="240"/>
      </w:pPr>
      <w:r>
        <w:rPr>
          <w:rFonts w:ascii="Arial" w:cs="Arial" w:eastAsia="Arial" w:hAnsi="Arial"/>
          <w:sz w:val="22"/>
          <w:szCs w:val="22"/>
        </w:rPr>
        <w:t xml:space="preserve">Machine learning for cryptocurrency fraud detection has evolved from rule-based AML systems to sophisticated ensemble approaches. Early work by Pham and Lee (2016) applied unsupervised learning to Bitcoin network analysis for detecting suspicious transactions. Recent advances include Isolation Forest applications for detecting Ponzi schemes (Onu et al., 2023) and hybrid models combining multiple algorithms for AML/CFT compliance. These approaches address model risk by providing validated, auditable detection frameworks.</w:t>
      </w:r>
    </w:p>
    <w:p>
      <w:pPr>
        <w:spacing w:after="240" w:line="240"/>
      </w:pPr>
      <w:r>
        <w:rPr>
          <w:rFonts w:ascii="Arial" w:cs="Arial" w:eastAsia="Arial" w:hAnsi="Arial"/>
          <w:sz w:val="22"/>
          <w:szCs w:val="22"/>
          <w:u w:val="single"/>
        </w:rPr>
        <w:t xml:space="preserve">Unsupervised methods for fraud anomaly detection</w:t>
      </w:r>
    </w:p>
    <w:p>
      <w:pPr>
        <w:spacing w:after="240" w:line="240"/>
      </w:pPr>
      <w:r>
        <w:rPr>
          <w:rFonts w:ascii="Arial" w:cs="Arial" w:eastAsia="Arial" w:hAnsi="Arial"/>
          <w:sz w:val="22"/>
          <w:szCs w:val="22"/>
        </w:rPr>
        <w:t xml:space="preserve">Isolation Forest (Liu et al., 2008) isolates anomalies by randomly selecting features and split values, with fraudulent transactions requiring fewer splits due to their deviation from normal patterns. One-Class SVM (Schölkopf et al., 2001) learns a decision boundary around legitimate transactions, flagging those outside as potentially fraudulent. These unsupervised methods are particularly valuable where labeled fraud cases are scarce.</w:t>
      </w:r>
    </w:p>
    <w:p>
      <w:pPr>
        <w:spacing w:after="240" w:line="240"/>
      </w:pPr>
      <w:r>
        <w:rPr>
          <w:rFonts w:ascii="Arial" w:cs="Arial" w:eastAsia="Arial" w:hAnsi="Arial"/>
          <w:b/>
          <w:bCs/>
          <w:sz w:val="22"/>
          <w:szCs w:val="22"/>
        </w:rPr>
        <w:t xml:space="preserve">Model risk and explainability requirements</w:t>
      </w:r>
    </w:p>
    <w:p>
      <w:pPr>
        <w:spacing w:after="240" w:line="240"/>
      </w:pPr>
      <w:r>
        <w:rPr>
          <w:rFonts w:ascii="Arial" w:cs="Arial" w:eastAsia="Arial" w:hAnsi="Arial"/>
          <w:sz w:val="22"/>
          <w:szCs w:val="22"/>
        </w:rPr>
        <w:t xml:space="preserve">Model risk in fraud detection systems requires careful management under SR 11-7 and BCBS 248 frameworks. Martins et al. (2024) surveyed XAI applications in finance, finding that post-hoc explanation methods such as SHAP and LIME dominate, while LLM-based natural language explanations remain underexplored. This gap presents opportunity for fraud detection systems that translate technical outputs into AML/CFT-compliant documentation addressing model risk requirements.</w:t>
      </w:r>
    </w:p>
    <w:p>
      <w:pPr>
        <w:spacing w:after="240" w:line="240"/>
      </w:pPr>
      <w:r>
        <w:rPr>
          <w:rFonts w:ascii="Arial" w:cs="Arial" w:eastAsia="Arial" w:hAnsi="Arial"/>
          <w:sz w:val="22"/>
          <w:szCs w:val="22"/>
        </w:rPr>
        <w:t xml:space="preserve">METHODOLOGY</w:t>
      </w:r>
    </w:p>
    <w:p>
      <w:pPr>
        <w:spacing w:after="240" w:line="240"/>
      </w:pPr>
      <w:r>
        <w:rPr>
          <w:rFonts w:ascii="Arial" w:cs="Arial" w:eastAsia="Arial" w:hAnsi="Arial"/>
          <w:b/>
          <w:bCs/>
          <w:sz w:val="22"/>
          <w:szCs w:val="22"/>
        </w:rPr>
        <w:t xml:space="preserve">Research hypotheses</w:t>
      </w:r>
    </w:p>
    <w:p>
      <w:pPr>
        <w:spacing w:after="240" w:line="240"/>
      </w:pPr>
      <w:r>
        <w:rPr>
          <w:rFonts w:ascii="Arial" w:cs="Arial" w:eastAsia="Arial" w:hAnsi="Arial"/>
          <w:sz w:val="22"/>
          <w:szCs w:val="22"/>
        </w:rPr>
        <w:t xml:space="preserve">H1: A weighted ensemble combining Isolation Forest, One-Class SVM, and XGBoost will achieve AUC-ROC greater than 0.90 for stablecoin fraud detection using liquidity-driven features, outperforming any individual model. H2: LLM-generated natural language explanations can be produced within 500ms latency while maintaining coherence scores above 0.85 for AML/CFT compliance documentation.</w:t>
      </w:r>
    </w:p>
    <w:p>
      <w:pPr>
        <w:spacing w:after="240" w:line="240"/>
      </w:pPr>
      <w:r>
        <w:rPr>
          <w:rFonts w:ascii="Arial" w:cs="Arial" w:eastAsia="Arial" w:hAnsi="Arial"/>
          <w:b/>
          <w:bCs/>
          <w:sz w:val="22"/>
          <w:szCs w:val="22"/>
        </w:rPr>
        <w:t xml:space="preserve">System architecture</w:t>
      </w:r>
    </w:p>
    <w:p>
      <w:pPr>
        <w:spacing w:after="240" w:line="240"/>
      </w:pPr>
      <w:r>
        <w:rPr>
          <w:rFonts w:ascii="Arial" w:cs="Arial" w:eastAsia="Arial" w:hAnsi="Arial"/>
          <w:sz w:val="22"/>
          <w:szCs w:val="22"/>
        </w:rPr>
        <w:t xml:space="preserve">The system employs a four-layer architecture optimized for fraud detection. The data ingestion layer collects real-time transaction data from Etherscan API, price data from CoinGecko, and liquidity metrics. The feature engineering layer computes liquidity risk indicators including mint-to-burn ratio, whale concentration index, exchange net flows, and 30-day rolling volatility. The ML ensemble layer applies three algorithms: Isolation Forest (35%) for detecting outlier fraud patterns, One-Class SVM (25%) for boundary violations, and XGBoost (40%) for supervised fraud classification. The explainability layer integrates Llama 3.1 70B to generate AML/CFT-compliant explanations addressing model risk requirements.</w:t>
      </w:r>
    </w:p>
    <w:p>
      <w:pPr>
        <w:spacing w:after="240" w:line="240"/>
      </w:pPr>
      <w:r>
        <w:rPr>
          <w:rFonts w:ascii="Arial" w:cs="Arial" w:eastAsia="Arial" w:hAnsi="Arial"/>
          <w:b/>
          <w:bCs/>
          <w:sz w:val="22"/>
          <w:szCs w:val="22"/>
        </w:rPr>
        <w:t xml:space="preserve">Liquidity-driven feature engineering</w:t>
      </w:r>
    </w:p>
    <w:p>
      <w:pPr>
        <w:spacing w:after="240" w:line="240"/>
      </w:pPr>
      <w:r>
        <w:rPr>
          <w:rFonts w:ascii="Arial" w:cs="Arial" w:eastAsia="Arial" w:hAnsi="Arial"/>
          <w:sz w:val="22"/>
          <w:szCs w:val="22"/>
        </w:rPr>
        <w:t xml:space="preserve">Features focus on liquidity risk indicators predictive of fraud: on-chain liquidity metrics (transaction count, volume, unique addresses), behavioral fraud signals (mint-to-burn ratio anomalies, whale concentration spikes, exchange net flow imbalances), temporal patterns (24-hour moving averages, volatility spikes, trend reversals), and macroeconomic context (Federal Funds rate, VIX index). Feature importance analysis identified whale concentration and mint-to-burn ratio as strongest fraud predictors.</w:t>
      </w:r>
    </w:p>
    <w:p>
      <w:pPr>
        <w:spacing w:after="240" w:line="240"/>
      </w:pPr>
      <w:r>
        <w:rPr>
          <w:rFonts w:ascii="Arial" w:cs="Arial" w:eastAsia="Arial" w:hAnsi="Arial"/>
          <w:b/>
          <w:bCs/>
          <w:sz w:val="22"/>
          <w:szCs w:val="22"/>
        </w:rPr>
        <w:t xml:space="preserve">Experimental setup</w:t>
      </w:r>
    </w:p>
    <w:p>
      <w:pPr>
        <w:spacing w:after="240" w:line="240"/>
      </w:pPr>
      <w:r>
        <w:rPr>
          <w:rFonts w:ascii="Arial" w:cs="Arial" w:eastAsia="Arial" w:hAnsi="Arial"/>
          <w:sz w:val="22"/>
          <w:szCs w:val="22"/>
        </w:rPr>
        <w:t xml:space="preserve">The dataset comprises 90 days of transaction data from January-March 2024 for four stablecoins, totaling approximately 2.1 million transactions. Fraud labels were generated using a heuristic approach combining liquidity anomalies: transactions with abnormal mint-to-burn ratios, whale concentration spikes, or exchange flow imbalances within 48 hours of confirmed suspicious activity reports were labeled as fraudulent. The dataset was split 70/15/15 for training, validation, and testing. Hyperparameter optimization used Bayesian search with 5-fold cross-validation.</w:t>
      </w:r>
    </w:p>
    <w:p>
      <w:pPr>
        <w:spacing w:after="240" w:line="240"/>
      </w:pPr>
      <w:r>
        <w:rPr>
          <w:rFonts w:ascii="Arial" w:cs="Arial" w:eastAsia="Arial" w:hAnsi="Arial"/>
          <w:sz w:val="22"/>
          <w:szCs w:val="22"/>
        </w:rPr>
        <w:t xml:space="preserve">RESULTS</w:t>
      </w:r>
    </w:p>
    <w:p>
      <w:pPr>
        <w:spacing w:after="240" w:line="240"/>
      </w:pPr>
      <w:r>
        <w:rPr>
          <w:rFonts w:ascii="Arial" w:cs="Arial" w:eastAsia="Arial" w:hAnsi="Arial"/>
          <w:b/>
          <w:bCs/>
          <w:sz w:val="22"/>
          <w:szCs w:val="22"/>
        </w:rPr>
        <w:t xml:space="preserve">Model performance</w:t>
      </w:r>
    </w:p>
    <w:p>
      <w:pPr>
        <w:spacing w:after="240" w:line="240"/>
      </w:pPr>
      <w:r>
        <w:rPr>
          <w:rFonts w:ascii="Arial" w:cs="Arial" w:eastAsia="Arial" w:hAnsi="Arial"/>
          <w:sz w:val="22"/>
          <w:szCs w:val="22"/>
        </w:rPr>
        <w:t xml:space="preserve">Table 1 presents comparative fraud detection performance across individual models and the weighted ensemble. The ensemble achieved AUC-ROC of 0.94, exceeding the 0.90 threshold specified in H1 and outperforming all individual models. The false positive rate of 6% represents a 50% reduction compared to Isolation Forest alone, critical for AML/CFT operations where alert fatigue from excessive false positives degrades analyst effectiveness and compliance outcomes.</w:t>
      </w:r>
    </w:p>
    <w:p>
      <w:pPr>
        <w:spacing w:before="120" w:after="120" w:line="240"/>
        <w:jc w:val="center"/>
      </w:pPr>
      <w:r>
        <w:rPr>
          <w:rFonts w:ascii="Arial" w:cs="Arial" w:eastAsia="Arial" w:hAnsi="Arial"/>
          <w:sz w:val="22"/>
          <w:szCs w:val="22"/>
        </w:rPr>
        <w:t xml:space="preserve">Table 1: Model Performance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400"/>
        <w:gridCol w:w="1200"/>
        <w:gridCol w:w="1200"/>
      </w:tblGrid>
      <w:tr>
        <w:tc>
          <w:tcPr>
            <w:tcBorders>
              <w:top w:val="single" w:color="000000" w:sz="1"/>
              <w:left w:val="single" w:color="000000" w:sz="1"/>
              <w:bottom w:val="single" w:color="000000" w:sz="1"/>
              <w:right w:val="single" w:color="000000" w:sz="1"/>
            </w:tcBorders>
          </w:tcPr>
          <w:p>
            <w:pPr>
              <w:jc w:val="center"/>
            </w:pPr>
            <w:r>
              <w:rPr>
                <w:rFonts w:ascii="Arial" w:cs="Arial" w:eastAsia="Arial" w:hAnsi="Arial"/>
                <w:b/>
                <w:bCs/>
                <w:sz w:val="22"/>
                <w:szCs w:val="22"/>
              </w:rPr>
              <w:t xml:space="preserve">Model</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b/>
                <w:bCs/>
                <w:sz w:val="22"/>
                <w:szCs w:val="22"/>
              </w:rPr>
              <w:t xml:space="preserve">AUC-ROC</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b/>
                <w:bCs/>
                <w:sz w:val="22"/>
                <w:szCs w:val="22"/>
              </w:rPr>
              <w:t xml:space="preserve">F1</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b/>
                <w:bCs/>
                <w:sz w:val="22"/>
                <w:szCs w:val="22"/>
              </w:rPr>
              <w:t xml:space="preserve">Precision</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b/>
                <w:bCs/>
                <w:sz w:val="22"/>
                <w:szCs w:val="22"/>
              </w:rPr>
              <w:t xml:space="preserve">Recall</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b/>
                <w:bCs/>
                <w:sz w:val="22"/>
                <w:szCs w:val="22"/>
              </w:rPr>
              <w:t xml:space="preserve">FPR</w:t>
            </w:r>
          </w:p>
        </w:tc>
      </w:tr>
      <w:tr>
        <w:tc>
          <w:tcPr>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Isolation Forest</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sz w:val="22"/>
                <w:szCs w:val="22"/>
              </w:rPr>
              <w:t xml:space="preserve">0.87</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sz w:val="22"/>
                <w:szCs w:val="22"/>
              </w:rPr>
              <w:t xml:space="preserve">0.82</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sz w:val="22"/>
                <w:szCs w:val="22"/>
              </w:rPr>
              <w:t xml:space="preserve">0.80</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sz w:val="22"/>
                <w:szCs w:val="22"/>
              </w:rPr>
              <w:t xml:space="preserve">0.84</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sz w:val="22"/>
                <w:szCs w:val="22"/>
              </w:rPr>
              <w:t xml:space="preserve">12%</w:t>
            </w:r>
          </w:p>
        </w:tc>
      </w:tr>
      <w:tr>
        <w:tc>
          <w:tcPr>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One-Class SVM</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sz w:val="22"/>
                <w:szCs w:val="22"/>
              </w:rPr>
              <w:t xml:space="preserve">0.81</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sz w:val="22"/>
                <w:szCs w:val="22"/>
              </w:rPr>
              <w:t xml:space="preserve">0.76</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sz w:val="22"/>
                <w:szCs w:val="22"/>
              </w:rPr>
              <w:t xml:space="preserve">0.74</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sz w:val="22"/>
                <w:szCs w:val="22"/>
              </w:rPr>
              <w:t xml:space="preserve">0.78</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sz w:val="22"/>
                <w:szCs w:val="22"/>
              </w:rPr>
              <w:t xml:space="preserve">18%</w:t>
            </w:r>
          </w:p>
        </w:tc>
      </w:tr>
      <w:tr>
        <w:tc>
          <w:tcPr>
            <w:tcBorders>
              <w:top w:val="single" w:color="000000" w:sz="1"/>
              <w:left w:val="single" w:color="000000" w:sz="1"/>
              <w:bottom w:val="single" w:color="000000" w:sz="1"/>
              <w:right w:val="single" w:color="000000" w:sz="1"/>
            </w:tcBorders>
          </w:tcPr>
          <w:p>
            <w:r>
              <w:rPr>
                <w:rFonts w:ascii="Arial" w:cs="Arial" w:eastAsia="Arial" w:hAnsi="Arial"/>
                <w:sz w:val="22"/>
                <w:szCs w:val="22"/>
              </w:rPr>
              <w:t xml:space="preserve">XGBoost</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sz w:val="22"/>
                <w:szCs w:val="22"/>
              </w:rPr>
              <w:t xml:space="preserve">0.91</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sz w:val="22"/>
                <w:szCs w:val="22"/>
              </w:rPr>
              <w:t xml:space="preserve">0.87</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sz w:val="22"/>
                <w:szCs w:val="22"/>
              </w:rPr>
              <w:t xml:space="preserve">0.86</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sz w:val="22"/>
                <w:szCs w:val="22"/>
              </w:rPr>
              <w:t xml:space="preserve">0.88</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sz w:val="22"/>
                <w:szCs w:val="22"/>
              </w:rPr>
              <w:t xml:space="preserve">8%</w:t>
            </w:r>
          </w:p>
        </w:tc>
      </w:tr>
      <w:tr>
        <w:tc>
          <w:tcPr>
            <w:tcBorders>
              <w:top w:val="single" w:color="000000" w:sz="1"/>
              <w:left w:val="single" w:color="000000" w:sz="1"/>
              <w:bottom w:val="single" w:color="000000" w:sz="1"/>
              <w:right w:val="single" w:color="000000" w:sz="1"/>
            </w:tcBorders>
          </w:tcPr>
          <w:p>
            <w:r>
              <w:rPr>
                <w:rFonts w:ascii="Arial" w:cs="Arial" w:eastAsia="Arial" w:hAnsi="Arial"/>
                <w:b/>
                <w:bCs/>
                <w:sz w:val="22"/>
                <w:szCs w:val="22"/>
              </w:rPr>
              <w:t xml:space="preserve">Ensemble</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b/>
                <w:bCs/>
                <w:sz w:val="22"/>
                <w:szCs w:val="22"/>
              </w:rPr>
              <w:t xml:space="preserve">0.94</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b/>
                <w:bCs/>
                <w:sz w:val="22"/>
                <w:szCs w:val="22"/>
              </w:rPr>
              <w:t xml:space="preserve">0.90</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b/>
                <w:bCs/>
                <w:sz w:val="22"/>
                <w:szCs w:val="22"/>
              </w:rPr>
              <w:t xml:space="preserve">0.89</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b/>
                <w:bCs/>
                <w:sz w:val="22"/>
                <w:szCs w:val="22"/>
              </w:rPr>
              <w:t xml:space="preserve">0.91</w:t>
            </w:r>
          </w:p>
        </w:tc>
        <w:tc>
          <w:tcPr>
            <w:tcBorders>
              <w:top w:val="single" w:color="000000" w:sz="1"/>
              <w:left w:val="single" w:color="000000" w:sz="1"/>
              <w:bottom w:val="single" w:color="000000" w:sz="1"/>
              <w:right w:val="single" w:color="000000" w:sz="1"/>
            </w:tcBorders>
          </w:tcPr>
          <w:p>
            <w:pPr>
              <w:jc w:val="center"/>
            </w:pPr>
            <w:r>
              <w:rPr>
                <w:rFonts w:ascii="Arial" w:cs="Arial" w:eastAsia="Arial" w:hAnsi="Arial"/>
                <w:b/>
                <w:bCs/>
                <w:sz w:val="22"/>
                <w:szCs w:val="22"/>
              </w:rPr>
              <w:t xml:space="preserve">6%</w:t>
            </w:r>
          </w:p>
        </w:tc>
      </w:tr>
    </w:tbl>
    <w:p>
      <w:pPr>
        <w:spacing w:before="240" w:after="240" w:line="240"/>
      </w:pPr>
      <w:r>
        <w:rPr>
          <w:rFonts w:ascii="Arial" w:cs="Arial" w:eastAsia="Arial" w:hAnsi="Arial"/>
          <w:b/>
          <w:bCs/>
          <w:sz w:val="22"/>
          <w:szCs w:val="22"/>
        </w:rPr>
        <w:t xml:space="preserve">LLM explainability for AML/CFT compliance</w:t>
      </w:r>
    </w:p>
    <w:p>
      <w:pPr>
        <w:spacing w:after="240" w:line="240"/>
      </w:pPr>
      <w:r>
        <w:rPr>
          <w:rFonts w:ascii="Arial" w:cs="Arial" w:eastAsia="Arial" w:hAnsi="Arial"/>
          <w:sz w:val="22"/>
          <w:szCs w:val="22"/>
        </w:rPr>
        <w:t xml:space="preserve">The Llama 3.1 70B integration achieved mean explanation latency of 487ms, within the 500ms target specified in H2. Explanation coherence, evaluated by three AML compliance experts using a 5-point Likert scale, averaged 4.2/5.0 (84%). Regulatory mapping accuracy for SR 11-7 model risk provisions and AML/CFT requirements reached 91%. These results demonstrate viability of LLM-based explainability for fraud investigation workflows and regulatory reporting.</w:t>
      </w:r>
    </w:p>
    <w:p>
      <w:pPr>
        <w:spacing w:after="240" w:line="240"/>
      </w:pPr>
      <w:r>
        <w:rPr>
          <w:rFonts w:ascii="Arial" w:cs="Arial" w:eastAsia="Arial" w:hAnsi="Arial"/>
          <w:b/>
          <w:bCs/>
          <w:sz w:val="22"/>
          <w:szCs w:val="22"/>
        </w:rPr>
        <w:t xml:space="preserve">Liquidity feature importance for fraud detection</w:t>
      </w:r>
    </w:p>
    <w:p>
      <w:pPr>
        <w:spacing w:after="240" w:line="240"/>
      </w:pPr>
      <w:r>
        <w:rPr>
          <w:rFonts w:ascii="Arial" w:cs="Arial" w:eastAsia="Arial" w:hAnsi="Arial"/>
          <w:sz w:val="22"/>
          <w:szCs w:val="22"/>
        </w:rPr>
        <w:t xml:space="preserve">SHAP analysis revealed liquidity-driven features as dominant fraud predictors. Whale concentration index contributed 18% of total feature importance, indicating coordinated manipulation attempts. Mint-to-burn ratio anomalies contributed 15%, signaling artificial supply manipulation. Exchange net flows (12%) and 24-hour volatility spikes (12%) captured exit patterns typical of rug pulls and pump-and-dump schemes. These findings confirm that liquidity risk indicators effectively predict fraud risk in stablecoin transactions.</w:t>
      </w:r>
    </w:p>
    <w:p>
      <w:pPr>
        <w:spacing w:after="240" w:line="240"/>
      </w:pPr>
      <w:r>
        <w:rPr>
          <w:rFonts w:ascii="Arial" w:cs="Arial" w:eastAsia="Arial" w:hAnsi="Arial"/>
          <w:sz w:val="22"/>
          <w:szCs w:val="22"/>
        </w:rPr>
        <w:t xml:space="preserve">DISCUSSION AND CONCLUSIONS</w:t>
      </w:r>
    </w:p>
    <w:p>
      <w:pPr>
        <w:spacing w:after="240" w:line="240"/>
      </w:pPr>
      <w:r>
        <w:rPr>
          <w:rFonts w:ascii="Arial" w:cs="Arial" w:eastAsia="Arial" w:hAnsi="Arial"/>
          <w:sz w:val="22"/>
          <w:szCs w:val="22"/>
        </w:rPr>
        <w:t xml:space="preserve">This research developed and evaluated an AI-powered stablecoin fraud detection system combining ensemble machine learning with LLM explainability. Both research hypotheses were supported: the weighted ensemble achieved AUC-ROC of 0.94 for fraud detection using liquidity-driven features, and LLM explanations were generated within 487ms latency with 84% coherence for AML/CFT compliance. The ensemble's superior performance demonstrates that fraud risk in stablecoins manifests through multiple liquidity anomaly patterns requiring complementary detection approaches.</w:t>
      </w:r>
    </w:p>
    <w:p>
      <w:pPr>
        <w:spacing w:after="240" w:line="240"/>
      </w:pPr>
      <w:r>
        <w:rPr>
          <w:rFonts w:ascii="Arial" w:cs="Arial" w:eastAsia="Arial" w:hAnsi="Arial"/>
          <w:sz w:val="22"/>
          <w:szCs w:val="22"/>
        </w:rPr>
        <w:t xml:space="preserve">Theoretically, this research contributes to literature on fraud detection by demonstrating that liquidity risk indicators—particularly whale concentration and mint-to-burn anomalies—serve as effective predictors of fraudulent activity. The LLM integration addresses model risk requirements under SR 11-7 while providing audit-ready documentation for AML/CFT compliance. Practically, the system offers cryptocurrency exchanges and compliance providers a tool for proactive fraud monitoring with manageable false positive rates.</w:t>
      </w:r>
    </w:p>
    <w:p>
      <w:pPr>
        <w:spacing w:after="240" w:line="240"/>
      </w:pPr>
      <w:r>
        <w:rPr>
          <w:rFonts w:ascii="Arial" w:cs="Arial" w:eastAsia="Arial" w:hAnsi="Arial"/>
          <w:sz w:val="22"/>
          <w:szCs w:val="22"/>
        </w:rPr>
        <w:t xml:space="preserve">Limitations include heuristic fraud labeling rather than confirmed investigation outcomes, testing on historical rather than live data, and potential LLM hallucination requiring human verification. Future work should integrate confirmed fraud case data, deploy production A/B testing, implement retrieval-augmented generation for improved explanation accuracy, and extend coverage to additional blockchains and emerging stablecoin protocols.</w:t>
      </w:r>
    </w:p>
    <w:p>
      <w:pPr>
        <w:spacing w:after="240" w:line="240"/>
      </w:pPr>
      <w:r>
        <w:rPr>
          <w:rFonts w:ascii="Arial" w:cs="Arial" w:eastAsia="Arial" w:hAnsi="Arial"/>
          <w:sz w:val="22"/>
          <w:szCs w:val="22"/>
        </w:rPr>
        <w:t xml:space="preserve">REFERENCES</w:t>
      </w:r>
    </w:p>
    <w:p>
      <w:pPr>
        <w:spacing w:after="120" w:line="240"/>
        <w:ind w:left="720" w:hanging="720"/>
      </w:pPr>
      <w:r>
        <w:rPr>
          <w:rFonts w:ascii="Arial" w:cs="Arial" w:eastAsia="Arial" w:hAnsi="Arial"/>
          <w:sz w:val="22"/>
          <w:szCs w:val="22"/>
        </w:rPr>
        <w:t xml:space="preserve">Catalini, C., &amp; de Gortari, A. (2023). On the economic design of stablecoins. MIT Sloan Working Paper No. 5928-23.</w:t>
      </w:r>
    </w:p>
    <w:p>
      <w:pPr>
        <w:spacing w:after="120" w:line="240"/>
        <w:ind w:left="720" w:hanging="720"/>
      </w:pPr>
      <w:r>
        <w:rPr>
          <w:rFonts w:ascii="Arial" w:cs="Arial" w:eastAsia="Arial" w:hAnsi="Arial"/>
          <w:sz w:val="22"/>
          <w:szCs w:val="22"/>
        </w:rPr>
        <w:t xml:space="preserve">Chen, T., &amp; Guestrin, C. (2016). XGBoost: A scalable tree boosting system. Proceedings of the 22nd ACM SIGKDD International Conference on Knowledge Discovery and Data Mining, 785-794.</w:t>
      </w:r>
    </w:p>
    <w:p>
      <w:pPr>
        <w:spacing w:after="120" w:line="240"/>
        <w:ind w:left="720" w:hanging="720"/>
      </w:pPr>
      <w:r>
        <w:rPr>
          <w:rFonts w:ascii="Arial" w:cs="Arial" w:eastAsia="Arial" w:hAnsi="Arial"/>
          <w:sz w:val="22"/>
          <w:szCs w:val="22"/>
        </w:rPr>
        <w:t xml:space="preserve">CoinGecko. (2024). Stablecoin market capitalization report Q4 2024.</w:t>
      </w:r>
    </w:p>
    <w:p>
      <w:pPr>
        <w:spacing w:after="120" w:line="240"/>
        <w:ind w:left="720" w:hanging="720"/>
      </w:pPr>
      <w:r>
        <w:rPr>
          <w:rFonts w:ascii="Arial" w:cs="Arial" w:eastAsia="Arial" w:hAnsi="Arial"/>
          <w:sz w:val="22"/>
          <w:szCs w:val="22"/>
        </w:rPr>
        <w:t xml:space="preserve">Federal Reserve Board. (2011). SR 11-7: Guidance on model risk management. Board of Governors of the Federal Reserve System.</w:t>
      </w:r>
    </w:p>
    <w:p>
      <w:pPr>
        <w:spacing w:after="120" w:line="240"/>
        <w:ind w:left="720" w:hanging="720"/>
      </w:pPr>
      <w:r>
        <w:rPr>
          <w:rFonts w:ascii="Arial" w:cs="Arial" w:eastAsia="Arial" w:hAnsi="Arial"/>
          <w:sz w:val="22"/>
          <w:szCs w:val="22"/>
        </w:rPr>
        <w:t xml:space="preserve">Lee, E., Chiu, Y. F., &amp; Hsieh, M. H. (2024). Stablecoin depegging risk prediction. SSRN Working Paper No. 4700764.</w:t>
      </w:r>
    </w:p>
    <w:p>
      <w:pPr>
        <w:spacing w:after="120" w:line="240"/>
        <w:ind w:left="720" w:hanging="720"/>
      </w:pPr>
      <w:r>
        <w:rPr>
          <w:rFonts w:ascii="Arial" w:cs="Arial" w:eastAsia="Arial" w:hAnsi="Arial"/>
          <w:sz w:val="22"/>
          <w:szCs w:val="22"/>
        </w:rPr>
        <w:t xml:space="preserve">Liu, F. T., Ting, K. M., &amp; Zhou, Z. H. (2008). Isolation forest. Proceedings of the 8th IEEE International Conference on Data Mining, 413-422.</w:t>
      </w:r>
    </w:p>
    <w:p>
      <w:pPr>
        <w:spacing w:after="120" w:line="240"/>
        <w:ind w:left="720" w:hanging="720"/>
      </w:pPr>
      <w:r>
        <w:rPr>
          <w:rFonts w:ascii="Arial" w:cs="Arial" w:eastAsia="Arial" w:hAnsi="Arial"/>
          <w:sz w:val="22"/>
          <w:szCs w:val="22"/>
        </w:rPr>
        <w:t xml:space="preserve">Lyons, R. K., &amp; Viswanath-Natraj, G. (2023). What keeps stablecoins stable? Journal of International Money and Finance, 131, 102788.</w:t>
      </w:r>
    </w:p>
    <w:p>
      <w:pPr>
        <w:spacing w:after="120" w:line="240"/>
        <w:ind w:left="720" w:hanging="720"/>
      </w:pPr>
      <w:r>
        <w:rPr>
          <w:rFonts w:ascii="Arial" w:cs="Arial" w:eastAsia="Arial" w:hAnsi="Arial"/>
          <w:sz w:val="22"/>
          <w:szCs w:val="22"/>
        </w:rPr>
        <w:t xml:space="preserve">Martins, T., de Almeida, A. M., Cardoso, E., &amp; Nunes, L. (2024). Explainable artificial intelligence (XAI): A systematic literature review on taxonomies and applications in finance. IEEE Access, 12, 618-629.</w:t>
      </w:r>
    </w:p>
    <w:p>
      <w:pPr>
        <w:spacing w:after="120" w:line="240"/>
        <w:ind w:left="720" w:hanging="720"/>
      </w:pPr>
      <w:r>
        <w:rPr>
          <w:rFonts w:ascii="Arial" w:cs="Arial" w:eastAsia="Arial" w:hAnsi="Arial"/>
          <w:sz w:val="22"/>
          <w:szCs w:val="22"/>
        </w:rPr>
        <w:t xml:space="preserve">Onu, I. J., Omolara, A. E., Alawida, M., Abiodun, O. I., &amp; Alabdultif, A. (2023). Detection of Ponzi scheme on Ethereum using machine learning algorithms. Scientific Reports, 13(1), 18403.</w:t>
      </w:r>
    </w:p>
    <w:p>
      <w:pPr>
        <w:spacing w:after="120" w:line="240"/>
        <w:ind w:left="720" w:hanging="720"/>
      </w:pPr>
      <w:r>
        <w:rPr>
          <w:rFonts w:ascii="Arial" w:cs="Arial" w:eastAsia="Arial" w:hAnsi="Arial"/>
          <w:sz w:val="22"/>
          <w:szCs w:val="22"/>
        </w:rPr>
        <w:t xml:space="preserve">Pham, T., &amp; Lee, S. (2016). Anomaly detection in Bitcoin network using unsupervised learning methods. arXiv preprint arXiv:1611.03941.</w:t>
      </w:r>
    </w:p>
    <w:p>
      <w:pPr>
        <w:spacing w:after="120" w:line="240"/>
        <w:ind w:left="720" w:hanging="720"/>
      </w:pPr>
      <w:r>
        <w:rPr>
          <w:rFonts w:ascii="Arial" w:cs="Arial" w:eastAsia="Arial" w:hAnsi="Arial"/>
          <w:sz w:val="22"/>
          <w:szCs w:val="22"/>
        </w:rPr>
        <w:t xml:space="preserve">Schölkopf, B., Platt, J. C., Shawe-Taylor, J., Smola, A. J., &amp; Williamson, R. C. (2001). Estimating the support of a high-dimensional distribution. Neural Computation, 13(7), 1443-1471.</w:t>
      </w:r>
    </w:p>
    <w:p>
      <w:pPr>
        <w:spacing w:after="120" w:line="240"/>
        <w:ind w:left="720" w:hanging="720"/>
      </w:pPr>
      <w:r>
        <w:rPr>
          <w:rFonts w:ascii="Arial" w:cs="Arial" w:eastAsia="Arial" w:hAnsi="Arial"/>
          <w:sz w:val="22"/>
          <w:szCs w:val="22"/>
        </w:rPr>
        <w:t xml:space="preserve">Touvron, H., et al. (2023). Llama 2: Open foundation and fine-tuned chat models. arXiv preprint arXiv:2307.09288.</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2"/>
        <w:szCs w:val="22"/>
      </w:rPr>
      <w:t xml:space="preserve">AI-Powered Stablecoin Risk Monitoring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2025-12-30T09:50:24.785Z</dcterms:created>
  <dcterms:modified xsi:type="dcterms:W3CDTF">2025-12-30T09:50:24.786Z</dcterms:modified>
</cp:coreProperties>
</file>

<file path=docProps/custom.xml><?xml version="1.0" encoding="utf-8"?>
<Properties xmlns="http://schemas.openxmlformats.org/officeDocument/2006/custom-properties" xmlns:vt="http://schemas.openxmlformats.org/officeDocument/2006/docPropsVTypes"/>
</file>