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7DA7" w14:textId="5F1EACF3" w:rsidR="001C492F" w:rsidRPr="00696988" w:rsidRDefault="001C492F" w:rsidP="00696988">
      <w:pPr>
        <w:pStyle w:val="Title"/>
      </w:pPr>
      <w:r>
        <w:t>Longitudinal Biomarker Analysis</w:t>
      </w:r>
    </w:p>
    <w:p w14:paraId="5D0B0903" w14:textId="6768EC77" w:rsidR="001C492F" w:rsidRPr="001C492F" w:rsidRDefault="001C492F" w:rsidP="001C49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Urea Nitrogen (Top-left)</w:t>
      </w:r>
    </w:p>
    <w:p w14:paraId="0B659D52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Blue (Longitudinal Phenotype 1):</w:t>
      </w:r>
    </w:p>
    <w:p w14:paraId="54511579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Starts at moderate levels (~20–25 units).</w:t>
      </w:r>
    </w:p>
    <w:p w14:paraId="45B1B61F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Shows a steady decline over time, reaching near 0 by the end of the trajectory.</w:t>
      </w:r>
    </w:p>
    <w:p w14:paraId="4DA4A412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Variation decreases initially, then broadens slightly as levels approach zero.</w:t>
      </w:r>
    </w:p>
    <w:p w14:paraId="40371417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Orange (Longitudinal Phenotype 2):</w:t>
      </w:r>
    </w:p>
    <w:p w14:paraId="1C0A901F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Starts slightly higher (~25–30 units).</w:t>
      </w:r>
    </w:p>
    <w:p w14:paraId="5C47BFF7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Shows a gradual increase over time, ending above the starting point (~30–35 units).</w:t>
      </w:r>
    </w:p>
    <w:p w14:paraId="479C443E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Variation is relatively wide initially but stabilizes as time progresses.</w:t>
      </w:r>
    </w:p>
    <w:p w14:paraId="50F2CC60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Interpretation:</w:t>
      </w:r>
    </w:p>
    <w:p w14:paraId="0D974E27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Phenotype 1 may represent patients whose kidney function is deteriorating or being treated effectively, leading to decreasing urea.</w:t>
      </w:r>
    </w:p>
    <w:p w14:paraId="009DE864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Phenotype 2 indicates a subgroup with increasing urea levels, possibly reflecting progressive metabolic or renal stress.</w:t>
      </w:r>
    </w:p>
    <w:p w14:paraId="44E8FCF9" w14:textId="77777777" w:rsidR="001C492F" w:rsidRPr="001C492F" w:rsidRDefault="001C492F" w:rsidP="001C49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Hematocrit (Top-right)</w:t>
      </w:r>
    </w:p>
    <w:p w14:paraId="393DC296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Blue (Phenotype 1):</w:t>
      </w:r>
    </w:p>
    <w:p w14:paraId="115EC98A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Starts around 40%.</w:t>
      </w:r>
    </w:p>
    <w:p w14:paraId="7C666CD3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Shows a continuous decline over time, reaching below 20%.</w:t>
      </w:r>
    </w:p>
    <w:p w14:paraId="0069D59D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Variation remains high initially, reflecting heterogeneity, then narrows as most patients drop to lower values.</w:t>
      </w:r>
    </w:p>
    <w:p w14:paraId="77349E5B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Orange (Phenotype 2):</w:t>
      </w:r>
    </w:p>
    <w:p w14:paraId="38ABFD59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Remains relatively constant (~35–40%) across the time course.</w:t>
      </w:r>
    </w:p>
    <w:p w14:paraId="392323F6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Very little variation, indicating stable hematocrit levels in this phenotype.</w:t>
      </w:r>
    </w:p>
    <w:p w14:paraId="14276C09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Interpretation:</w:t>
      </w:r>
    </w:p>
    <w:p w14:paraId="47685CAD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Phenotype 1 may indicate patients developing anemia or blood loss over time.</w:t>
      </w:r>
    </w:p>
    <w:p w14:paraId="09B836A9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Phenotype 2 patients maintain normal hematocrit, representing a more stable subgroup.</w:t>
      </w:r>
    </w:p>
    <w:p w14:paraId="7B15B4C0" w14:textId="77777777" w:rsidR="001C492F" w:rsidRPr="001C492F" w:rsidRDefault="001C492F" w:rsidP="001C49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Potassium (Bottom-left)</w:t>
      </w:r>
    </w:p>
    <w:p w14:paraId="0AC43545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Blue (Phenotype 1):</w:t>
      </w:r>
    </w:p>
    <w:p w14:paraId="243C53C9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Starts ~4 units.</w:t>
      </w:r>
    </w:p>
    <w:p w14:paraId="396716F1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Declines steadily, reaching below 0 by the end.</w:t>
      </w:r>
    </w:p>
    <w:p w14:paraId="42E7FBFC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Variation is moderate early on, then tightens as the trend progresses downward.</w:t>
      </w:r>
    </w:p>
    <w:p w14:paraId="58BAC39E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Orange (Phenotype 2):</w:t>
      </w:r>
    </w:p>
    <w:p w14:paraId="0FEF72C5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Nearly flat (~4 units) with minimal variation.</w:t>
      </w:r>
    </w:p>
    <w:p w14:paraId="7012B865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Potassium remains stable throughout.</w:t>
      </w:r>
    </w:p>
    <w:p w14:paraId="1938E9D0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Interpretation:</w:t>
      </w:r>
    </w:p>
    <w:p w14:paraId="376E926D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lastRenderedPageBreak/>
        <w:t>Phenotype 1 shows progressive hypokalemia, potentially associated with treatment, diet, or kidney issues.</w:t>
      </w:r>
    </w:p>
    <w:p w14:paraId="27F42C7A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Phenotype 2 represents stable potassium levels over time.</w:t>
      </w:r>
    </w:p>
    <w:p w14:paraId="5D5B05BB" w14:textId="77777777" w:rsidR="001C492F" w:rsidRPr="001C492F" w:rsidRDefault="001C492F" w:rsidP="001C49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Sodium (Bottom-right)</w:t>
      </w:r>
    </w:p>
    <w:p w14:paraId="07F7C6BB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Blue (Phenotype 1):</w:t>
      </w:r>
    </w:p>
    <w:p w14:paraId="478FA7B5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Starts ~135–140 units.</w:t>
      </w:r>
    </w:p>
    <w:p w14:paraId="6D21B84C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Declines continuously, falling below normal range (~120 units), indicating hyponatremia development.</w:t>
      </w:r>
    </w:p>
    <w:p w14:paraId="41A82AE1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Variation broadens slightly as values drop.</w:t>
      </w:r>
    </w:p>
    <w:p w14:paraId="6B81C989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Orange (Phenotype 2):</w:t>
      </w:r>
    </w:p>
    <w:p w14:paraId="6D1D77C4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Essentially flat (~140–145 units) with negligible variation.</w:t>
      </w:r>
    </w:p>
    <w:p w14:paraId="1E8882BB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Sodium levels remain in the normal range.</w:t>
      </w:r>
    </w:p>
    <w:p w14:paraId="760C0264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Interpretation:</w:t>
      </w:r>
    </w:p>
    <w:p w14:paraId="45C4BAF3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Phenotype 1 indicates patients with progressive electrolyte imbalance.</w:t>
      </w:r>
    </w:p>
    <w:p w14:paraId="2744E973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Phenotype 2 maintains homeostasis.</w:t>
      </w:r>
    </w:p>
    <w:p w14:paraId="19BCAD35" w14:textId="77777777" w:rsidR="001C492F" w:rsidRPr="001C492F" w:rsidRDefault="001C492F" w:rsidP="001C49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Overall Analysis</w:t>
      </w:r>
    </w:p>
    <w:p w14:paraId="764D8837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Phenotype 1 (Blue):</w:t>
      </w:r>
    </w:p>
    <w:p w14:paraId="176FAE81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Characterized by progressive decline across all measured biomarkers (Urea, Hematocrit, Potassium, Sodium).</w:t>
      </w:r>
    </w:p>
    <w:p w14:paraId="32863C64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Suggests a subgroup of patients with deteriorating metabolic and hematologic status, potentially at higher clinical risk.</w:t>
      </w:r>
    </w:p>
    <w:p w14:paraId="62C7A4A3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High clinical relevance for monitoring interventions.</w:t>
      </w:r>
    </w:p>
    <w:p w14:paraId="2003F907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Phenotype 2 (Orange):</w:t>
      </w:r>
    </w:p>
    <w:p w14:paraId="53754607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Biomarkers are stable or slightly increasing (Urea rises slightly, others flat).</w:t>
      </w:r>
    </w:p>
    <w:p w14:paraId="550C5521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Represents a more stable subgroup with normal or mildly changing laboratory profiles.</w:t>
      </w:r>
    </w:p>
    <w:p w14:paraId="552AC3FB" w14:textId="77777777" w:rsidR="001C492F" w:rsidRPr="001C492F" w:rsidRDefault="001C492F" w:rsidP="001C492F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Could serve as a reference/control phenotype.</w:t>
      </w:r>
    </w:p>
    <w:p w14:paraId="64AD4AB9" w14:textId="77777777" w:rsidR="001C492F" w:rsidRPr="001C492F" w:rsidRDefault="001C492F" w:rsidP="001C49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Key Insight:</w:t>
      </w:r>
    </w:p>
    <w:p w14:paraId="6718938A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The two longitudinal phenotypes clearly separate patients by risk trajectories: declining biomarker trends vs. stable trends, which can guide personalized monitoring or interventions.</w:t>
      </w:r>
    </w:p>
    <w:p w14:paraId="34E10A66" w14:textId="77777777" w:rsidR="001C492F" w:rsidRPr="001C492F" w:rsidRDefault="001C492F" w:rsidP="001C492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bidi="hi-IN"/>
          <w14:ligatures w14:val="none"/>
        </w:rPr>
      </w:pPr>
      <w:r w:rsidRPr="001C492F">
        <w:rPr>
          <w:rFonts w:ascii="Times New Roman" w:eastAsia="Times New Roman" w:hAnsi="Times New Roman" w:cs="Times New Roman"/>
          <w:b/>
          <w:bCs/>
          <w:color w:val="000000"/>
          <w:kern w:val="0"/>
          <w:lang w:bidi="hi-IN"/>
          <w14:ligatures w14:val="none"/>
        </w:rPr>
        <w:t>Urea shows a distinct divergence (increase in orange vs. decrease in blue), highlighting it as a potential early indicator for phenotype differentiation.</w:t>
      </w:r>
    </w:p>
    <w:p w14:paraId="5BA6FC01" w14:textId="77777777" w:rsidR="00C95B7C" w:rsidRDefault="00C95B7C"/>
    <w:sectPr w:rsidR="00C95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D09FA"/>
    <w:multiLevelType w:val="multilevel"/>
    <w:tmpl w:val="B95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85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2F"/>
    <w:rsid w:val="001C492F"/>
    <w:rsid w:val="001E5FD6"/>
    <w:rsid w:val="00465DC9"/>
    <w:rsid w:val="005A25E3"/>
    <w:rsid w:val="00696988"/>
    <w:rsid w:val="00C95B7C"/>
    <w:rsid w:val="00F9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6E85"/>
  <w15:chartTrackingRefBased/>
  <w15:docId w15:val="{F27161FE-2072-8548-893D-C8AECB72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9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9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9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9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9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9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9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92F"/>
    <w:rPr>
      <w:b/>
      <w:bCs/>
      <w:smallCaps/>
      <w:color w:val="0F4761" w:themeColor="accent1" w:themeShade="BF"/>
      <w:spacing w:val="5"/>
    </w:rPr>
  </w:style>
  <w:style w:type="character" w:customStyle="1" w:styleId="agcmg">
    <w:name w:val="a_gcmg"/>
    <w:basedOn w:val="DefaultParagraphFont"/>
    <w:rsid w:val="001C4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Chakraborty</dc:creator>
  <cp:keywords/>
  <dc:description/>
  <cp:lastModifiedBy>Aditya Chakraborty</cp:lastModifiedBy>
  <cp:revision>1</cp:revision>
  <cp:lastPrinted>2025-09-01T05:45:00Z</cp:lastPrinted>
  <dcterms:created xsi:type="dcterms:W3CDTF">2025-09-01T04:56:00Z</dcterms:created>
  <dcterms:modified xsi:type="dcterms:W3CDTF">2025-09-01T05:45:00Z</dcterms:modified>
</cp:coreProperties>
</file>