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F172A"/>
          <w:sz w:val="40"/>
        </w:rPr>
        <w:t>PRJ_409: AI Personal Finance Advisor</w:t>
      </w:r>
    </w:p>
    <w:p>
      <w:pPr>
        <w:spacing w:after="320"/>
      </w:pPr>
      <w:r>
        <w:rPr>
          <w:rFonts w:ascii="Calibri" w:hAnsi="Calibri"/>
          <w:color w:val="64748B"/>
          <w:sz w:val="24"/>
        </w:rPr>
        <w:t>Technical Specification &amp; System Implementation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94A3B8"/>
          <w:insideH w:val="single" w:sz="4" w:space="0" w:color="E2E8F0"/>
          <w:insideV w:val="none"/>
          <w:left w:val="none"/>
          <w:right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Architectural Layer</w:t>
            </w:r>
          </w:p>
        </w:tc>
        <w:tc>
          <w:tcPr>
            <w:tcW w:type="dxa" w:w="2160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 / Tool</w:t>
            </w:r>
          </w:p>
        </w:tc>
        <w:tc>
          <w:tcPr>
            <w:tcW w:type="dxa" w:w="1296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032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Technical Role &amp; Purpose in PRJ_409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Frontend Framework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19"/>
              </w:rPr>
              <w:t>React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19.2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Component-based Single Page Application (SPA) architecture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Programming Language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19"/>
              </w:rPr>
              <w:t>TypeScript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6.0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Static typing, interface contracts, and compile-time error prevention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Build Tool &amp; Bundler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19"/>
              </w:rPr>
              <w:t>Vite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8.2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High-speed Hot Module Replacement (HMR) and optimized asset bundling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Styling &amp; Design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19"/>
              </w:rPr>
              <w:t>TailwindCSS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4.3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Utility-first responsive design, modern dark/light UI tokens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Data Visualization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19"/>
              </w:rPr>
              <w:t>Recharts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3.10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Interactive SVG financial trajectory charts (Bar charts &amp; Pie charts)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Iconography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19"/>
              </w:rPr>
              <w:t>Lucide React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1.35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Modern financial and dashboard iconography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Client Routing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19"/>
              </w:rPr>
              <w:t>React Router DOM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7.18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Declarative client-side routing with protected auth guards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HTTP Client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19"/>
              </w:rPr>
              <w:t>Axios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1.20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Centralized API client with JWT request/response interceptors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Backend Framework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19"/>
              </w:rPr>
              <w:t>FastAPI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0.115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Asynchronous high-performance RESTful API micro-framework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Backend Language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19"/>
              </w:rPr>
              <w:t>Python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3.10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Core computational language for business logic, math, and ML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ASGI Server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19"/>
              </w:rPr>
              <w:t>Uvicorn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0.32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Production-grade asynchronous web server gateway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Database ORM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19"/>
              </w:rPr>
              <w:t>SQLAlchemy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2.0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Object Relational Mapping (ORM) and relational schema management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Data Validation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19"/>
              </w:rPr>
              <w:t>Pydantic v2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2.0+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Automatic schema serialization, request validation, and typing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Authentication &amp; Tokens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19"/>
              </w:rPr>
              <w:t>Python-Jose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3.3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JSON Web Token (JWT) encoding/decoding using HMAC-SHA256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Password Security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19"/>
              </w:rPr>
              <w:t>Passlib &amp; Bcrypt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4.0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Cryptographic password hashing with automatic salt generation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Machine Learning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19"/>
              </w:rPr>
              <w:t>Scikit-Learn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1.3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TF-IDF Vectorization, Logistic Regression, Evaluation metrics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Data Manipulation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19"/>
              </w:rPr>
              <w:t>Pandas &amp; NumPy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2.0+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Matrix operations, dataset preprocessing, and financial aggregations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Model Persistence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19"/>
              </w:rPr>
              <w:t>Joblib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1.3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Serialized pipeline caching (classifier.pkl) for sub-millisecond inference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Evaluation Plotting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19"/>
              </w:rPr>
              <w:t>Matplotlib &amp; Seaborn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3.10 / 0.13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Generation of publication-ready Confusion Matrix, ROC, and Loss plots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Database Engine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19"/>
              </w:rPr>
              <w:t>SQLite 3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3.x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Lightweight, zero-config relational database with ACID compliance</w:t>
            </w:r>
          </w:p>
        </w:tc>
      </w:tr>
    </w:tbl>
    <w:p/>
    <w:p>
      <w:r>
        <w:rPr>
          <w:rFonts w:ascii="Calibri" w:hAnsi="Calibri"/>
          <w:i/>
          <w:color w:val="94A3B8"/>
          <w:sz w:val="17"/>
        </w:rPr>
        <w:t>Note: This specification table is prepared for academic evaluation, project documentation, and research conference submissions.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