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b/>
          <w:bCs/>
          <w:color w:val="1F4E79"/>
          <w:sz w:val="40"/>
          <w:szCs w:val="40"/>
        </w:rPr>
        <w:t xml:space="preserve">Bitcoin Sentiment &amp; Trader Performance Analysis</w:t>
      </w:r>
    </w:p>
    <w:p>
      <w:pPr>
        <w:spacing w:after="120"/>
        <w:jc w:val="center"/>
      </w:pPr>
      <w:r>
        <w:rPr>
          <w:color w:val="666666"/>
          <w:sz w:val="24"/>
          <w:szCs w:val="24"/>
        </w:rPr>
        <w:t xml:space="preserve">Hyperliquid Historical Data × Fear &amp; Greed Index</w:t>
      </w:r>
    </w:p>
    <w:p>
      <w:pPr>
        <w:spacing w:after="480"/>
        <w:jc w:val="center"/>
      </w:pPr>
      <w:r>
        <w:rPr>
          <w:color w:val="888888"/>
          <w:sz w:val="22"/>
          <w:szCs w:val="22"/>
        </w:rPr>
        <w:t xml:space="preserve">Prepared for: Primetrade.ai | June 2025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This analysis examines 211,218 trades from Hyperliquid across May 2023 – May 2025, merged with the Bitcoin Fear &amp; Greed Index to uncover how market sentiment shapes trader behavior and profitability. Three key themes emerge: sentiment drives returns, trade sizing is counter-intuitive, and trader type determines which regime to exploit.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2. Dataset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Hyperliquid Trader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211,218 trades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May 2023 – May 2025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Account, Coin, PnL, Size USD, Side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Fear &amp; Greed 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2,644 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Feb 2018 – May 2025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Date, Score, Classification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Merged Dataset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211,218 trades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Matched on 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 columns, 0 nulls after clean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3. Key Findings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3.1 PnL &amp; Win Rate by Sentiment Regime</w:t>
      </w:r>
    </w:p>
    <w:p>
      <w:pPr>
        <w:spacing w:after="120"/>
      </w:pPr>
      <w:r>
        <w:rPr>
          <w:sz w:val="22"/>
          <w:szCs w:val="22"/>
        </w:rPr>
        <w:t xml:space="preserve">Average closed PnL and win rates are highest during Extreme Greed, suggesting traders capitalize most effectively when market momentum is strongly positive.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1872"/>
        <w:gridCol w:w="3276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Sentiment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PnL (USD)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Win Rate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Trade Count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Extreme Greed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$67.89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46.5%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39,992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$54.29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42.1%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61,837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$42.74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38.5%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50,303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Extreme Fear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$34.54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37.1%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21,400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Neutral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$34.31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39.7%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37,686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3.2 Counter-Intuitive Position Sizing</w:t>
      </w:r>
    </w:p>
    <w:p>
      <w:pPr>
        <w:spacing w:after="120"/>
      </w:pPr>
      <w:r>
        <w:rPr>
          <w:sz w:val="22"/>
          <w:szCs w:val="22"/>
        </w:rPr>
        <w:t xml:space="preserve">Traders deploy their largest positions during Fear periods ($7,816 avg), not during Greed — the opposite of what emotional trading would suggest. This implies experienced traders are accumulating in fear and exiting in greed.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Sentiment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Trade Size (USD)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$7,816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$5,737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Extreme Fear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$5,350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Neutral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$4,783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Extreme Greed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$3,112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3.3 Buy vs Sell Behavior</w:t>
      </w:r>
    </w:p>
    <w:p>
      <w:pPr>
        <w:spacing w:after="120"/>
      </w:pPr>
      <w:r>
        <w:rPr>
          <w:sz w:val="22"/>
          <w:szCs w:val="22"/>
        </w:rPr>
        <w:t xml:space="preserve">As sentiment shifts from Fear to Extreme Greed, the proportion of SELL trades increases from 49% to 55%. Traders buy the fear and sell the greed — a classic contrarian pattern confirmed by data.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3.4 Sentiment Lag Effect</w:t>
      </w:r>
    </w:p>
    <w:p>
      <w:pPr>
        <w:spacing w:after="120"/>
      </w:pPr>
      <w:r>
        <w:rPr>
          <w:sz w:val="22"/>
          <w:szCs w:val="22"/>
        </w:rPr>
        <w:t xml:space="preserve">A key original finding: previous day sentiment is a stronger predictor of PnL in some regimes than same-day sentiment. Trading on Greed days that follow an Extreme Fear day yields 58.6% higher avg PnL vs same-day Greed ($58.62 vs $42.74). This lag effect suggests traders can use yesterday's Fear/Greed reading as a next-day entry signal.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1872"/>
        <w:gridCol w:w="3276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Previous Day Sentiment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Next Day Avg PnL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Same Day Avg PnL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Difference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Extreme Fear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$52.19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$34.54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+$17.65 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$53.41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$54.29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-$0.88 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Neutral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$19.44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$34.31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-$14.87 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$58.62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$42.74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+$15.88 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Extreme Greed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$62.05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$67.89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-$5.84 ≈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3.5 Trader Clustering</w:t>
      </w:r>
    </w:p>
    <w:p>
      <w:pPr>
        <w:spacing w:after="120"/>
      </w:pPr>
      <w:r>
        <w:rPr>
          <w:sz w:val="22"/>
          <w:szCs w:val="22"/>
        </w:rPr>
        <w:t xml:space="preserve">K-Means clustering (k=3) identified three distinct trader profiles: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High Value Traders: </w:t>
      </w:r>
      <w:r>
        <w:rPr>
          <w:sz w:val="22"/>
          <w:szCs w:val="22"/>
        </w:rPr>
        <w:t xml:space="preserve">Low trade count, large positions ($10,353 avg), 43.9% win rate. Consistently profitable across ALL sentiment regimes. Least affected by sentiment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High Frequency Traders: </w:t>
      </w:r>
      <w:r>
        <w:rPr>
          <w:sz w:val="22"/>
          <w:szCs w:val="22"/>
        </w:rPr>
        <w:t xml:space="preserve">Highest trade volume (20,003 avg trades), small positions ($1,916 avg). Profitable in every regime but margins are thin. Peak performance in Extreme Greed.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Mid Tier Traders: </w:t>
      </w:r>
      <w:r>
        <w:rPr>
          <w:sz w:val="22"/>
          <w:szCs w:val="22"/>
        </w:rPr>
        <w:t xml:space="preserve">Medium frequency, medium size. Most sentiment-sensitive — negative PnL in Extreme Fear and Greed, positive only in Fear and Extreme Greed.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3.6 Coin-Sentiment Patterns</w:t>
      </w:r>
    </w:p>
    <w:p>
      <w:pPr>
        <w:spacing w:after="120"/>
      </w:pPr>
      <w:r>
        <w:rPr>
          <w:sz w:val="22"/>
          <w:szCs w:val="22"/>
        </w:rPr>
        <w:t xml:space="preserve">Different coins dominate across sentiment regimes: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HYPE: </w:t>
      </w:r>
      <w:r>
        <w:rPr>
          <w:sz w:val="22"/>
          <w:szCs w:val="22"/>
        </w:rPr>
        <w:t xml:space="preserve">Dominates Fear periods (27,951 trades in Fear vs 5,683 in Extreme Greed). Best traded during market uncertainty.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@107: </w:t>
      </w:r>
      <w:r>
        <w:rPr>
          <w:sz w:val="22"/>
          <w:szCs w:val="22"/>
        </w:rPr>
        <w:t xml:space="preserve">Spikes in Greed/Extreme Greed (10,403 trades). Highest avg PnL of $191 in Extreme Greed.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ETH: </w:t>
      </w:r>
      <w:r>
        <w:rPr>
          <w:sz w:val="22"/>
          <w:szCs w:val="22"/>
        </w:rPr>
        <w:t xml:space="preserve">Strong avg PnL in Fear ($236) and Greed ($98). Works across multiple regimes.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SOL: </w:t>
      </w:r>
      <w:r>
        <w:rPr>
          <w:sz w:val="22"/>
          <w:szCs w:val="22"/>
        </w:rPr>
        <w:t xml:space="preserve">Best avg PnL in Greed ($284) and Neutral ($216). Mid-cycle performer.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4. Actionable Trading Strategies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Strategy 1: Contrarian Accumulation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Deploy largest positions during Fear and Extreme Fear when crowd sentiment is negative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Reduce position sizes as market moves into Greed/Extreme Greed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Historical data shows Fear days have 2.5x larger average trade sizes from profitable traders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Strategy 2: Lag-Based Entry Signal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previous day's Fear/Greed score as a next-day entry trigger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Greed days following Extreme Fear show +$15.88 higher avg PnL than same-day Greed entries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Avoid trading on Neutral days — previous-day Neutral sentiment predicts the lowest PnL ($19.44)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Strategy 3: Coin Rotation by Regime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Extreme Fear / Fear → Focus on HYPE and ETH (high trade volume + strong PnL)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Neutral → SOL shows best avg PnL ($216)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Greed / Extreme Greed → Rotate into @107 (avg $191 PnL in Extreme Greed)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Strategy 4: Know Your Trader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High Value profile: sentiment-agnostic — maintain consistent sizing across all regimes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High Frequency profile: maximize activity in Extreme Greed for peak margins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Mid Tier profile: avoid Extreme Fear and Greed; concentrate trades in Fear and Extreme Greed regimes only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5. Conclusion</w:t>
      </w:r>
    </w:p>
    <w:p>
      <w:pPr>
        <w:spacing w:after="120"/>
      </w:pPr>
      <w:r>
        <w:rPr>
          <w:sz w:val="22"/>
          <w:szCs w:val="22"/>
        </w:rPr>
        <w:t xml:space="preserve">Market sentiment is not just a sentiment indicator — it is a statistically meaningful predictor of trade outcomes on Hyperliquid. The most profitable traders demonstrate a clear pattern: buy fear, sell greed, size up when others panic, and rotate coins as sentiment shifts. The lag analysis adds a novel predictive dimension: yesterday's sentiment may be a stronger signal than today's.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These findings provide a data-driven foundation for building sentiment-aware trading strategies that go beyond intuition and into systematic execution.</w:t>
      </w:r>
    </w:p>
    <w:p>
      <w:pPr>
        <w:spacing w:after="160"/>
      </w:pPr>
      <w:r>
        <w:t xml:space="preserve"/>
      </w:r>
    </w:p>
    <w:p>
      <w:pPr>
        <w:pBdr>
          <w:top w:val="single" w:color="2E75B6" w:sz="4" w:space="1"/>
        </w:pBdr>
        <w:spacing w:before="240"/>
        <w:jc w:val="center"/>
      </w:pPr>
      <w:r>
        <w:rPr>
          <w:color w:val="888888"/>
          <w:sz w:val="18"/>
          <w:szCs w:val="18"/>
        </w:rPr>
        <w:t xml:space="preserve">Analysis by: Data Science Candidate | Primetrade.ai Assessment | June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2026-06-12T08:32:12.848Z</dcterms:created>
  <dcterms:modified xsi:type="dcterms:W3CDTF">2026-06-12T08:32:12.848Z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