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Kestrel Finance</w:t>
      </w:r>
    </w:p>
    <w:p>
      <w:r>
        <w:t>This Master Services Agreement (the "Agreement") is entered into on 1 April 2026 between Treelife Technologies Pvt. Ltd. ("Client") and Kestrel Finance ("Vendor").</w:t>
      </w:r>
    </w:p>
    <w:p>
      <w:pPr>
        <w:pStyle w:val="Heading1"/>
      </w:pPr>
      <w:r>
        <w:t>1. Scope of Services</w:t>
      </w:r>
    </w:p>
    <w:p>
      <w:r>
        <w:t>Vendor shall provide treasury software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8,40,000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treasury software user licences</w:t>
            </w:r>
          </w:p>
        </w:tc>
        <w:tc>
          <w:tcPr>
            <w:tcW w:type="dxa" w:w="2880"/>
          </w:tcPr>
          <w:p>
            <w:r>
              <w:t>134</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Kestrel Finance, registered office as per the Companies Register; notices@kestrelfinance.example.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