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Master Services Agreement — Sapphire Jewels</w:t>
      </w:r>
    </w:p>
    <w:p>
      <w:r>
        <w:t>This Master Services Agreement (the "Agreement") is entered into on 1 April 2026 between Treelife Technologies Pvt. Ltd. ("Client") and Sapphire Jewels ("Vendor").</w:t>
      </w:r>
    </w:p>
    <w:p>
      <w:pPr>
        <w:pStyle w:val="Heading1"/>
      </w:pPr>
      <w:r>
        <w:t>1. Scope of Services</w:t>
      </w:r>
    </w:p>
    <w:p>
      <w:r>
        <w:t>Vendor shall provide corporate gifting as described in Schedule A, including onboarding, maintenance and support (the "Services").</w:t>
      </w:r>
    </w:p>
    <w:p>
      <w:pPr>
        <w:pStyle w:val="Heading1"/>
      </w:pPr>
      <w:r>
        <w:t>2. Term</w:t>
      </w:r>
    </w:p>
    <w:p>
      <w:r>
        <w:t>The initial term is twelve (12) months from the Effective Date and renews automatically for successive twelve-month periods unless terminated in accordance with clause 5.</w:t>
      </w:r>
    </w:p>
    <w:p>
      <w:pPr>
        <w:pStyle w:val="Heading1"/>
      </w:pPr>
      <w:r>
        <w:t>3. Fees and Payment</w:t>
      </w:r>
    </w:p>
    <w:p>
      <w:r>
        <w:t>Client shall pay Vendor an annual fee of INR 3,60,000 (exclusive of GST), invoiced quarterly in advance.</w:t>
      </w:r>
    </w:p>
    <w:p>
      <w:r>
        <w:t>Payment terms: all undisputed invoices are payable within 30 days of receipt. Late payments accrue interest at 2% per month.</w:t>
      </w:r>
    </w:p>
    <w:p>
      <w:r>
        <w:t>Any increase to the fees requires a signed change order; Vendor shall not invoice amounts beyond the agreed fee without one.</w:t>
      </w:r>
    </w:p>
    <w:p>
      <w:pPr>
        <w:pStyle w:val="Heading1"/>
      </w:pPr>
      <w:r>
        <w:t>4. Service Levels</w:t>
      </w:r>
    </w:p>
    <w:p>
      <w:r>
        <w:t>Vendor guarantees 99.9% monthly uptime. Each 0.1% shortfall entitles Client to a service credit of 5% of the monthly fee, claimable within 30 days.</w:t>
      </w:r>
    </w:p>
    <w:p>
      <w:pPr>
        <w:pStyle w:val="Heading1"/>
      </w:pPr>
      <w:r>
        <w:t>5. Termination</w:t>
      </w:r>
    </w:p>
    <w:p>
      <w:r>
        <w:t>Either party may terminate this Agreement for convenience with 60 days' written notice. Client may terminate immediately for material breach not cured within 15 days.</w:t>
      </w:r>
    </w:p>
    <w:p>
      <w:pPr>
        <w:pStyle w:val="Heading1"/>
      </w:pPr>
      <w:r>
        <w:t>6. Confidentiality</w:t>
      </w:r>
    </w:p>
    <w:p>
      <w:r>
        <w:t>Each party shall keep the other party's Confidential Information confidential for three (3) years after termination.</w:t>
      </w:r>
    </w:p>
    <w:p>
      <w:pPr>
        <w:pStyle w:val="Heading1"/>
      </w:pPr>
      <w:r>
        <w:t>7. Governing Law</w:t>
      </w:r>
    </w:p>
    <w:p>
      <w:r>
        <w:t>This Agreement is governed by the laws of India; courts in Mumbai, Maharashtra have exclusive jurisdiction subject to clause 16.</w:t>
      </w:r>
    </w:p>
    <w:p>
      <w:pPr>
        <w:pStyle w:val="Heading1"/>
      </w:pPr>
      <w:r>
        <w:t>8. Data Protection</w:t>
      </w:r>
    </w:p>
    <w:p>
      <w:r>
        <w:t>Each party shall comply with applicable data protection laws, including the Digital Personal Data Protection Act, 2023, in relation to any personal data processed under this Agreement. Vendor shall process personal data only on documented instructions from Client and shall implement appropriate technical and organisational measures to protect such data against unauthorised or unlawful processing and against accidental loss, destruction or damage.</w:t>
      </w:r>
    </w:p>
    <w:p>
      <w:r>
        <w:t>Vendor shall notify Client without undue delay, and in any event within seventy-two (72) hours, after becoming aware of a personal data breach affecting Client data, and shall provide all reasonable assistance to Client in meeting its own notification obligations.</w:t>
      </w:r>
    </w:p>
    <w:p>
      <w:pPr>
        <w:pStyle w:val="Heading1"/>
      </w:pPr>
      <w:r>
        <w:t>9. Intellectual Property</w:t>
      </w:r>
    </w:p>
    <w:p>
      <w:r>
        <w:t>All intellectual property rights in the Services and any software, documentation or materials provided by Vendor remain the property of Vendor or its licensors. Client is granted a non-exclusive, non-transferable licence to use such materials during the Term solely for its internal business purposes.</w:t>
      </w:r>
    </w:p>
    <w:p>
      <w:r>
        <w:t>All intellectual property rights in Client data, and in any deliverables created specifically for Client and paid for under a statement of work, vest in Client upon payment.</w:t>
      </w:r>
    </w:p>
    <w:p>
      <w:pPr>
        <w:pStyle w:val="Heading1"/>
      </w:pPr>
      <w:r>
        <w:t>10. Warranties</w:t>
      </w:r>
    </w:p>
    <w:p>
      <w:r>
        <w:t>Vendor warrants that the Services will be performed with reasonable skill and care by suitably qualified personnel and in accordance with good industry practice, and that the Services will conform in all material respects to the specifications in Schedule A.</w:t>
      </w:r>
    </w:p>
    <w:p>
      <w:r>
        <w:t>Except as expressly set out in this Agreement, all warranties, conditions and terms implied by statute or common law are excluded to the fullest extent permitted by law.</w:t>
      </w:r>
    </w:p>
    <w:p>
      <w:pPr>
        <w:pStyle w:val="Heading1"/>
      </w:pPr>
      <w:r>
        <w:t>11. Limitation of Liability</w:t>
      </w:r>
    </w:p>
    <w:p>
      <w:r>
        <w:t>Nothing in this Agreement limits or excludes either party's liability for death or personal injury caused by negligence, for fraud or fraudulent misrepresentation, or for any liability that cannot lawfully be limited or excluded.</w:t>
      </w:r>
    </w:p>
    <w:p>
      <w:r>
        <w:t>Subject to the foregoing, each party's total aggregate liability arising out of or in connection with this Agreement in any contract year shall not exceed the fees paid or payable by Client in that contract year. Neither party shall be liable for any indirect or consequential loss, loss of profit, loss of business or loss of data.</w:t>
      </w:r>
    </w:p>
    <w:p>
      <w:pPr>
        <w:pStyle w:val="Heading1"/>
      </w:pPr>
      <w:r>
        <w:t>12. Insurance</w:t>
      </w:r>
    </w:p>
    <w:p>
      <w:r>
        <w:t>Vendor shall maintain, at its own cost, professional indemnity insurance of not less than INR 5,00,00,000 per claim and public liability insurance of not less than INR 2,00,00,000 per claim with a reputable insurer for the duration of this Agreement and for two (2) years thereafter, and shall provide evidence of such cover on request.</w:t>
      </w:r>
    </w:p>
    <w:p>
      <w:pPr>
        <w:pStyle w:val="Heading1"/>
      </w:pPr>
      <w:r>
        <w:t>13. Force Majeure</w:t>
      </w:r>
    </w:p>
    <w:p>
      <w:r>
        <w:t>Neither party shall be in breach of this Agreement nor liable for delay in performing, or failure to perform, any of its obligations if such delay or failure results from events, circumstances or causes beyond its reasonable control. If the period of delay continues for sixty (60) days, the party not affected may terminate this Agreement by giving fourteen (14) days' written notice.</w:t>
      </w:r>
    </w:p>
    <w:p>
      <w:pPr>
        <w:pStyle w:val="Heading1"/>
      </w:pPr>
      <w:r>
        <w:t>14. Notices</w:t>
      </w:r>
    </w:p>
    <w:p>
      <w:r>
        <w:t>Any notice given under this Agreement shall be in writing and delivered by hand, by pre-paid registered post or by email to the address of the relevant party set out in Schedule B. Notices sent by email are deemed received on the next business day.</w:t>
      </w:r>
    </w:p>
    <w:p>
      <w:pPr>
        <w:pStyle w:val="Heading1"/>
      </w:pPr>
      <w:r>
        <w:t>15. Assignment and Subcontracting</w:t>
      </w:r>
    </w:p>
    <w:p>
      <w:r>
        <w:t>Neither party may assign, transfer or subcontract any of its rights or obligations under this Agreement without the prior written consent of the other party, such consent not to be unreasonably withheld. Vendor remains fully responsible for the acts and omissions of any permitted subcontractor.</w:t>
      </w:r>
    </w:p>
    <w:p>
      <w:pPr>
        <w:pStyle w:val="Heading1"/>
      </w:pPr>
      <w:r>
        <w:t>16. Dispute Resolution</w:t>
      </w:r>
    </w:p>
    <w:p>
      <w:r>
        <w:t>The parties shall attempt in good faith to resolve any dispute arising out of this Agreement through negotiation between senior executives within thirty (30) days of written notice of the dispute. Any dispute not so resolved shall be referred to arbitration under the Arbitration and Conciliation Act, 1996, by a sole arbitrator seated in Mumbai, with proceedings conducted in English.</w:t>
      </w:r>
    </w:p>
    <w:p>
      <w:pPr>
        <w:pStyle w:val="Heading1"/>
      </w:pPr>
      <w:r>
        <w:t>17. Entire Agreement</w:t>
      </w:r>
    </w:p>
    <w:p>
      <w:r>
        <w:t>This Agreement, together with its Schedules, constitutes the entire agreement between the parties and supersedes all prior negotiations, representations and agreements relating to its subject matter. No variation of this Agreement is effective unless in writing and signed by authorised representatives of both parties.</w:t>
      </w:r>
    </w:p>
    <w:p>
      <w:pPr>
        <w:pStyle w:val="Heading1"/>
      </w:pPr>
      <w:r>
        <w:t>Schedule A — Deliverables</w:t>
      </w:r>
    </w:p>
    <w:tbl>
      <w:tblPr>
        <w:tblStyle w:val="TableGrid"/>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Description</w:t>
            </w:r>
          </w:p>
        </w:tc>
        <w:tc>
          <w:tcPr>
            <w:tcW w:type="dxa" w:w="2880"/>
          </w:tcPr>
          <w:p>
            <w:r>
              <w:t>Quantity</w:t>
            </w:r>
          </w:p>
        </w:tc>
      </w:tr>
      <w:tr>
        <w:tc>
          <w:tcPr>
            <w:tcW w:type="dxa" w:w="2880"/>
          </w:tcPr>
          <w:p>
            <w:r>
              <w:t>Licences</w:t>
            </w:r>
          </w:p>
        </w:tc>
        <w:tc>
          <w:tcPr>
            <w:tcW w:type="dxa" w:w="2880"/>
          </w:tcPr>
          <w:p>
            <w:r>
              <w:t>corporate gifting user licences</w:t>
            </w:r>
          </w:p>
        </w:tc>
        <w:tc>
          <w:tcPr>
            <w:tcW w:type="dxa" w:w="2880"/>
          </w:tcPr>
          <w:p>
            <w:r>
              <w:t>86</w:t>
            </w:r>
          </w:p>
        </w:tc>
      </w:tr>
      <w:tr>
        <w:tc>
          <w:tcPr>
            <w:tcW w:type="dxa" w:w="2880"/>
          </w:tcPr>
          <w:p>
            <w:r>
              <w:t>Onboarding</w:t>
            </w:r>
          </w:p>
        </w:tc>
        <w:tc>
          <w:tcPr>
            <w:tcW w:type="dxa" w:w="2880"/>
          </w:tcPr>
          <w:p>
            <w:r>
              <w:t>Implementation and data migration</w:t>
            </w:r>
          </w:p>
        </w:tc>
        <w:tc>
          <w:tcPr>
            <w:tcW w:type="dxa" w:w="2880"/>
          </w:tcPr>
          <w:p>
            <w:r>
              <w:t>1</w:t>
            </w:r>
          </w:p>
        </w:tc>
      </w:tr>
      <w:tr>
        <w:tc>
          <w:tcPr>
            <w:tcW w:type="dxa" w:w="2880"/>
          </w:tcPr>
          <w:p>
            <w:r>
              <w:t>Support</w:t>
            </w:r>
          </w:p>
        </w:tc>
        <w:tc>
          <w:tcPr>
            <w:tcW w:type="dxa" w:w="2880"/>
          </w:tcPr>
          <w:p>
            <w:r>
              <w:t>24x7 priority support</w:t>
            </w:r>
          </w:p>
        </w:tc>
        <w:tc>
          <w:tcPr>
            <w:tcW w:type="dxa" w:w="2880"/>
          </w:tcPr>
          <w:p>
            <w:r>
              <w:t>12 months</w:t>
            </w:r>
          </w:p>
        </w:tc>
      </w:tr>
    </w:tbl>
    <w:p>
      <w:pPr>
        <w:pStyle w:val="Heading1"/>
      </w:pPr>
      <w:r>
        <w:t>Schedule B — Notices</w:t>
      </w:r>
    </w:p>
    <w:p>
      <w:r>
        <w:t>Client: Treelife Technologies Pvt. Ltd., 4th Floor, Bandra Kurla Complex, Mumbai 400051; legal@treelife-demo.example.</w:t>
        <w:br/>
        <w:t>Vendor: Sapphire Jewels, registered office as per the Companies Register; notices@sapphirejewels.example.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