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8B80C">
      <w:pPr>
        <w:spacing w:before="480" w:after="80"/>
        <w:jc w:val="center"/>
      </w:pPr>
      <w:r>
        <w:rPr>
          <w:rFonts w:ascii="Arial" w:hAnsi="Arial" w:eastAsia="Arial" w:cs="Arial"/>
          <w:b/>
          <w:bCs/>
          <w:color w:val="1F4E79"/>
          <w:sz w:val="52"/>
          <w:szCs w:val="52"/>
        </w:rPr>
        <w:t>HOSPITAL PERFORMANCE ANALYTICS DASHBOARD</w:t>
      </w:r>
    </w:p>
    <w:p w14:paraId="263876AB">
      <w:pPr>
        <w:spacing w:before="0" w:after="40"/>
        <w:jc w:val="center"/>
      </w:pPr>
      <w:r>
        <w:rPr>
          <w:rFonts w:ascii="Arial" w:hAnsi="Arial" w:eastAsia="Arial" w:cs="Arial"/>
          <w:i/>
          <w:iCs/>
          <w:color w:val="2E75B6"/>
          <w:sz w:val="30"/>
          <w:szCs w:val="30"/>
        </w:rPr>
        <w:t>End-to-End Data Analytics Project Report</w:t>
      </w:r>
    </w:p>
    <w:p w14:paraId="3220ED89">
      <w:pPr>
        <w:spacing w:before="0" w:after="80"/>
        <w:jc w:val="center"/>
      </w:pPr>
      <w:r>
        <w:rPr>
          <w:rFonts w:ascii="Arial" w:hAnsi="Arial" w:eastAsia="Arial" w:cs="Arial"/>
          <w:color w:val="666666"/>
          <w:sz w:val="22"/>
          <w:szCs w:val="22"/>
        </w:rPr>
        <w:t>Built with Microsoft Excel | Power Pivot | Pivot Tables | Interactive Dashboard</w:t>
      </w:r>
    </w:p>
    <w:p w14:paraId="49209DD2">
      <w:pPr>
        <w:pBdr>
          <w:bottom w:val="single" w:color="2E75B6" w:sz="12" w:space="6"/>
        </w:pBdr>
        <w:spacing w:before="80" w:after="480"/>
        <w:jc w:val="both"/>
      </w:pPr>
    </w:p>
    <w:p w14:paraId="5B1F8A93">
      <w:pPr>
        <w:pStyle w:val="2"/>
        <w:pBdr>
          <w:bottom w:val="single" w:color="2E75B6" w:sz="8" w:space="4"/>
        </w:pBdr>
        <w:spacing w:before="360" w:after="120" w:line="360" w:lineRule="auto"/>
        <w:jc w:val="both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1. Project Overview</w:t>
      </w:r>
    </w:p>
    <w:p w14:paraId="021DA334">
      <w:pPr>
        <w:spacing w:before="60" w:after="8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This project demonstrates a complete, end-to-end data analytics workflow applied to a real-world hospital dataset. The objective was to transform raw, multi-table hospital records into an interactive, insight-driven performance dashboard using Microsoft Excel's advanced analytical capabilities.</w:t>
      </w:r>
    </w:p>
    <w:p w14:paraId="00C0D6F9">
      <w:pPr>
        <w:spacing w:before="60" w:after="8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The dashboard enables hospital administrators to monitor patient demographics, analyze hospital utilization patterns, and assess operational efficiency — all through a single, interactive interface.</w:t>
      </w:r>
    </w:p>
    <w:p w14:paraId="32B731C9">
      <w:pPr>
        <w:pStyle w:val="2"/>
        <w:pBdr>
          <w:bottom w:val="single" w:color="2E75B6" w:sz="8" w:space="4"/>
        </w:pBdr>
        <w:spacing w:before="360" w:after="120" w:line="360" w:lineRule="auto"/>
        <w:jc w:val="both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2. Dataset Overview</w:t>
      </w:r>
    </w:p>
    <w:p w14:paraId="54C52A7B">
      <w:pPr>
        <w:spacing w:before="60" w:after="8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The project utilized a multi-table relational hospital dataset containing over 27,000+ encounter records linked to patient records. The two primary tables used were:</w:t>
      </w:r>
    </w:p>
    <w:p w14:paraId="7FFFF4CE">
      <w:pPr>
        <w:pStyle w:val="17"/>
        <w:numPr>
          <w:ilvl w:val="0"/>
          <w:numId w:val="1"/>
        </w:numPr>
        <w:spacing w:before="40" w:after="4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Patients Table — Demographic data including gender, date of birth, marital status, race, ethnicity, and birthplace.</w:t>
      </w:r>
    </w:p>
    <w:p w14:paraId="52399A5A">
      <w:pPr>
        <w:pStyle w:val="17"/>
        <w:numPr>
          <w:ilvl w:val="0"/>
          <w:numId w:val="1"/>
        </w:numPr>
        <w:spacing w:before="40" w:after="4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Encounters Table — Hospital visit records including admission/discharge timestamps, encounter class, payer, organization, and reason descriptions.</w:t>
      </w:r>
    </w:p>
    <w:p w14:paraId="3EA3A4E8">
      <w:pPr>
        <w:spacing w:before="60" w:after="8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Dataset Size: 20,000+ records across tables, with 27,891 total encounters and 974 unique patients — reflecting a realistic, large-scale healthcare dataset.</w:t>
      </w:r>
    </w:p>
    <w:p w14:paraId="37F8C977">
      <w:pPr>
        <w:pStyle w:val="2"/>
        <w:pBdr>
          <w:bottom w:val="single" w:color="2E75B6" w:sz="8" w:space="4"/>
        </w:pBdr>
        <w:spacing w:before="360" w:after="120" w:line="360" w:lineRule="auto"/>
        <w:jc w:val="both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3. Data Relationship Modeling</w:t>
      </w:r>
    </w:p>
    <w:p w14:paraId="6E1F4B78">
      <w:pPr>
        <w:spacing w:before="60" w:after="8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Before any transformation, the schema and relationships between tables were analyzed:</w:t>
      </w:r>
    </w:p>
    <w:p w14:paraId="138F3C2E">
      <w:pPr>
        <w:pStyle w:val="17"/>
        <w:numPr>
          <w:ilvl w:val="0"/>
          <w:numId w:val="1"/>
        </w:numPr>
        <w:spacing w:before="40" w:after="4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Each patient holds a unique identifier (patients.Id)</w:t>
      </w:r>
    </w:p>
    <w:p w14:paraId="2D9CF5E1">
      <w:pPr>
        <w:pStyle w:val="17"/>
        <w:numPr>
          <w:ilvl w:val="0"/>
          <w:numId w:val="1"/>
        </w:numPr>
        <w:spacing w:before="40" w:after="4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Each encounter references a patient via the PATIENT foreign key (encounters.PATIENT)</w:t>
      </w:r>
    </w:p>
    <w:p w14:paraId="3861389D">
      <w:pPr>
        <w:pStyle w:val="17"/>
        <w:numPr>
          <w:ilvl w:val="0"/>
          <w:numId w:val="1"/>
        </w:numPr>
        <w:spacing w:before="40" w:after="4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One patient can have multiple encounters — establishing a one-to-many relationship</w:t>
      </w:r>
    </w:p>
    <w:p w14:paraId="7AA21236">
      <w:pPr>
        <w:spacing w:before="60" w:after="80" w:line="360" w:lineRule="auto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Using Microsoft Excel's Power Pivot Data Model, a formal relationship was created between patients.Id and encounters.PATIENT. This enabled cross-table analysis — querying patient demographics against encounter data — without the need for VLOOKUP or data duplication.</w:t>
      </w:r>
    </w:p>
    <w:p w14:paraId="3BD2A677">
      <w:pPr>
        <w:spacing w:before="60" w:after="80" w:line="360" w:lineRule="auto"/>
        <w:jc w:val="both"/>
        <w:rPr>
          <w:rFonts w:ascii="Arial" w:hAnsi="Arial" w:eastAsia="Arial" w:cs="Arial"/>
          <w:sz w:val="22"/>
          <w:szCs w:val="22"/>
        </w:rPr>
      </w:pPr>
      <w:r>
        <w:rPr>
          <w:rFonts w:hint="default" w:ascii="Arial" w:hAnsi="Arial" w:eastAsia="Arial" w:cs="Arial"/>
          <w:sz w:val="22"/>
          <w:szCs w:val="22"/>
          <w:lang w:val="en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1393190</wp:posOffset>
            </wp:positionH>
            <wp:positionV relativeFrom="paragraph">
              <wp:posOffset>154940</wp:posOffset>
            </wp:positionV>
            <wp:extent cx="3157220" cy="2007235"/>
            <wp:effectExtent l="0" t="0" r="43180" b="4445"/>
            <wp:wrapTight wrapText="bothSides">
              <wp:wrapPolygon>
                <wp:start x="0" y="0"/>
                <wp:lineTo x="0" y="21484"/>
                <wp:lineTo x="21478" y="21484"/>
                <wp:lineTo x="21478" y="0"/>
                <wp:lineTo x="0" y="0"/>
              </wp:wrapPolygon>
            </wp:wrapTight>
            <wp:docPr id="1" name="Picture 1" descr="Screenshot 2026-05-08 014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5-08 0148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722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ADA410">
      <w:pPr>
        <w:spacing w:before="60" w:after="80" w:line="360" w:lineRule="auto"/>
        <w:jc w:val="both"/>
        <w:rPr>
          <w:rFonts w:ascii="Arial" w:hAnsi="Arial" w:eastAsia="Arial" w:cs="Arial"/>
          <w:sz w:val="22"/>
          <w:szCs w:val="22"/>
        </w:rPr>
      </w:pPr>
    </w:p>
    <w:p w14:paraId="71ECE534">
      <w:pPr>
        <w:spacing w:before="60" w:after="80" w:line="360" w:lineRule="auto"/>
        <w:jc w:val="both"/>
        <w:rPr>
          <w:rFonts w:ascii="Arial" w:hAnsi="Arial" w:eastAsia="Arial" w:cs="Arial"/>
          <w:sz w:val="22"/>
          <w:szCs w:val="22"/>
        </w:rPr>
      </w:pPr>
    </w:p>
    <w:p w14:paraId="39BA2798">
      <w:pPr>
        <w:spacing w:before="60" w:after="80" w:line="360" w:lineRule="auto"/>
        <w:jc w:val="both"/>
        <w:rPr>
          <w:rFonts w:ascii="Arial" w:hAnsi="Arial" w:eastAsia="Arial" w:cs="Arial"/>
          <w:sz w:val="22"/>
          <w:szCs w:val="22"/>
        </w:rPr>
      </w:pPr>
    </w:p>
    <w:p w14:paraId="696AA139">
      <w:pPr>
        <w:spacing w:before="60" w:after="80" w:line="360" w:lineRule="auto"/>
        <w:jc w:val="both"/>
        <w:rPr>
          <w:rFonts w:ascii="Arial" w:hAnsi="Arial" w:eastAsia="Arial" w:cs="Arial"/>
          <w:sz w:val="22"/>
          <w:szCs w:val="22"/>
        </w:rPr>
      </w:pPr>
    </w:p>
    <w:p w14:paraId="64212E73">
      <w:pPr>
        <w:spacing w:before="60" w:after="80" w:line="360" w:lineRule="auto"/>
        <w:jc w:val="both"/>
        <w:rPr>
          <w:rFonts w:ascii="Arial" w:hAnsi="Arial" w:eastAsia="Arial" w:cs="Arial"/>
          <w:sz w:val="22"/>
          <w:szCs w:val="22"/>
        </w:rPr>
      </w:pPr>
    </w:p>
    <w:p w14:paraId="23CA39AA">
      <w:pPr>
        <w:spacing w:before="60" w:after="80" w:line="360" w:lineRule="auto"/>
        <w:jc w:val="both"/>
        <w:rPr>
          <w:rFonts w:ascii="Arial" w:hAnsi="Arial" w:eastAsia="Arial" w:cs="Arial"/>
          <w:sz w:val="22"/>
          <w:szCs w:val="22"/>
        </w:rPr>
      </w:pPr>
    </w:p>
    <w:p w14:paraId="5D2DF596">
      <w:pPr>
        <w:spacing w:before="60" w:after="80" w:line="360" w:lineRule="auto"/>
        <w:jc w:val="both"/>
        <w:rPr>
          <w:rFonts w:ascii="Arial" w:hAnsi="Arial" w:eastAsia="Arial" w:cs="Arial"/>
          <w:sz w:val="22"/>
          <w:szCs w:val="22"/>
        </w:rPr>
      </w:pPr>
    </w:p>
    <w:p w14:paraId="030DA0E9">
      <w:pPr>
        <w:spacing w:before="60" w:after="80" w:line="360" w:lineRule="auto"/>
        <w:jc w:val="both"/>
        <w:rPr>
          <w:rFonts w:hint="default" w:ascii="Arial" w:hAnsi="Arial" w:eastAsia="Arial" w:cs="Arial"/>
          <w:sz w:val="22"/>
          <w:szCs w:val="22"/>
          <w:lang w:val="en-IN"/>
        </w:rPr>
      </w:pPr>
    </w:p>
    <w:p w14:paraId="0A5E5DA8">
      <w:pPr>
        <w:pStyle w:val="2"/>
        <w:pBdr>
          <w:bottom w:val="single" w:color="2E75B6" w:sz="8" w:space="4"/>
        </w:pBdr>
        <w:spacing w:before="360" w:after="120" w:line="360" w:lineRule="auto"/>
        <w:jc w:val="both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4. Data Cleaning &amp; Transformation</w:t>
      </w:r>
      <w:bookmarkStart w:id="0" w:name="_GoBack"/>
      <w:bookmarkEnd w:id="0"/>
    </w:p>
    <w:p w14:paraId="51E48522">
      <w:pPr>
        <w:pStyle w:val="3"/>
        <w:spacing w:before="240" w:after="80" w:line="360" w:lineRule="auto"/>
        <w:jc w:val="both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4.1 Categorical Standardization</w:t>
      </w:r>
    </w:p>
    <w:p w14:paraId="4781CC56">
      <w:pPr>
        <w:spacing w:before="60" w:after="8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Raw categorical codes were converted into human-readable labels for better analytical clarity:</w:t>
      </w:r>
    </w:p>
    <w:p w14:paraId="4D1716DF">
      <w:pPr>
        <w:pStyle w:val="17"/>
        <w:numPr>
          <w:ilvl w:val="0"/>
          <w:numId w:val="1"/>
        </w:numPr>
        <w:spacing w:before="40" w:after="4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Gender: 'M' → Male | 'F' → Female</w:t>
      </w:r>
    </w:p>
    <w:p w14:paraId="59AE6791">
      <w:pPr>
        <w:pStyle w:val="17"/>
        <w:numPr>
          <w:ilvl w:val="0"/>
          <w:numId w:val="1"/>
        </w:numPr>
        <w:spacing w:before="40" w:after="4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Marital Status: 'M' → Married | 'S' → Single | Blank → Unknown</w:t>
      </w:r>
    </w:p>
    <w:p w14:paraId="7CBAD199">
      <w:pPr>
        <w:spacing w:before="60" w:after="8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Implemented using Excel's IF/IFS functions to ensure consistency across 20,000+ records.</w:t>
      </w:r>
    </w:p>
    <w:p w14:paraId="3F9AFD75">
      <w:pPr>
        <w:pStyle w:val="3"/>
        <w:spacing w:before="240" w:after="80" w:line="360" w:lineRule="auto"/>
        <w:jc w:val="both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4.2 Handling Missing Values</w:t>
      </w:r>
    </w:p>
    <w:p w14:paraId="089C5FA6">
      <w:pPr>
        <w:spacing w:before="60" w:after="8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A strategic approach was used — missing values were handled contextually rather than deleted:</w:t>
      </w:r>
    </w:p>
    <w:p w14:paraId="11E19E3A">
      <w:pPr>
        <w:pStyle w:val="17"/>
        <w:numPr>
          <w:ilvl w:val="0"/>
          <w:numId w:val="1"/>
        </w:numPr>
        <w:spacing w:before="40" w:after="4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DEATHDATE — Left as blank (used in conditional age calculation logic)</w:t>
      </w:r>
    </w:p>
    <w:p w14:paraId="4CE8A953">
      <w:pPr>
        <w:pStyle w:val="17"/>
        <w:numPr>
          <w:ilvl w:val="0"/>
          <w:numId w:val="1"/>
        </w:numPr>
        <w:spacing w:before="40" w:after="4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ZIP codes — Blanks replaced with 'Unknown' for regional grouping</w:t>
      </w:r>
    </w:p>
    <w:p w14:paraId="571069B8">
      <w:pPr>
        <w:pStyle w:val="17"/>
        <w:numPr>
          <w:ilvl w:val="0"/>
          <w:numId w:val="1"/>
        </w:numPr>
        <w:spacing w:before="40" w:after="4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REASONDESCRIPTION — Blanks converted to 'Not Specified' for consistent categorization</w:t>
      </w:r>
    </w:p>
    <w:p w14:paraId="3D49E1F1">
      <w:pPr>
        <w:pStyle w:val="17"/>
        <w:numPr>
          <w:numId w:val="0"/>
        </w:numPr>
        <w:spacing w:before="40" w:after="40" w:line="360" w:lineRule="auto"/>
        <w:jc w:val="both"/>
        <w:rPr>
          <w:rFonts w:ascii="Arial" w:hAnsi="Arial" w:eastAsia="Arial" w:cs="Arial"/>
          <w:sz w:val="22"/>
          <w:szCs w:val="22"/>
        </w:rPr>
      </w:pPr>
    </w:p>
    <w:p w14:paraId="623588E7">
      <w:pPr>
        <w:pStyle w:val="17"/>
        <w:numPr>
          <w:numId w:val="0"/>
        </w:numPr>
        <w:spacing w:before="40" w:after="40" w:line="360" w:lineRule="auto"/>
        <w:jc w:val="both"/>
        <w:rPr>
          <w:rFonts w:ascii="Arial" w:hAnsi="Arial" w:eastAsia="Arial" w:cs="Arial"/>
          <w:sz w:val="22"/>
          <w:szCs w:val="22"/>
        </w:rPr>
      </w:pPr>
    </w:p>
    <w:p w14:paraId="05126CBF">
      <w:pPr>
        <w:pStyle w:val="3"/>
        <w:spacing w:before="240" w:after="80" w:line="360" w:lineRule="auto"/>
        <w:jc w:val="both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4.3 Feature Engineering</w:t>
      </w:r>
    </w:p>
    <w:p w14:paraId="67702960">
      <w:pPr>
        <w:spacing w:before="60" w:after="8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Multiple derived columns were engineered to unlock deeper analytical dimensions:</w:t>
      </w:r>
    </w:p>
    <w:p w14:paraId="7E9C1ED7">
      <w:pPr>
        <w:pStyle w:val="17"/>
        <w:numPr>
          <w:ilvl w:val="0"/>
          <w:numId w:val="1"/>
        </w:numPr>
        <w:spacing w:before="40" w:after="4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Age Calculation — Dynamic age computed from BIRTHDATE; if deceased, age calculated to DEATHDATE; otherwise to today's date</w:t>
      </w:r>
    </w:p>
    <w:p w14:paraId="58A47018">
      <w:pPr>
        <w:pStyle w:val="17"/>
        <w:numPr>
          <w:ilvl w:val="0"/>
          <w:numId w:val="1"/>
        </w:numPr>
        <w:spacing w:before="40" w:after="4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Age Group Segmentation — Child (0-18) | Adult (19-40) | Middle Age (41-60) | Senior (60+)</w:t>
      </w:r>
    </w:p>
    <w:p w14:paraId="5E2EDEAE">
      <w:pPr>
        <w:pStyle w:val="17"/>
        <w:numPr>
          <w:ilvl w:val="0"/>
          <w:numId w:val="1"/>
        </w:numPr>
        <w:spacing w:before="40" w:after="4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Length of Stay (LOS) — Calculated as (STOP - START) in days; same-day visits standardized to 1 day per real-world reporting norms</w:t>
      </w:r>
    </w:p>
    <w:p w14:paraId="1770270A">
      <w:pPr>
        <w:pStyle w:val="17"/>
        <w:numPr>
          <w:ilvl w:val="0"/>
          <w:numId w:val="1"/>
        </w:numPr>
        <w:spacing w:before="40" w:after="40" w:line="360" w:lineRule="auto"/>
        <w:jc w:val="both"/>
        <w:rPr>
          <w:rFonts w:ascii="Arial" w:hAnsi="Arial" w:eastAsia="Arial" w:cs="Arial"/>
          <w:b/>
          <w:bCs/>
          <w:color w:val="1F4E79"/>
          <w:sz w:val="36"/>
          <w:szCs w:val="36"/>
        </w:rPr>
      </w:pPr>
      <w:r>
        <w:rPr>
          <w:rFonts w:ascii="Arial" w:hAnsi="Arial" w:eastAsia="Arial" w:cs="Arial"/>
          <w:sz w:val="22"/>
          <w:szCs w:val="22"/>
        </w:rPr>
        <w:t>Stay Type — Short Stay (1-2 days) | Medium Stay (3-7 days) | Long Stay (8+ days)</w:t>
      </w:r>
    </w:p>
    <w:p w14:paraId="6C1A2584">
      <w:pPr>
        <w:pStyle w:val="2"/>
        <w:pBdr>
          <w:bottom w:val="single" w:color="2E75B6" w:sz="8" w:space="4"/>
        </w:pBdr>
        <w:spacing w:before="360" w:after="120" w:line="360" w:lineRule="auto"/>
        <w:jc w:val="both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5. KPI Summary</w:t>
      </w:r>
    </w:p>
    <w:p w14:paraId="56FB337F">
      <w:pPr>
        <w:spacing w:before="120" w:after="120" w:line="360" w:lineRule="auto"/>
        <w:jc w:val="both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5360"/>
      </w:tblGrid>
      <w:tr w14:paraId="220A4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803E5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KPI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7AF1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Value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FF2ED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Business Interpretation</w:t>
            </w:r>
          </w:p>
        </w:tc>
      </w:tr>
      <w:tr w14:paraId="684E9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D7957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Total Visits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A60B3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2E75B6"/>
                <w:sz w:val="22"/>
                <w:szCs w:val="22"/>
              </w:rPr>
              <w:t>27,891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C409C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sz w:val="22"/>
                <w:szCs w:val="22"/>
              </w:rPr>
              <w:t>Total hospital encounters recorded</w:t>
            </w:r>
          </w:p>
        </w:tc>
      </w:tr>
      <w:tr w14:paraId="1FF69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8F945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Total Patients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EFF46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2E75B6"/>
                <w:sz w:val="22"/>
                <w:szCs w:val="22"/>
              </w:rPr>
              <w:t>974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B1729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sz w:val="22"/>
                <w:szCs w:val="22"/>
              </w:rPr>
              <w:t>Unique patients in the dataset</w:t>
            </w:r>
          </w:p>
        </w:tc>
      </w:tr>
      <w:tr w14:paraId="06193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0D34B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Avg Length of Stay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A777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2E75B6"/>
                <w:sz w:val="22"/>
                <w:szCs w:val="22"/>
              </w:rPr>
              <w:t>1.24 days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2AA66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sz w:val="22"/>
                <w:szCs w:val="22"/>
              </w:rPr>
              <w:t>Average hospitalization duration</w:t>
            </w:r>
          </w:p>
        </w:tc>
      </w:tr>
      <w:tr w14:paraId="5B781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DE460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Average Age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0B1F1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2E75B6"/>
                <w:sz w:val="22"/>
                <w:szCs w:val="22"/>
              </w:rPr>
              <w:t>72 years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C37F8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sz w:val="22"/>
                <w:szCs w:val="22"/>
              </w:rPr>
              <w:t>Population health profile</w:t>
            </w:r>
          </w:p>
        </w:tc>
      </w:tr>
    </w:tbl>
    <w:p w14:paraId="716C7AFC">
      <w:pPr>
        <w:pStyle w:val="2"/>
        <w:pBdr>
          <w:bottom w:val="single" w:color="2E75B6" w:sz="8" w:space="4"/>
        </w:pBdr>
        <w:spacing w:before="360" w:after="120" w:line="360" w:lineRule="auto"/>
        <w:jc w:val="both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6. Multi-Dimensional Analysis</w:t>
      </w:r>
    </w:p>
    <w:p w14:paraId="560939DA">
      <w:pPr>
        <w:spacing w:before="60" w:after="8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Pivot tables were constructed to answer key business questions across multiple dimensions:</w:t>
      </w:r>
    </w:p>
    <w:p w14:paraId="71A60FFB">
      <w:pPr>
        <w:pStyle w:val="17"/>
        <w:numPr>
          <w:ilvl w:val="0"/>
          <w:numId w:val="1"/>
        </w:numPr>
        <w:spacing w:before="40" w:after="4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Demographic Analysis — Visits by age group; gender distribution across patient population</w:t>
      </w:r>
    </w:p>
    <w:p w14:paraId="3580015C">
      <w:pPr>
        <w:pStyle w:val="17"/>
        <w:numPr>
          <w:ilvl w:val="0"/>
          <w:numId w:val="1"/>
        </w:numPr>
        <w:spacing w:before="40" w:after="4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Utilization Analysis — Stay type distribution by age and gender; total visits per demographic segment</w:t>
      </w:r>
    </w:p>
    <w:p w14:paraId="114BEB2A">
      <w:pPr>
        <w:pStyle w:val="17"/>
        <w:numPr>
          <w:ilvl w:val="0"/>
          <w:numId w:val="1"/>
        </w:numPr>
        <w:spacing w:before="40" w:after="4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Operational Efficiency — Average Length of Stay by age group; identification of high-LOS segments</w:t>
      </w:r>
    </w:p>
    <w:p w14:paraId="77ACE297">
      <w:pPr>
        <w:pStyle w:val="17"/>
        <w:numPr>
          <w:ilvl w:val="0"/>
          <w:numId w:val="1"/>
        </w:numPr>
        <w:spacing w:before="40" w:after="4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Temporal Trends — Year-wise and month-wise patient visit trends to identify seasonal patterns</w:t>
      </w:r>
    </w:p>
    <w:p w14:paraId="0F9B2CB0">
      <w:pPr>
        <w:pStyle w:val="17"/>
        <w:numPr>
          <w:ilvl w:val="0"/>
          <w:numId w:val="1"/>
        </w:numPr>
        <w:spacing w:before="40" w:after="40" w:line="360" w:lineRule="auto"/>
        <w:jc w:val="both"/>
        <w:rPr>
          <w:rFonts w:ascii="Arial" w:hAnsi="Arial" w:eastAsia="Arial" w:cs="Arial"/>
          <w:b/>
          <w:bCs/>
          <w:color w:val="1F4E79"/>
          <w:sz w:val="36"/>
          <w:szCs w:val="36"/>
        </w:rPr>
      </w:pPr>
      <w:r>
        <w:rPr>
          <w:rFonts w:ascii="Arial" w:hAnsi="Arial" w:eastAsia="Arial" w:cs="Arial"/>
          <w:sz w:val="22"/>
          <w:szCs w:val="22"/>
        </w:rPr>
        <w:t>Cross-Dimensional Analysis — Age Group vs Stay Type; Gender vs Visit Volume for intersection insight</w:t>
      </w:r>
      <w:r>
        <w:rPr>
          <w:rFonts w:hint="default" w:cs="Arial"/>
          <w:sz w:val="22"/>
          <w:szCs w:val="22"/>
          <w:lang w:val="en-IN"/>
        </w:rPr>
        <w:t>S.</w:t>
      </w:r>
    </w:p>
    <w:p w14:paraId="38B4CE25">
      <w:pPr>
        <w:pStyle w:val="2"/>
        <w:pBdr>
          <w:bottom w:val="single" w:color="2E75B6" w:sz="8" w:space="4"/>
        </w:pBdr>
        <w:spacing w:before="360" w:after="120" w:line="360" w:lineRule="auto"/>
        <w:jc w:val="both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7. Key Insights</w:t>
      </w:r>
    </w:p>
    <w:p w14:paraId="19852A4B">
      <w:pPr>
        <w:spacing w:before="120" w:after="120" w:line="360" w:lineRule="auto"/>
        <w:jc w:val="both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56A42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3D86B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Insight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0CF1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Finding</w:t>
            </w:r>
          </w:p>
        </w:tc>
      </w:tr>
      <w:tr w14:paraId="3C6C0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D8F06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Senior Dominance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0972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21,632 of 27,891 visits (77%) are by senior patients (60+), indicating high geriatric care demand.</w:t>
            </w:r>
          </w:p>
        </w:tc>
      </w:tr>
      <w:tr w14:paraId="2342F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364D0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Short Stay Majority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A3970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99.84% of all encounters are short-stay (1-2 days), showing strong throughput and outpatient efficiency.</w:t>
            </w:r>
          </w:p>
        </w:tc>
      </w:tr>
      <w:tr w14:paraId="61BCF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4166D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LOS by Age Group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DCD3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Adults average 2.31 days LOS vs Seniors at 1.07 days — seniors have quicker turnaround despite higher volume.</w:t>
            </w:r>
          </w:p>
        </w:tc>
      </w:tr>
      <w:tr w14:paraId="22F25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BAECF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Gender Distribution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82654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Near-equal split: 51% Male, 49% Female — no gender-based utilization bias observed.</w:t>
            </w:r>
          </w:p>
        </w:tc>
      </w:tr>
      <w:tr w14:paraId="65554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3136F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Monthly Patterns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C669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Visit volume peaks in March (205) and December (198); lowest in January (116) — seasonal demand fluctuations exist.</w:t>
            </w:r>
          </w:p>
        </w:tc>
      </w:tr>
      <w:tr w14:paraId="6E777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DF70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Long Stay Rarity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B7FFD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Long stays (8+ days) represent only 0.11% of cases, mostly concentrated in the senior age bracket.</w:t>
            </w:r>
          </w:p>
        </w:tc>
      </w:tr>
    </w:tbl>
    <w:p w14:paraId="2961AD38">
      <w:pPr>
        <w:pStyle w:val="2"/>
        <w:pBdr>
          <w:bottom w:val="single" w:color="2E75B6" w:sz="8" w:space="4"/>
        </w:pBdr>
        <w:spacing w:before="360" w:after="120" w:line="360" w:lineRule="auto"/>
        <w:jc w:val="both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8. Dashboard Design &amp; Interactivity</w:t>
      </w:r>
    </w:p>
    <w:p w14:paraId="592F3C16">
      <w:pPr>
        <w:spacing w:before="60" w:after="8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A dedicated Dashboard sheet was built with a structured, professional layout:</w:t>
      </w:r>
    </w:p>
    <w:p w14:paraId="23FAD6AE">
      <w:pPr>
        <w:pStyle w:val="3"/>
        <w:spacing w:before="240" w:after="80" w:line="360" w:lineRule="auto"/>
        <w:jc w:val="both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KPI Cards (Top Row)</w:t>
      </w:r>
    </w:p>
    <w:p w14:paraId="7E544A01">
      <w:pPr>
        <w:spacing w:before="60" w:after="8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Four key metrics displayed prominently — Total Visits (27,891), Total Patients (974), Average LOS (1.24 days), Average Age (72) — providing an at-a-glance summary for stakeholders.</w:t>
      </w:r>
    </w:p>
    <w:p w14:paraId="04454227">
      <w:pPr>
        <w:pStyle w:val="3"/>
        <w:spacing w:before="240" w:after="80" w:line="360" w:lineRule="auto"/>
        <w:jc w:val="both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Visualization Suite</w:t>
      </w:r>
    </w:p>
    <w:p w14:paraId="4B4E487F">
      <w:pPr>
        <w:pStyle w:val="17"/>
        <w:numPr>
          <w:ilvl w:val="0"/>
          <w:numId w:val="1"/>
        </w:numPr>
        <w:spacing w:before="40" w:after="4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Bar Chart — Visits by Age Group (highlights senior dominance)</w:t>
      </w:r>
    </w:p>
    <w:p w14:paraId="7F7A17FE">
      <w:pPr>
        <w:pStyle w:val="17"/>
        <w:numPr>
          <w:ilvl w:val="0"/>
          <w:numId w:val="1"/>
        </w:numPr>
        <w:spacing w:before="40" w:after="4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Pie Chart — Gender Distribution (51% Male, 49% Female)</w:t>
      </w:r>
    </w:p>
    <w:p w14:paraId="7D443FBB">
      <w:pPr>
        <w:pStyle w:val="17"/>
        <w:numPr>
          <w:ilvl w:val="0"/>
          <w:numId w:val="1"/>
        </w:numPr>
        <w:spacing w:before="40" w:after="4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Column Chart — Stay Type Distribution broken down by gender</w:t>
      </w:r>
    </w:p>
    <w:p w14:paraId="0F0A1079">
      <w:pPr>
        <w:pStyle w:val="17"/>
        <w:numPr>
          <w:ilvl w:val="0"/>
          <w:numId w:val="1"/>
        </w:numPr>
        <w:spacing w:before="40" w:after="4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Bar Chart — Average LOS by Age Group</w:t>
      </w:r>
    </w:p>
    <w:p w14:paraId="760D2000">
      <w:pPr>
        <w:pStyle w:val="17"/>
        <w:numPr>
          <w:ilvl w:val="0"/>
          <w:numId w:val="1"/>
        </w:numPr>
        <w:spacing w:before="40" w:after="4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Line Chart — Monthly Patient Visit Trends</w:t>
      </w:r>
    </w:p>
    <w:p w14:paraId="5B42756C">
      <w:pPr>
        <w:pStyle w:val="17"/>
        <w:numPr>
          <w:ilvl w:val="0"/>
          <w:numId w:val="1"/>
        </w:numPr>
        <w:spacing w:before="40" w:after="4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Line Chart — Genderwise Hospital Visit comparison by age group</w:t>
      </w:r>
    </w:p>
    <w:p w14:paraId="5350016D">
      <w:pPr>
        <w:pStyle w:val="3"/>
        <w:spacing w:before="240" w:after="80" w:line="360" w:lineRule="auto"/>
        <w:jc w:val="both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Interactive Slicers</w:t>
      </w:r>
    </w:p>
    <w:p w14:paraId="4002F645">
      <w:pPr>
        <w:spacing w:before="60" w:after="80" w:line="360" w:lineRule="auto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Four slicers were connected to all pivot charts simultaneously, enabling dynamic cross-filtering: Year | Gender | Age Group | Stay Type. Any selection instantly updates all six charts, creating a fully interactive analytical experience.</w:t>
      </w:r>
    </w:p>
    <w:p w14:paraId="7AB14B59">
      <w:pPr>
        <w:spacing w:before="60" w:after="80" w:line="360" w:lineRule="auto"/>
        <w:jc w:val="both"/>
        <w:rPr>
          <w:rFonts w:ascii="Arial" w:hAnsi="Arial" w:eastAsia="Arial" w:cs="Arial"/>
          <w:sz w:val="22"/>
          <w:szCs w:val="22"/>
        </w:rPr>
      </w:pPr>
    </w:p>
    <w:p w14:paraId="104E6FC3">
      <w:pPr>
        <w:pStyle w:val="2"/>
        <w:pBdr>
          <w:bottom w:val="single" w:color="2E75B6" w:sz="8" w:space="4"/>
        </w:pBdr>
        <w:spacing w:before="360" w:after="120" w:line="360" w:lineRule="auto"/>
        <w:jc w:val="both"/>
        <w:rPr>
          <w:rFonts w:ascii="Arial" w:hAnsi="Arial" w:eastAsia="Arial" w:cs="Arial"/>
          <w:b/>
          <w:bCs/>
          <w:color w:val="1F4E79"/>
          <w:sz w:val="36"/>
          <w:szCs w:val="36"/>
        </w:rPr>
      </w:pPr>
      <w:r>
        <w:rPr>
          <w:rFonts w:hint="default" w:ascii="Arial" w:hAnsi="Arial" w:eastAsia="Arial" w:cs="Arial"/>
          <w:sz w:val="22"/>
          <w:szCs w:val="22"/>
          <w:lang w:val="en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-415925</wp:posOffset>
            </wp:positionH>
            <wp:positionV relativeFrom="paragraph">
              <wp:posOffset>153670</wp:posOffset>
            </wp:positionV>
            <wp:extent cx="6814820" cy="3644265"/>
            <wp:effectExtent l="0" t="0" r="12700" b="43815"/>
            <wp:wrapTight wrapText="bothSides">
              <wp:wrapPolygon>
                <wp:start x="0" y="0"/>
                <wp:lineTo x="0" y="21498"/>
                <wp:lineTo x="21544" y="21498"/>
                <wp:lineTo x="21544" y="0"/>
                <wp:lineTo x="0" y="0"/>
              </wp:wrapPolygon>
            </wp:wrapTight>
            <wp:docPr id="2" name="Picture 2" descr="Screenshot 2026-05-06 203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5-06 2037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1482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747B3F">
      <w:pPr>
        <w:pStyle w:val="2"/>
        <w:pBdr>
          <w:bottom w:val="single" w:color="2E75B6" w:sz="8" w:space="4"/>
        </w:pBdr>
        <w:spacing w:before="360" w:after="120" w:line="360" w:lineRule="auto"/>
        <w:jc w:val="both"/>
        <w:rPr>
          <w:rFonts w:ascii="Arial" w:hAnsi="Arial" w:eastAsia="Arial" w:cs="Arial"/>
          <w:b/>
          <w:bCs/>
          <w:color w:val="1F4E79"/>
          <w:sz w:val="36"/>
          <w:szCs w:val="36"/>
        </w:rPr>
      </w:pPr>
    </w:p>
    <w:p w14:paraId="2F0FCFDB">
      <w:pPr>
        <w:pStyle w:val="2"/>
        <w:pBdr>
          <w:bottom w:val="single" w:color="2E75B6" w:sz="8" w:space="4"/>
        </w:pBdr>
        <w:spacing w:before="360" w:after="120" w:line="360" w:lineRule="auto"/>
        <w:jc w:val="both"/>
        <w:rPr>
          <w:rFonts w:ascii="Arial" w:hAnsi="Arial" w:eastAsia="Arial" w:cs="Arial"/>
          <w:b/>
          <w:bCs/>
          <w:color w:val="1F4E79"/>
          <w:sz w:val="36"/>
          <w:szCs w:val="36"/>
        </w:rPr>
      </w:pPr>
    </w:p>
    <w:p w14:paraId="41E06749">
      <w:pPr>
        <w:pStyle w:val="2"/>
        <w:pBdr>
          <w:bottom w:val="single" w:color="2E75B6" w:sz="8" w:space="4"/>
        </w:pBdr>
        <w:spacing w:before="360" w:after="120" w:line="360" w:lineRule="auto"/>
        <w:jc w:val="both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9. Excel Skills &amp; Techniques Applied</w:t>
      </w:r>
    </w:p>
    <w:p w14:paraId="6891FAA6">
      <w:pPr>
        <w:spacing w:before="120" w:after="120" w:line="360" w:lineRule="auto"/>
        <w:jc w:val="both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07929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5884D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Skill Area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1F2BA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Tools / Techniques Applied</w:t>
            </w:r>
          </w:p>
        </w:tc>
      </w:tr>
      <w:tr w14:paraId="08204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4C89B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Data Modeling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6488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Power Pivot, One-to-Many Relationships</w:t>
            </w:r>
          </w:p>
        </w:tc>
      </w:tr>
      <w:tr w14:paraId="2EF5F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9C55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Data Cleaning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C04A0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IF/IFS Functions, XLOOKUP, Null Handling</w:t>
            </w:r>
          </w:p>
        </w:tc>
      </w:tr>
      <w:tr w14:paraId="484EF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BE00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Feature Engineering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00ADE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Age Calculation, Age Groups, LOS, Stay Type</w:t>
            </w:r>
          </w:p>
        </w:tc>
      </w:tr>
      <w:tr w14:paraId="1E79B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011D9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Analysis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59452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Pivot Tables, Cross-Dimensional Analysis</w:t>
            </w:r>
          </w:p>
        </w:tc>
      </w:tr>
      <w:tr w14:paraId="2FB80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1109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Visualization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A321C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Bar, Pie, Line, Column Charts</w:t>
            </w:r>
          </w:p>
        </w:tc>
      </w:tr>
      <w:tr w14:paraId="75559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0AC34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Interactivity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91C4B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Slicers (Year, Age, Gender, Stay Type)</w:t>
            </w:r>
          </w:p>
        </w:tc>
      </w:tr>
      <w:tr w14:paraId="7A0D6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459E5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Dashboard Design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342E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KPI Cards, Layout, Color Theming, Formatting</w:t>
            </w:r>
          </w:p>
        </w:tc>
      </w:tr>
    </w:tbl>
    <w:p w14:paraId="42DDAC41">
      <w:pPr>
        <w:pStyle w:val="2"/>
        <w:pBdr>
          <w:bottom w:val="single" w:color="2E75B6" w:sz="8" w:space="4"/>
        </w:pBdr>
        <w:spacing w:before="360" w:after="120" w:line="360" w:lineRule="auto"/>
        <w:jc w:val="both"/>
        <w:rPr>
          <w:rFonts w:hint="default" w:ascii="Arial" w:hAnsi="Arial" w:eastAsia="Arial" w:cs="Arial"/>
          <w:b/>
          <w:bCs/>
          <w:color w:val="1F4E79"/>
          <w:sz w:val="36"/>
          <w:szCs w:val="36"/>
          <w:lang w:val="en-IN"/>
        </w:rPr>
      </w:pPr>
    </w:p>
    <w:p w14:paraId="56A3D1D3">
      <w:pPr>
        <w:pStyle w:val="2"/>
        <w:pBdr>
          <w:bottom w:val="single" w:color="2E75B6" w:sz="8" w:space="4"/>
        </w:pBdr>
        <w:spacing w:before="360" w:after="120" w:line="360" w:lineRule="auto"/>
        <w:jc w:val="both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10. Conclusion</w:t>
      </w:r>
    </w:p>
    <w:p w14:paraId="17662B38">
      <w:pPr>
        <w:spacing w:before="60" w:after="8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This project demonstrates a complete data analyst skillset applied to a real-world healthcare scenario. It covers the full analytics pipeline — from raw data ingestion and relationship modeling, through data cleaning and feature engineering, to multi-dimensional analysis and interactive dashboard delivery.</w:t>
      </w:r>
    </w:p>
    <w:p w14:paraId="68CB278B">
      <w:pPr>
        <w:spacing w:before="60" w:after="8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The result is a production-ready Excel dashboard that provides actionable insights on hospital performance, patient demographics, and operational efficiency — built entirely within Microsoft Excel without any external tools or coding languages.</w:t>
      </w:r>
    </w:p>
    <w:p w14:paraId="481279D5">
      <w:pPr>
        <w:spacing w:before="240" w:after="80" w:line="360" w:lineRule="auto"/>
        <w:jc w:val="both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>Key Takeaways:</w:t>
      </w:r>
    </w:p>
    <w:p w14:paraId="0F76CD44">
      <w:pPr>
        <w:pStyle w:val="17"/>
        <w:numPr>
          <w:ilvl w:val="0"/>
          <w:numId w:val="1"/>
        </w:numPr>
        <w:spacing w:before="40" w:after="4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End-to-end analytics workflow demonstrated with real-world data</w:t>
      </w:r>
    </w:p>
    <w:p w14:paraId="58F6CF32">
      <w:pPr>
        <w:pStyle w:val="17"/>
        <w:numPr>
          <w:ilvl w:val="0"/>
          <w:numId w:val="1"/>
        </w:numPr>
        <w:spacing w:before="40" w:after="4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Power Pivot Data Model used for relational cross-table analysis</w:t>
      </w:r>
    </w:p>
    <w:p w14:paraId="130F8A56">
      <w:pPr>
        <w:pStyle w:val="17"/>
        <w:numPr>
          <w:ilvl w:val="0"/>
          <w:numId w:val="1"/>
        </w:numPr>
        <w:spacing w:before="40" w:after="4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Business logic applied consistently throughout data transformations</w:t>
      </w:r>
    </w:p>
    <w:p w14:paraId="6305B8C4">
      <w:pPr>
        <w:pStyle w:val="17"/>
        <w:numPr>
          <w:ilvl w:val="0"/>
          <w:numId w:val="1"/>
        </w:numPr>
        <w:spacing w:before="40" w:after="4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Interactive dashboard suitable for executive and operational stakeholders</w:t>
      </w:r>
    </w:p>
    <w:p w14:paraId="1D4DF16D">
      <w:pPr>
        <w:pStyle w:val="17"/>
        <w:numPr>
          <w:ilvl w:val="0"/>
          <w:numId w:val="1"/>
        </w:numPr>
        <w:spacing w:before="40" w:after="40" w:line="360" w:lineRule="auto"/>
        <w:jc w:val="both"/>
      </w:pPr>
      <w:r>
        <w:rPr>
          <w:rFonts w:ascii="Arial" w:hAnsi="Arial" w:eastAsia="Arial" w:cs="Arial"/>
          <w:sz w:val="22"/>
          <w:szCs w:val="22"/>
        </w:rPr>
        <w:t>Insights directly actionable for hospital administration decisions</w:t>
      </w:r>
    </w:p>
    <w:sectPr>
      <w:footerReference r:id="rId3" w:type="default"/>
      <w:pgSz w:w="12240" w:h="15840"/>
      <w:pgMar w:top="1200" w:right="120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DB8E9A">
    <w:pPr>
      <w:pBdr>
        <w:top w:val="single" w:color="2E75B6" w:sz="4" w:space="4"/>
      </w:pBdr>
      <w:jc w:val="right"/>
    </w:pPr>
    <w:r>
      <w:rPr>
        <w:rFonts w:ascii="Arial" w:hAnsi="Arial" w:eastAsia="Arial" w:cs="Arial"/>
        <w:color w:val="888888"/>
        <w:sz w:val="18"/>
        <w:szCs w:val="18"/>
      </w:rPr>
      <w:t xml:space="preserve">Page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of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45F383D"/>
    <w:rsid w:val="4E1D0F94"/>
    <w:rsid w:val="567D2E32"/>
    <w:rsid w:val="7D084E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980</Words>
  <Characters>6036</Characters>
  <TotalTime>21</TotalTime>
  <ScaleCrop>false</ScaleCrop>
  <LinksUpToDate>false</LinksUpToDate>
  <CharactersWithSpaces>6905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2026-05-06T15:22:00Z</dcterms:created>
  <dc:creator>Un-named</dc:creator>
  <cp:lastModifiedBy>Aditya Divekar</cp:lastModifiedBy>
  <dcterms:modified xsi:type="dcterms:W3CDTF">2026-05-07T20:33:09Z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eyJoZGlkIjoiNWY0MmNlNzdlNjYyNzAzZGU2NDJhOGI0OGZhZDljMzUiLCJ1c2VySWQiOiI1Njc1MTAyMDEzODIifQ==</vt:lpwstr>
  </property>
  <property fmtid="{D5CDD505-2E9C-101B-9397-08002B2CF9AE}" pid="3" name="KSOProductBuildVer">
    <vt:lpwstr>1033-12.1.0.25242</vt:lpwstr>
  </property>
  <property fmtid="{D5CDD505-2E9C-101B-9397-08002B2CF9AE}" pid="4" name="ICV">
    <vt:lpwstr>44F4A1B920FC430FB831B02A2B686FCC_13</vt:lpwstr>
  </property>
</Properties>
</file>