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8"/>
        </w:rPr>
        <w:t>Executive Strategic Audit 2026</w:t>
      </w:r>
    </w:p>
    <w:p>
      <w:r>
        <w:rPr>
          <w:rFonts w:ascii="Arial" w:hAnsi="Arial"/>
          <w:color w:val="1E40AF"/>
          <w:sz w:val="20"/>
        </w:rPr>
        <w:t>Executive Document  •  Zenith Intelligence Engine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ve_strategic_audit_2026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E40AF"/>
        </w:rPr>
        <w:t>Executive Strategic Audit 2026</w:t>
      </w:r>
    </w:p>
    <w:p>
      <w:pPr>
        <w:pStyle w:val="Heading2"/>
      </w:pPr>
      <w:r>
        <w:rPr>
          <w:rFonts w:ascii="Arial" w:hAnsi="Arial"/>
          <w:color w:val="0F172A"/>
        </w:rPr>
        <w:t>Section 1: Macro Environment Analysis</w:t>
      </w:r>
    </w:p>
    <w:p>
      <w:r>
        <w:rPr>
          <w:rFonts w:ascii="Arial" w:hAnsi="Arial"/>
          <w:color w:val="334155"/>
          <w:sz w:val="21"/>
        </w:rPr>
        <w:t>The current technological frontier is experiencing an unprecedented inflection point driven by agentic multi-model orchestration.</w:t>
      </w:r>
    </w:p>
    <w:p>
      <w:r>
        <w:rPr>
          <w:rFonts w:ascii="Arial" w:hAnsi="Arial"/>
          <w:color w:val="334155"/>
          <w:sz w:val="21"/>
        </w:rPr>
        <w:t>Autonomous systems must reconcile low-latency responsiveness with verifiable safety boundaries.</w:t>
      </w:r>
    </w:p>
    <w:p>
      <w:pPr>
        <w:pStyle w:val="Heading2"/>
      </w:pPr>
      <w:r>
        <w:rPr>
          <w:rFonts w:ascii="Arial" w:hAnsi="Arial"/>
          <w:color w:val="0F172A"/>
        </w:rPr>
        <w:t>Section 2: Systems Architecture</w:t>
      </w:r>
    </w:p>
    <w:p>
      <w:r>
        <w:rPr>
          <w:rFonts w:ascii="Arial" w:hAnsi="Arial"/>
          <w:color w:val="334155"/>
          <w:sz w:val="21"/>
        </w:rPr>
        <w:t>Modern infrastructure mandates unified persistent memory graphs coupled with isolated sandboxed execution tiers.</w:t>
      </w:r>
    </w:p>
    <w:p>
      <w:r>
        <w:rPr>
          <w:rFonts w:ascii="Arial" w:hAnsi="Arial"/>
          <w:color w:val="334155"/>
          <w:sz w:val="21"/>
        </w:rPr>
        <w:t>This approach eliminates single points of failure while maintaining high-throughput coordination.</w:t>
      </w:r>
    </w:p>
    <w:p>
      <w:pPr>
        <w:pStyle w:val="Heading2"/>
      </w:pPr>
      <w:r>
        <w:rPr>
          <w:rFonts w:ascii="Arial" w:hAnsi="Arial"/>
          <w:color w:val="0F172A"/>
        </w:rPr>
        <w:t>Section 3: Projections &amp; Milestones</w:t>
      </w:r>
    </w:p>
    <w:p>
      <w:pPr>
        <w:pStyle w:val="ListBullet"/>
      </w:pPr>
      <w:r>
        <w:rPr>
          <w:color w:val="334155"/>
          <w:sz w:val="21"/>
        </w:rPr>
        <w:t>Phase 1: Core Engine Stabilization</w:t>
      </w:r>
    </w:p>
    <w:p>
      <w:pPr>
        <w:pStyle w:val="ListBullet"/>
      </w:pPr>
      <w:r>
        <w:rPr>
          <w:color w:val="334155"/>
          <w:sz w:val="21"/>
        </w:rPr>
        <w:t>Phase 2: Autonomous Fleet Orchestration</w:t>
      </w:r>
    </w:p>
    <w:p>
      <w:pPr>
        <w:pStyle w:val="ListBullet"/>
      </w:pPr>
      <w:r>
        <w:rPr>
          <w:color w:val="334155"/>
          <w:sz w:val="21"/>
        </w:rPr>
        <w:t>Phase 3: Global Distributed Verification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