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we built the final codebook</w:t>
      </w:r>
    </w:p>
    <w:p>
      <w:pPr>
        <w:spacing w:after="160"/>
      </w:pPr>
      <w:r>
        <w:rPr>
          <w:i/>
        </w:rPr>
        <w:t>A plain-English one-pager. The full version is Codebook/Output/Codebook_final.xlsx.</w:t>
      </w:r>
    </w:p>
    <w:p>
      <w:pPr>
        <w:pStyle w:val="Heading1"/>
        <w:spacing w:before="120" w:after="60"/>
      </w:pPr>
      <w:r>
        <w:t>1. What we did, step by step</w:t>
      </w:r>
    </w:p>
    <w:p>
      <w:r>
        <w:rPr>
          <w:b w:val="0"/>
        </w:rPr>
        <w:t>We started from three earlier codebooks that described what community members told us in interviews and workshops: the original transcript codebook (10 themes), the MaSS codebook (16 thesis codes), and the Capstone workshop map (18 idea groups). They covered things like how people get to the pantry, taking care of family, what works at the pantry, and where the system fails people.</w:t>
      </w:r>
    </w:p>
    <w:p>
      <w:pPr>
        <w:pStyle w:val="Heading2"/>
        <w:spacing w:before="80" w:after="40"/>
      </w:pPr>
      <w:r>
        <w:t>Then we did four things:</w:t>
      </w:r>
    </w:p>
    <w:p>
      <w:pPr>
        <w:pStyle w:val="ListBullet"/>
        <w:spacing w:after="40"/>
      </w:pPr>
      <w:r>
        <w:rPr>
          <w:b/>
        </w:rPr>
        <w:t xml:space="preserve">Organize. </w:t>
      </w:r>
      <w:r>
        <w:t>we re-organized all of those codes into one clearer list, grouped into 9 “findings areas” that match how the paper is written, plus a small “method” block.</w:t>
      </w:r>
    </w:p>
    <w:p>
      <w:pPr>
        <w:pStyle w:val="ListBullet"/>
        <w:spacing w:after="40"/>
      </w:pPr>
      <w:r>
        <w:rPr>
          <w:b/>
        </w:rPr>
        <w:t xml:space="preserve">Compare. </w:t>
      </w:r>
      <w:r>
        <w:t>we brought in the four literature reviews (Engineering &amp; Safety, Equity, Food Justice, Participatory Design) and asked, code by code: does any paper name or explain this?</w:t>
      </w:r>
    </w:p>
    <w:p>
      <w:pPr>
        <w:pStyle w:val="ListBullet"/>
        <w:spacing w:after="40"/>
      </w:pPr>
      <w:r>
        <w:rPr>
          <w:b/>
        </w:rPr>
        <w:t xml:space="preserve">Add. </w:t>
      </w:r>
      <w:r>
        <w:t>the literature gave clear names to some existing codes, added 17 brand-new codes the transcripts alone could not show (e.g. “trust treated as a number”), and added two whole new areas (H and I).</w:t>
      </w:r>
    </w:p>
    <w:p>
      <w:pPr>
        <w:pStyle w:val="ListBullet"/>
        <w:spacing w:after="40"/>
      </w:pPr>
      <w:r>
        <w:rPr>
          <w:b/>
        </w:rPr>
        <w:t xml:space="preserve">Prove. </w:t>
      </w:r>
      <w:r>
        <w:t>for each of the 7 big patterns found in the review, we listed the exact papers (author, year, DOI) that back it up. Every citation resolves to a real paper.</w:t>
      </w:r>
    </w:p>
    <w:p>
      <w:r>
        <w:rPr>
          <w:b w:val="0"/>
        </w:rPr>
        <w:t>One script turns all of this into the final Excel and Word files, and it checks each quote is verbatim from a real transcript and every citation points to a real paper.</w:t>
      </w:r>
    </w:p>
    <w:p>
      <w:pPr>
        <w:pStyle w:val="Heading1"/>
        <w:spacing w:before="120" w:after="60"/>
      </w:pPr>
      <w:r>
        <w:t>2. Original themes vs. what the literature added</w:t>
      </w:r>
    </w:p>
    <w:p>
      <w:pPr>
        <w:pStyle w:val="Heading2"/>
        <w:spacing w:before="80" w:after="40"/>
      </w:pPr>
      <w:r>
        <w:t>The original transcript themes (the starting point)</w:t>
      </w:r>
    </w:p>
    <w:p>
      <w:r>
        <w:rPr>
          <w:b w:val="0"/>
        </w:rPr>
        <w:t>The 10 original themes described daily life: how people reach the pantry (foot, car, rides, buses); caring for family and reciprocity; word of mouth as community knowledge; needs, life challenges, and aspirations; the dignity of the pantry experience; and where services break down for people (fixed schedules, digital-only signups, gates, paperwork, costs). These now live inside areas A–F, organized into 72 codes, plus a method block (M).</w:t>
      </w:r>
    </w:p>
    <w:p>
      <w:pPr>
        <w:pStyle w:val="Heading2"/>
        <w:spacing w:before="80" w:after="40"/>
      </w:pPr>
      <w:r>
        <w:t>What the literature added (17 new codes across 3 groups)</w:t>
      </w:r>
    </w:p>
    <w:p>
      <w:r>
        <w:rPr>
          <w:b w:val="0"/>
        </w:rPr>
        <w:t>All new codes are marked L (lit-derived) and point to their evidence in the evidence map.</w:t>
      </w:r>
    </w:p>
    <w:p>
      <w:pPr>
        <w:pStyle w:val="ListBullet"/>
        <w:spacing w:after="40"/>
      </w:pPr>
      <w:r>
        <w:rPr>
          <w:b/>
        </w:rPr>
        <w:t xml:space="preserve">New areas H and I. </w:t>
      </w:r>
      <w:r>
        <w:t>two whole new areas, one from Engineering &amp; Safety (H: the “personality” the AV arrives with throughput, safety-as-engineering, trust as a metric, experts first, surveillance, friction managed) and one from Food Justice (I: the charity model and digital food system: charity framing hunger as personal failure, conditions attached to help, access as an efficiency problem, food-apartheid geography, where surplus efficiency goes).</w:t>
      </w:r>
    </w:p>
    <w:p>
      <w:pPr>
        <w:pStyle w:val="ListBullet"/>
        <w:spacing w:after="40"/>
      </w:pPr>
      <w:r>
        <w:rPr>
          <w:b/>
        </w:rPr>
        <w:t xml:space="preserve">New codes in existing areas. </w:t>
      </w:r>
      <w:r>
        <w:t>community-built alternatives beat agency defaults (C7); consultation without real power (E7); performative vs. authentic equity (E8); the learned feeling that speaking up won’t change anything (E9).</w:t>
      </w:r>
    </w:p>
    <w:p>
      <w:pPr>
        <w:pStyle w:val="ListBullet"/>
        <w:spacing w:after="40"/>
      </w:pPr>
      <w:r>
        <w:rPr>
          <w:b/>
        </w:rPr>
        <w:t xml:space="preserve">New codes in the vision area. </w:t>
      </w:r>
      <w:r>
        <w:t>dignity as a thing you can design into (or out of) a service (G4); communities as co-governors of mobility (G5).</w:t>
      </w:r>
    </w:p>
    <w:p>
      <w:r>
        <w:rPr>
          <w:b w:val="0"/>
        </w:rPr>
        <w:t>Bottom line: the transcripts told us what matters to this community; the literature told us why it happens, named the pattern, and backed each name with real papers.</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