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52" w:lineRule="auto"/>
        <w:jc w:val="left"/>
      </w:pPr>
      <w:r>
        <w:rPr>
          <w:rFonts w:ascii="Aptos" w:hAnsi="Aptos"/>
          <w:b/>
          <w:color w:val="000000"/>
          <w:sz w:val="44"/>
        </w:rPr>
        <w:t>New Codes Decisions</w:t>
      </w:r>
    </w:p>
    <w:p>
      <w:pPr>
        <w:spacing w:before="0" w:after="200" w:line="252" w:lineRule="auto"/>
        <w:jc w:val="left"/>
      </w:pPr>
      <w:r>
        <w:rPr>
          <w:rFonts w:ascii="Aptos" w:hAnsi="Aptos"/>
          <w:b/>
          <w:color w:val="548235"/>
          <w:sz w:val="20"/>
        </w:rPr>
        <w:t>ADD AS NEW</w:t>
      </w:r>
      <w:r>
        <w:rPr>
          <w:rFonts w:ascii="Aptos" w:hAnsi="Aptos"/>
          <w:b/>
          <w:color w:val="BF9000"/>
          <w:sz w:val="20"/>
        </w:rPr>
        <w:t xml:space="preserve">   MERGE</w:t>
      </w:r>
      <w:r>
        <w:rPr>
          <w:rFonts w:ascii="Aptos" w:hAnsi="Aptos"/>
          <w:b/>
          <w:color w:val="C00000"/>
          <w:sz w:val="20"/>
        </w:rPr>
        <w:t xml:space="preserve">   DROP</w:t>
      </w:r>
    </w:p>
    <w:p>
      <w:pPr>
        <w:pStyle w:val="Heading1"/>
        <w:keepNext/>
        <w:spacing w:before="160" w:after="100" w:line="252" w:lineRule="auto"/>
      </w:pPr>
      <w:r>
        <w:rPr>
          <w:rFonts w:ascii="Aptos" w:hAnsi="Aptos"/>
          <w:b/>
          <w:color w:val="000000"/>
          <w:sz w:val="28"/>
        </w:rPr>
        <w:t>Add as New Code</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548235"/>
            <w:tcMar>
              <w:top w:w="120" w:type="dxa"/>
              <w:start w:w="140" w:type="dxa"/>
              <w:bottom w:w="120" w:type="dxa"/>
              <w:end w:w="140" w:type="dxa"/>
            </w:tcMar>
            <w:vAlign w:val="center"/>
          </w:tcPr>
          <w:p>
            <w:pPr>
              <w:keepNext/>
              <w:spacing w:before="0" w:after="0" w:line="252" w:lineRule="auto"/>
            </w:pPr>
            <w:r>
              <w:rPr>
                <w:rFonts w:ascii="Aptos" w:hAnsi="Aptos"/>
                <w:b/>
                <w:color w:val="FFFFFF"/>
                <w:sz w:val="21"/>
              </w:rPr>
              <w:t>CARE_INFRA   ADD AS NEW CODE</w:t>
            </w:r>
          </w:p>
        </w:tc>
      </w:tr>
      <w:tr>
        <w:trPr>
          <w:cantSplit/>
        </w:trPr>
        <w:tc>
          <w:tcPr>
            <w:tcW w:type="dxa" w:w="1944"/>
            <w:shd w:fill="E2F0D9"/>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E2F0D9"/>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ADD AS NEW CODE. Add CARE_INFRA as a new top-level code.</w:t>
            </w:r>
          </w:p>
        </w:tc>
      </w:tr>
      <w:tr>
        <w:trPr>
          <w:cantSplit/>
        </w:trPr>
        <w:tc>
          <w:tcPr>
            <w:tcW w:type="dxa" w:w="1944"/>
            <w:shd w:fill="E2F0D9"/>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E2F0D9"/>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An existing, unpaid, informal person, route, or network that repeatedly moves food, goods, care, or information for others and functions as real mobility or distribution infrastructure.</w:t>
            </w:r>
          </w:p>
        </w:tc>
      </w:tr>
      <w:tr>
        <w:trPr>
          <w:cantSplit/>
        </w:trPr>
        <w:tc>
          <w:tcPr>
            <w:tcW w:type="dxa" w:w="1944"/>
            <w:shd w:fill="E2F0D9"/>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E2F0D9"/>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A passage describes redistribution circuits, personal delivery routes for homebound neighbors, informal caregiver-as-driver arrangements, or word-of-mouth information networks that serve others.</w:t>
            </w:r>
          </w:p>
        </w:tc>
      </w:tr>
      <w:tr>
        <w:trPr>
          <w:cantSplit/>
        </w:trPr>
        <w:tc>
          <w:tcPr>
            <w:tcW w:type="dxa" w:w="1944"/>
            <w:shd w:fill="E2F0D9"/>
            <w:tcMar>
              <w:top w:w="100" w:type="dxa"/>
              <w:start w:w="120" w:type="dxa"/>
              <w:bottom w:w="100" w:type="dxa"/>
              <w:end w:w="120" w:type="dxa"/>
            </w:tcMar>
            <w:vAlign w:val="center"/>
          </w:tcPr>
          <w:p>
            <w:pPr>
              <w:spacing w:before="0" w:after="0" w:line="252" w:lineRule="auto"/>
            </w:pPr>
            <w:r>
              <w:rPr>
                <w:rFonts w:ascii="Aptos" w:hAnsi="Aptos"/>
                <w:b/>
                <w:color w:val="000000"/>
                <w:sz w:val="19"/>
              </w:rPr>
              <w:t>Exclude when</w:t>
            </w:r>
          </w:p>
        </w:tc>
        <w:tc>
          <w:tcPr>
            <w:tcW w:type="dxa" w:w="8280"/>
            <w:shd w:fill="E2F0D9"/>
            <w:tcMar>
              <w:top w:w="100" w:type="dxa"/>
              <w:start w:w="120" w:type="dxa"/>
              <w:bottom w:w="100" w:type="dxa"/>
              <w:end w:w="120" w:type="dxa"/>
            </w:tcMar>
            <w:vAlign w:val="center"/>
          </w:tcPr>
          <w:p>
            <w:pPr>
              <w:spacing w:before="0" w:after="0" w:line="252" w:lineRule="auto"/>
            </w:pPr>
            <w:r>
              <w:rPr>
                <w:rFonts w:ascii="Aptos" w:hAnsi="Aptos"/>
                <w:b w:val="0"/>
                <w:color w:val="000000"/>
                <w:sz w:val="19"/>
              </w:rPr>
              <w:t>The network is wished for or hypothetical; the activity is a one-off errand; the passage only describes personal mobility; or it names an isolated skill or resource that belongs under CAPABILITIES.</w:t>
            </w:r>
          </w:p>
        </w:tc>
      </w:tr>
    </w:tbl>
    <w:p>
      <w:pPr>
        <w:spacing w:before="0" w:after="60" w:line="252" w:lineRule="auto"/>
      </w:pPr>
    </w:p>
    <w:p>
      <w:pPr>
        <w:pStyle w:val="Heading1"/>
        <w:keepNext/>
        <w:spacing w:before="160" w:after="100" w:line="252" w:lineRule="auto"/>
      </w:pPr>
      <w:r>
        <w:rPr>
          <w:rFonts w:ascii="Aptos" w:hAnsi="Aptos"/>
          <w:b/>
          <w:color w:val="000000"/>
          <w:sz w:val="28"/>
        </w:rPr>
        <w:t>Merge with Existing Codes</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COMMUNITY_BUILT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under CAPABILITIES and INPUT_PART_PRESENT; combine with COGOVERN where the emphasis is binding community authorship.</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When residents or community organizations are resourced to build their own plan, scenario, or design rather than only react to one, the result can match or outperform the agency or industry default on the sponsor's own terms.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Any lit claim that a community-authored alternative matched or beat a default, or evidence the community already runs what the formal system forbids.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Consultation that collects input without influence (E7).</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6: Karner et al. 2020; Gripper et al. 2022; Severs et al. 2022; Prost et al. 2018; Heitlinger et al. 2021; Baumann et al. 2018; Sörries et al. 2024; Gomes et al. 2026; Pineo et al. 2026</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CONSULT_NO_POWER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under INPUT_PART_ABSENT as consultation without decision-making authority.</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Formal public involvement processes solicit community input through meetings, committees, or task forces, but rarely give that input binding influence over the final decision.</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evidence that an inclusive-sounding process reproduced exclusion or collected input without power transfer.</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Community-built alternatives with real authority (C7).</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1: Pinski et al. 2024; Bailey et al. 2012; Karner et al. 2020; McCullough et al. 2024; van Holstein et al. 2020; Klaever et al. 2025; Hicks, Kingsley, and Isett 2025; Barendregt, Bendor, and van Eekelen 2024; Cresswell Riol and Connelly 2025; Joassart-Marcelli, Bosco, and McFadden 2026</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PERF_VS_AUTH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with CONSULT_NO_POWER under INPUT_PART_ABSENT.</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Equity practices that claim inclusion without redistributing decision-making power (performative) versus those that do (authentic).</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claims distinguishing performative inclusion from real power transfer.</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Simple consultation logistics.</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1: McCullough et al. 2024</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NEGATIVE_SELFEFF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under INPUT_PART_ABSENT as withdrawal after exclusion or being ignored.</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People stop participating entirely after being ignored or humiliated: prior negative experiences teach them their input will not be needed.</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A client's expressed doubt that speaking up matters, plus the lit mechanism.</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General service distrust without a participation referent.</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2: Klaever et al. 2025</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DIGNITY_STRUCT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under VALUES as a structural-dignity subcode.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Whether a service preserves or strips dignity is a concrete, structural design property, not an unavoidable side effect of receiving help: minimizing burden, respecting autonomy, avoiding stigma.</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components of high-dignity service (Brenton components; Chapman journey-wide dignity), plus transcript evidence of a dignity-preserving service.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Dignity as a value only (B4).</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7: Cresswell Riol and Connelly 2023, 2025; Brenton, Tindall, Glanz, and Virudachalam 2025; Chapman et al. 2024</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COGOVERN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under INPUT_PART_PRESENT as binding participation or co-governance.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The community participates not as consulted public but as co-governor of the service, with binding influence over design decisions.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evidence that resourced community authorship changes outcomes, and workshop conditions requiring co-production.</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Consultation with no power transfer (E7).</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6: Karner et al. 2020; Severs et al. 2022; Tan et al. 2025</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THROUGHPUT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under EFF_VALUE; throughput is already part of the original definition.</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The Engineering/Safety literature organizes evaluation around network throughput, capacity, and automation share, with people appearing only as trip counts.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Model-level claims about capacity, penetration rate, or level of service.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Trade-offs named with riders as humans.</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3: Lu, Tettamanti, Horcher, and Varga 2020; Park, Jang, and Ko 2024; Pimenta, Kamruzzaman, and Currie 2023</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TRUST_METRIC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under EFF_VALUE and use as a contrast to JUST_TRUST.</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Trust is measured and tuned as an individual psychological score rather than built and sustained through an ongoing relationship.</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Trust-in-automation studies that model, score, or calibrate trust.</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Relational trust, being known (B2).</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2: Kraus, Scholz, Stiegemeier, and Baumann 2020; Lee and Kolodge 2020; Alkurdi and Alsaid 2025; Zoellick et al. 2019; Tan et al. 2025 (contrast)</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EXPERTS_CENTERED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under INPUT_PART_ABSENT as expert-centered decision-making.</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The default answer to who is centered is the credentialed professional, official, or researcher synthesizing data, not the resident whose mobility the system shapes.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Evidence of who a study or policy centers: who_is_centered_counts.csv, engineering policy advice authored by credentialed insiders.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Studies that do center residents or clients.</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4: Hicks, Kingsley, and Isett 2025; Lu et al. 2020; Robles and Mallinson 2024; Zhang et al. 2024; Jeghers et al. 2024; Di Ruocco 2025; Murray et al. 2023; Shaker et al. 2023.</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FRICTION_MANAGED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under BREAKDOWN and MISALIGNMENT; use it for institutional treatment of resistance as a problem to manage.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The AV field reads the same friction one thread treats as data, pedestrians testing a shuttle, stepping in front of it, pressing the emergency button, as distrust to manage, up to flagging non-compliant users to police.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examples of resistance read as distrust or a problem to manage.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Friction as signal (see Lit evidence map contrast).</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5: Nordhoff et al. 2020 versus Forlano and Mathew 2014</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CONDITIONALITY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Merge under JUST_ACCESS or CONSTRAINTS when access depends on proving eligibility or deservingness.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Receiving help is conditioned on demonstrating deservingness: surveillance of recipients and an expectation of gratitude as repayment.</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mechanisms connecting charity to conditionality and surveillance.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The ID-card rule at the pantry (D3).</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7, 1: Cresswell Riol and Connelly 2025</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ACCESS_AS_EFF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Use EFF_VALUE with JUST_ACCESS and, when a value gap is explicit, MISALIGNMENT.</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Digital food platforms judge access against an efficiency standard instead of a procedural-inclusion or recognition one.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claims that platforms or systems treat access as optimization.</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Digital-only pantry rules in the transcripts (D5).</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3: Joassart-Marcelli, Bosco, and McFadden 2026; Deener 2017</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EFFICIENCY_SURPLUS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Use INFRA_FRAME, EFF_VALUE, and MISALIGNMENT rather than a separate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An efficiency-led reorganization of the food system severed the residents it no longer served, and is the structural context a pantry sits inside.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claims about reorganization with negative access consequences.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Clause 7 positive design discussion (G).</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3: Deener 2017</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SAFETY_ENG   MERGE WITH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MERGE WITH EXISTING CODE. Keep SAFETY_ENG as a subcode of EFF_VALUE, not as a standalone addition.</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Safety or acceptance is operationalized as a measurable, tunable system property, such as take-over time, perceived safety, or acceptance scores.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A study explicitly converts safety or acceptance into a system measure, model input, or optimization target.</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The evidence concerns relational trust, lived access, or an unmeasured account of feeling safe.</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3: Zhang et al. 2019; Nordhoff et al. 2020; Zoellick et al. 2019</w:t>
            </w:r>
          </w:p>
        </w:tc>
      </w:tr>
    </w:tbl>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FFD966"/>
            <w:tcMar>
              <w:top w:w="120" w:type="dxa"/>
              <w:start w:w="140" w:type="dxa"/>
              <w:bottom w:w="120" w:type="dxa"/>
              <w:end w:w="140" w:type="dxa"/>
            </w:tcMar>
            <w:vAlign w:val="center"/>
          </w:tcPr>
          <w:p>
            <w:pPr>
              <w:keepNext/>
              <w:spacing w:before="0" w:after="0" w:line="252" w:lineRule="auto"/>
            </w:pPr>
            <w:r>
              <w:rPr>
                <w:rFonts w:ascii="Aptos" w:hAnsi="Aptos"/>
                <w:b/>
                <w:color w:val="000000"/>
                <w:sz w:val="21"/>
              </w:rPr>
              <w:t>CAPABILITIES   REVISE EXISTING CODE</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REVISE EXISTING CODE. Narrow the existing definition so CAPABILITIES covers identifiable assets and skills, not recurring care networks.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Existing skills, knowledge, and material resources that a person or community organization can draw on to navigate mobility and food access.</w:t>
            </w:r>
          </w:p>
        </w:tc>
      </w:tr>
      <w:tr>
        <w:trPr>
          <w:cantSplit/>
        </w:trPr>
        <w:tc>
          <w:tcPr>
            <w:tcW w:type="dxa" w:w="1944"/>
            <w:shd w:fill="FFF2CC"/>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FF2CC"/>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A passage names an existing asset such as multilingual ability, local knowledge, credentials, access to a vehicle or device, or another identifiable skill or resource.</w:t>
            </w:r>
          </w:p>
        </w:tc>
      </w:tr>
      <w:tr>
        <w:trPr>
          <w:cantSplit/>
        </w:trPr>
        <w:tc>
          <w:tcPr>
            <w:tcW w:type="dxa" w:w="1944"/>
            <w:shd w:fill="FFF2CC"/>
            <w:tcMar>
              <w:top w:w="100" w:type="dxa"/>
              <w:start w:w="120" w:type="dxa"/>
              <w:bottom w:w="100" w:type="dxa"/>
              <w:end w:w="120" w:type="dxa"/>
            </w:tcMar>
            <w:vAlign w:val="center"/>
          </w:tcPr>
          <w:p>
            <w:pPr>
              <w:spacing w:before="0" w:after="0" w:line="252" w:lineRule="auto"/>
            </w:pPr>
            <w:r>
              <w:rPr>
                <w:rFonts w:ascii="Aptos" w:hAnsi="Aptos"/>
                <w:b/>
                <w:color w:val="000000"/>
                <w:sz w:val="19"/>
              </w:rPr>
              <w:t>Exclude when</w:t>
            </w:r>
          </w:p>
        </w:tc>
        <w:tc>
          <w:tcPr>
            <w:tcW w:type="dxa" w:w="8280"/>
            <w:shd w:fill="FFF2CC"/>
            <w:tcMar>
              <w:top w:w="100" w:type="dxa"/>
              <w:start w:w="120" w:type="dxa"/>
              <w:bottom w:w="100" w:type="dxa"/>
              <w:end w:w="120" w:type="dxa"/>
            </w:tcMar>
            <w:vAlign w:val="center"/>
          </w:tcPr>
          <w:p>
            <w:pPr>
              <w:spacing w:before="0" w:after="0" w:line="252" w:lineRule="auto"/>
            </w:pPr>
            <w:r>
              <w:rPr>
                <w:rFonts w:ascii="Aptos" w:hAnsi="Aptos"/>
                <w:b w:val="0"/>
                <w:color w:val="000000"/>
                <w:sz w:val="19"/>
              </w:rPr>
              <w:t>A recurring unpaid route or network serves others (CARE_INFRA); the resource is only wished for; or persistence is described without a specific skill, knowledge base, or material resource.</w:t>
            </w:r>
          </w:p>
        </w:tc>
      </w:tr>
    </w:tbl>
    <w:p>
      <w:pPr>
        <w:spacing w:before="0" w:after="60" w:line="252" w:lineRule="auto"/>
      </w:pPr>
    </w:p>
    <w:p>
      <w:pPr>
        <w:pStyle w:val="Heading1"/>
        <w:keepNext/>
        <w:spacing w:before="160" w:after="100" w:line="252" w:lineRule="auto"/>
      </w:pPr>
      <w:r>
        <w:rPr>
          <w:rFonts w:ascii="Aptos" w:hAnsi="Aptos"/>
          <w:b/>
          <w:color w:val="000000"/>
          <w:sz w:val="28"/>
        </w:rPr>
        <w:t>Drop</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C00000"/>
            <w:tcMar>
              <w:top w:w="120" w:type="dxa"/>
              <w:start w:w="140" w:type="dxa"/>
              <w:bottom w:w="120" w:type="dxa"/>
              <w:end w:w="140" w:type="dxa"/>
            </w:tcMar>
            <w:vAlign w:val="center"/>
          </w:tcPr>
          <w:p>
            <w:pPr>
              <w:keepNext/>
              <w:spacing w:before="0" w:after="0" w:line="252" w:lineRule="auto"/>
            </w:pPr>
            <w:r>
              <w:rPr>
                <w:rFonts w:ascii="Aptos" w:hAnsi="Aptos"/>
                <w:b/>
                <w:color w:val="FFFFFF"/>
                <w:sz w:val="21"/>
              </w:rPr>
              <w:t>SURVEILLANCE   DROP</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DROP. Drop because it is peripheral to the paper's stated argument.</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Verification and monitoring arrive with the system: face verification, body-posture intent inference at crossings, flagging non-compliant road users to police.</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and design-team evidence of monitoring or verification functions.</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Verification rules already in the pantry (D3).</w:t>
            </w:r>
          </w:p>
        </w:tc>
      </w:tr>
      <w:tr>
        <w:trPr>
          <w:cantSplit/>
        </w:trPr>
        <w:tc>
          <w:tcPr>
            <w:tcW w:type="dxa" w:w="1944"/>
            <w:shd w:fill="FCE4D6"/>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CE4D6"/>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5: Nordhoff et al. 2020; Capstone C04 face verification</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C00000"/>
            <w:tcMar>
              <w:top w:w="120" w:type="dxa"/>
              <w:start w:w="140" w:type="dxa"/>
              <w:bottom w:w="120" w:type="dxa"/>
              <w:end w:w="140" w:type="dxa"/>
            </w:tcMar>
            <w:vAlign w:val="center"/>
          </w:tcPr>
          <w:p>
            <w:pPr>
              <w:keepNext/>
              <w:spacing w:before="0" w:after="0" w:line="252" w:lineRule="auto"/>
            </w:pPr>
            <w:r>
              <w:rPr>
                <w:rFonts w:ascii="Aptos" w:hAnsi="Aptos"/>
                <w:b/>
                <w:color w:val="FFFFFF"/>
                <w:sz w:val="21"/>
              </w:rPr>
              <w:t>CHARITY_REFRAIM   DROP</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DROP. Drop because it shifts the paper toward a broader critique of food charity not made in the central argument.</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The growth of food charity reframes hunger as a personal failing and strips recipients of autonomy, choice, and political voice.</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claims tracing how charity models re-frame the recipient.</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Individual-client evidence of stigma (B4).</w:t>
            </w:r>
          </w:p>
        </w:tc>
      </w:tr>
      <w:tr>
        <w:trPr>
          <w:cantSplit/>
        </w:trPr>
        <w:tc>
          <w:tcPr>
            <w:tcW w:type="dxa" w:w="1944"/>
            <w:shd w:fill="FCE4D6"/>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CE4D6"/>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7: Cresswell Riol and Connelly 2023, 2025</w:t>
            </w:r>
          </w:p>
        </w:tc>
      </w:tr>
    </w:tbl>
    <w:p>
      <w:pPr>
        <w:spacing w:before="0" w:after="60" w:line="252" w:lineRule="auto"/>
      </w:pP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0224"/>
            <w:gridSpan w:val="2"/>
            <w:shd w:fill="C00000"/>
            <w:tcMar>
              <w:top w:w="120" w:type="dxa"/>
              <w:start w:w="140" w:type="dxa"/>
              <w:bottom w:w="120" w:type="dxa"/>
              <w:end w:w="140" w:type="dxa"/>
            </w:tcMar>
            <w:vAlign w:val="center"/>
          </w:tcPr>
          <w:p>
            <w:pPr>
              <w:keepNext/>
              <w:spacing w:before="0" w:after="0" w:line="252" w:lineRule="auto"/>
            </w:pPr>
            <w:r>
              <w:rPr>
                <w:rFonts w:ascii="Aptos" w:hAnsi="Aptos"/>
                <w:b/>
                <w:color w:val="FFFFFF"/>
                <w:sz w:val="21"/>
              </w:rPr>
              <w:t>APARTHEID_GEO   DROP</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Decision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DROP. Drop as a code; retain relevant literature only as background context if needed.</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Definition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Food deserts trace to a path-dependent reorganization of retail distribution that prioritized system efficiency, together with neighborhoods that built their own response gardens.</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Include when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Lit evidence of retail abandonment, racialized access gaps, and community-built food systems.</w:t>
            </w:r>
          </w:p>
        </w:tc>
      </w:tr>
      <w:tr>
        <w:trPr>
          <w:cantSplit/>
        </w:trPr>
        <w:tc>
          <w:tcPr>
            <w:tcW w:type="dxa" w:w="1944"/>
            <w:shd w:fill="FCE4D6"/>
            <w:tcMar>
              <w:top w:w="100" w:type="dxa"/>
              <w:start w:w="120" w:type="dxa"/>
              <w:bottom w:w="100" w:type="dxa"/>
              <w:end w:w="120" w:type="dxa"/>
            </w:tcMar>
            <w:vAlign w:val="center"/>
          </w:tcPr>
          <w:p>
            <w:pPr>
              <w:keepNext/>
              <w:spacing w:before="0" w:after="0" w:line="252" w:lineRule="auto"/>
            </w:pPr>
            <w:r>
              <w:rPr>
                <w:rFonts w:ascii="Aptos" w:hAnsi="Aptos"/>
                <w:b/>
                <w:color w:val="000000"/>
                <w:sz w:val="19"/>
              </w:rPr>
              <w:t>Exclude when</w:t>
            </w:r>
          </w:p>
        </w:tc>
        <w:tc>
          <w:tcPr>
            <w:tcW w:type="dxa" w:w="8280"/>
            <w:shd w:fill="FCE4D6"/>
            <w:tcMar>
              <w:top w:w="100" w:type="dxa"/>
              <w:start w:w="120" w:type="dxa"/>
              <w:bottom w:w="100" w:type="dxa"/>
              <w:end w:w="120" w:type="dxa"/>
            </w:tcMar>
            <w:vAlign w:val="center"/>
          </w:tcPr>
          <w:p>
            <w:pPr>
              <w:keepNext/>
              <w:spacing w:before="0" w:after="0" w:line="252" w:lineRule="auto"/>
            </w:pPr>
            <w:r>
              <w:rPr>
                <w:rFonts w:ascii="Aptos" w:hAnsi="Aptos"/>
                <w:b w:val="0"/>
                <w:color w:val="000000"/>
                <w:sz w:val="19"/>
              </w:rPr>
              <w:t>Predatory-pricing observations in the transcripts.</w:t>
            </w:r>
          </w:p>
        </w:tc>
      </w:tr>
      <w:tr>
        <w:trPr>
          <w:cantSplit/>
        </w:trPr>
        <w:tc>
          <w:tcPr>
            <w:tcW w:type="dxa" w:w="1944"/>
            <w:shd w:fill="FCE4D6"/>
            <w:tcMar>
              <w:top w:w="100" w:type="dxa"/>
              <w:start w:w="120" w:type="dxa"/>
              <w:bottom w:w="100" w:type="dxa"/>
              <w:end w:w="120" w:type="dxa"/>
            </w:tcMar>
            <w:vAlign w:val="center"/>
          </w:tcPr>
          <w:p>
            <w:pPr>
              <w:spacing w:before="0" w:after="0" w:line="252" w:lineRule="auto"/>
            </w:pPr>
            <w:r>
              <w:rPr>
                <w:rFonts w:ascii="Aptos" w:hAnsi="Aptos"/>
                <w:b/>
                <w:color w:val="000000"/>
                <w:sz w:val="19"/>
              </w:rPr>
              <w:t>Literature basis</w:t>
            </w:r>
          </w:p>
        </w:tc>
        <w:tc>
          <w:tcPr>
            <w:tcW w:type="dxa" w:w="8280"/>
            <w:shd w:fill="FCE4D6"/>
            <w:tcMar>
              <w:top w:w="100" w:type="dxa"/>
              <w:start w:w="120" w:type="dxa"/>
              <w:bottom w:w="100" w:type="dxa"/>
              <w:end w:w="120" w:type="dxa"/>
            </w:tcMar>
            <w:vAlign w:val="center"/>
          </w:tcPr>
          <w:p>
            <w:pPr>
              <w:spacing w:before="0" w:after="0" w:line="252" w:lineRule="auto"/>
            </w:pPr>
            <w:r>
              <w:rPr>
                <w:rFonts w:ascii="Aptos" w:hAnsi="Aptos"/>
                <w:b w:val="0"/>
                <w:color w:val="000000"/>
                <w:sz w:val="19"/>
              </w:rPr>
              <w:t>Mechanism 3, 6, 4: Deener 2017; Shaker et al. 2023; Gripper et al. 2022</w:t>
            </w:r>
          </w:p>
        </w:tc>
      </w:tr>
    </w:tbl>
    <w:p>
      <w:pPr>
        <w:spacing w:before="0" w:after="60" w:line="252" w:lineRule="auto"/>
      </w:pPr>
    </w:p>
    <w:p>
      <w:pPr>
        <w:pStyle w:val="Heading1"/>
        <w:keepNext/>
        <w:spacing w:before="160" w:after="100" w:line="252" w:lineRule="auto"/>
      </w:pPr>
      <w:r>
        <w:rPr>
          <w:rFonts w:ascii="Aptos" w:hAnsi="Aptos"/>
          <w:b/>
          <w:color w:val="000000"/>
          <w:sz w:val="28"/>
        </w:rPr>
        <w:t>References</w:t>
      </w:r>
    </w:p>
    <w:p>
      <w:pPr>
        <w:spacing w:before="0" w:after="20" w:line="228" w:lineRule="auto"/>
        <w:ind w:left="288" w:hanging="288"/>
      </w:pPr>
      <w:r>
        <w:rPr>
          <w:rFonts w:ascii="Aptos" w:hAnsi="Aptos"/>
          <w:b w:val="0"/>
          <w:color w:val="000000"/>
          <w:sz w:val="16"/>
        </w:rPr>
        <w:t>[R01] Karner et al. (2020). From transportation equity to transportation justice: Within, through, and beyond the state. Journal of Planning Literature. https://doi.org/10.1177/0885412220927691</w:t>
      </w:r>
    </w:p>
    <w:p>
      <w:pPr>
        <w:spacing w:before="0" w:after="20" w:line="228" w:lineRule="auto"/>
        <w:ind w:left="288" w:hanging="288"/>
      </w:pPr>
      <w:r>
        <w:rPr>
          <w:rFonts w:ascii="Aptos" w:hAnsi="Aptos"/>
          <w:b w:val="0"/>
          <w:color w:val="000000"/>
          <w:sz w:val="16"/>
        </w:rPr>
        <w:t>[R02] Ashley B. Gripper, Rachel Nethery, Tori L. Cowger, Monica White, Ichiro Kawachi, Gary Adamkiewicz. (2022). Community solutions to food apartheid: A spatial analysis of community food-growing spaces and neighborhood demographics in Philadelphia. Social Science &amp; Medicine. https://doi.org/10.1016/j.socscimed.2022.115221</w:t>
      </w:r>
    </w:p>
    <w:p>
      <w:pPr>
        <w:spacing w:before="0" w:after="20" w:line="228" w:lineRule="auto"/>
        <w:ind w:left="288" w:hanging="288"/>
      </w:pPr>
      <w:r>
        <w:rPr>
          <w:rFonts w:ascii="Aptos" w:hAnsi="Aptos"/>
          <w:b w:val="0"/>
          <w:color w:val="000000"/>
          <w:sz w:val="16"/>
        </w:rPr>
        <w:t>[R03] Severs, R., Wu, J., Diels, C., Harrow, D., Singleton, J., &amp; Winsor, R. (2022). Imagining an inclusive future for shared autonomous vehicle interiors: A participatory design workshop study. Adjunct Proceedings of the 14th International Conference on Automotive User Interfaces and Interactive Vehicular Applications. https://dl.acm.org/doi/epdf/10.1145/3544999.3554787</w:t>
      </w:r>
    </w:p>
    <w:p>
      <w:pPr>
        <w:spacing w:before="0" w:after="20" w:line="228" w:lineRule="auto"/>
        <w:ind w:left="288" w:hanging="288"/>
      </w:pPr>
      <w:r>
        <w:rPr>
          <w:rFonts w:ascii="Aptos" w:hAnsi="Aptos"/>
          <w:b w:val="0"/>
          <w:color w:val="000000"/>
          <w:sz w:val="16"/>
        </w:rPr>
        <w:t>[R04] Sebastian Prost, Clara Crivellaro, Andy Haddon, Rob Comber. (2018). Food Democracy in the Making: Designing with Local Food Networks. Proceedings of the 2018 CHI Conference on Human Factors in Computing Systems (CHI '18). https://doi.org/10.1145/3173574.3173907</w:t>
      </w:r>
    </w:p>
    <w:p>
      <w:pPr>
        <w:spacing w:before="0" w:after="20" w:line="228" w:lineRule="auto"/>
        <w:ind w:left="288" w:hanging="288"/>
      </w:pPr>
      <w:r>
        <w:rPr>
          <w:rFonts w:ascii="Aptos" w:hAnsi="Aptos"/>
          <w:b w:val="0"/>
          <w:color w:val="000000"/>
          <w:sz w:val="16"/>
        </w:rPr>
        <w:t>[R05] Sara Heitlinger, Lara Houston, Alex Taylor, Ruth Catlow. (2021). Algorithmic Food Justice: Co-Designing More-than-Human Blockchain Futures for the Food Commons. Proceedings of the 2021 CHI Conference on Human Factors in Computing. https://doi.org/10.1145/3411764.3445655</w:t>
      </w:r>
    </w:p>
    <w:p>
      <w:pPr>
        <w:spacing w:before="0" w:after="20" w:line="228" w:lineRule="auto"/>
        <w:ind w:left="288" w:hanging="288"/>
      </w:pPr>
      <w:r>
        <w:rPr>
          <w:rFonts w:ascii="Aptos" w:hAnsi="Aptos"/>
          <w:b w:val="0"/>
          <w:color w:val="000000"/>
          <w:sz w:val="16"/>
        </w:rPr>
        <w:t>[R06] Baumann, K., Caldwell, B., Bar, F., &amp; Stokes, B. (2018). Community storytelling for speculative urban technologies. Extended Abstracts of the 2018 CHI Conference on Human Factors in Computing Systems. https://doi.org/10.1145/3170427.3186601</w:t>
      </w:r>
    </w:p>
    <w:p>
      <w:pPr>
        <w:spacing w:before="0" w:after="20" w:line="228" w:lineRule="auto"/>
        <w:ind w:left="288" w:hanging="288"/>
      </w:pPr>
      <w:r>
        <w:rPr>
          <w:rFonts w:ascii="Aptos" w:hAnsi="Aptos"/>
          <w:b w:val="0"/>
          <w:color w:val="000000"/>
          <w:sz w:val="16"/>
        </w:rPr>
        <w:t>[R07] Sörries, P., Leimstädtner, D., &amp; Müller-Birn, C. (2024). Advocating values through meaningful participation: Introducing a method to elicit and analyze values for enriching data donation practices in healthcare. Proceedings of the ACM on Human-Computer Interaction, 8(CSCW1), Article 16. https://doi.org/10.1145/3637293</w:t>
      </w:r>
    </w:p>
    <w:p>
      <w:pPr>
        <w:spacing w:before="0" w:after="20" w:line="228" w:lineRule="auto"/>
        <w:ind w:left="288" w:hanging="288"/>
      </w:pPr>
      <w:r>
        <w:rPr>
          <w:rFonts w:ascii="Aptos" w:hAnsi="Aptos"/>
          <w:b w:val="0"/>
          <w:color w:val="000000"/>
          <w:sz w:val="16"/>
        </w:rPr>
        <w:t>[R08] Gomes et al. (2026). Co-Creating Accessibility-Centred Mobility Strategies in Low-Density Suburban Contexts: Evidence from Coimbra, Portugal. Urban Science, 10(2), 102. https://doi.org/10.3390/urbansci10020102</w:t>
      </w:r>
    </w:p>
    <w:p>
      <w:pPr>
        <w:spacing w:before="0" w:after="20" w:line="228" w:lineRule="auto"/>
        <w:ind w:left="288" w:hanging="288"/>
      </w:pPr>
      <w:r>
        <w:rPr>
          <w:rFonts w:ascii="Aptos" w:hAnsi="Aptos"/>
          <w:b w:val="0"/>
          <w:color w:val="000000"/>
          <w:sz w:val="16"/>
        </w:rPr>
        <w:t>[R09] Pineo et al. (2026). Mindsets and actions: Shifts in equitable and sustainable development in U.S. cities. Urban Studies. https://doi.org/10.1177/00420980261438717</w:t>
      </w:r>
    </w:p>
    <w:p>
      <w:pPr>
        <w:spacing w:before="0" w:after="20" w:line="228" w:lineRule="auto"/>
        <w:ind w:left="288" w:hanging="288"/>
      </w:pPr>
      <w:r>
        <w:rPr>
          <w:rFonts w:ascii="Aptos" w:hAnsi="Aptos"/>
          <w:b w:val="0"/>
          <w:color w:val="000000"/>
          <w:sz w:val="16"/>
        </w:rPr>
        <w:t>[R10] Pinski et al. (2024). Bridging the gap: Do community needs assessments enhance public participation in transportation planning?. Transportation Research Interdisciplinary Perspectives, 25, 101114. https://doi.org/10.1016/j.trip.2024.101114</w:t>
      </w:r>
    </w:p>
    <w:p>
      <w:pPr>
        <w:spacing w:before="0" w:after="20" w:line="228" w:lineRule="auto"/>
        <w:ind w:left="288" w:hanging="288"/>
      </w:pPr>
      <w:r>
        <w:rPr>
          <w:rFonts w:ascii="Aptos" w:hAnsi="Aptos"/>
          <w:b w:val="0"/>
          <w:color w:val="000000"/>
          <w:sz w:val="16"/>
        </w:rPr>
        <w:t>[R11] Bailey et al. (2012). Towards Environmental Justice in Transportation Decision Making using Structured Public Involvement. Transportation Research Board (TRB) Annual Meeting. https://doi.org/10.3141/2320-13</w:t>
      </w:r>
    </w:p>
    <w:p>
      <w:pPr>
        <w:spacing w:before="0" w:after="20" w:line="228" w:lineRule="auto"/>
        <w:ind w:left="288" w:hanging="288"/>
      </w:pPr>
      <w:r>
        <w:rPr>
          <w:rFonts w:ascii="Aptos" w:hAnsi="Aptos"/>
          <w:b w:val="0"/>
          <w:color w:val="000000"/>
          <w:sz w:val="16"/>
        </w:rPr>
        <w:t>[R12] McCullough et al. (2024). Performative versus Authentic Equity Work: An Assessment of Current Practices in Transportation Planning. Transportation Research Record, 2678(5), 884-903. https://doi.org/10.1177/03611981231193409</w:t>
      </w:r>
    </w:p>
    <w:p>
      <w:pPr>
        <w:spacing w:before="0" w:after="20" w:line="228" w:lineRule="auto"/>
        <w:ind w:left="288" w:hanging="288"/>
      </w:pPr>
      <w:r>
        <w:rPr>
          <w:rFonts w:ascii="Aptos" w:hAnsi="Aptos"/>
          <w:b w:val="0"/>
          <w:color w:val="000000"/>
          <w:sz w:val="16"/>
        </w:rPr>
        <w:t>[R13] van Holstein et al. (2020). Mobility justice and accessible public transport networks for people with intellectual disability. Applied Mobilities. https://doi.org/10.1080/23800127.2020.1827557</w:t>
      </w:r>
    </w:p>
    <w:p>
      <w:pPr>
        <w:spacing w:before="0" w:after="20" w:line="228" w:lineRule="auto"/>
        <w:ind w:left="288" w:hanging="288"/>
      </w:pPr>
      <w:r>
        <w:rPr>
          <w:rFonts w:ascii="Aptos" w:hAnsi="Aptos"/>
          <w:b w:val="0"/>
          <w:color w:val="000000"/>
          <w:sz w:val="16"/>
        </w:rPr>
        <w:t>[R14] Klaever et al. (2025). Lived expertise of the structurally disadvantaged: towards a more just participatory transport planning process. Mobilities, 20(3), 555-572. https://doi.org/10.1080/17450101.2024.2426554</w:t>
      </w:r>
    </w:p>
    <w:p>
      <w:pPr>
        <w:spacing w:before="0" w:after="20" w:line="228" w:lineRule="auto"/>
        <w:ind w:left="288" w:hanging="288"/>
      </w:pPr>
      <w:r>
        <w:rPr>
          <w:rFonts w:ascii="Aptos" w:hAnsi="Aptos"/>
          <w:b w:val="0"/>
          <w:color w:val="000000"/>
          <w:sz w:val="16"/>
        </w:rPr>
        <w:t>[R15] Hicks, D., Kingsley, G., &amp; Isett, K.R. (2025). Steering the future: expert knowledge and stakeholder voices in autonomous vehicle policy reports. Policy and Society. https://doi.org/10.1093/polsoc/puae041</w:t>
      </w:r>
    </w:p>
    <w:p>
      <w:pPr>
        <w:spacing w:before="0" w:after="20" w:line="228" w:lineRule="auto"/>
        <w:ind w:left="288" w:hanging="288"/>
      </w:pPr>
      <w:r>
        <w:rPr>
          <w:rFonts w:ascii="Aptos" w:hAnsi="Aptos"/>
          <w:b w:val="0"/>
          <w:color w:val="000000"/>
          <w:sz w:val="16"/>
        </w:rPr>
        <w:t>[R16] Barendregt, L., Bendor, R., &amp; van Eekelen, B.F. (2024). Public participation in futuring: A systematic literature review. Journal: Futures, 158, Article 103346. https://doi.org/10.1016/j.futures.2024.103346</w:t>
      </w:r>
    </w:p>
    <w:p>
      <w:pPr>
        <w:spacing w:before="0" w:after="20" w:line="228" w:lineRule="auto"/>
        <w:ind w:left="288" w:hanging="288"/>
      </w:pPr>
      <w:r>
        <w:rPr>
          <w:rFonts w:ascii="Aptos" w:hAnsi="Aptos"/>
          <w:b w:val="0"/>
          <w:color w:val="000000"/>
          <w:sz w:val="16"/>
        </w:rPr>
        <w:t>[R17] Katharine S. E. Cresswell Riol, Sean Connelly. (2025). Human Dignity as a Lens and Framing of Food Charity. Geography Compass. https://doi.org/10.1111/gec3.70054</w:t>
      </w:r>
    </w:p>
    <w:p>
      <w:pPr>
        <w:spacing w:before="0" w:after="20" w:line="228" w:lineRule="auto"/>
        <w:ind w:left="288" w:hanging="288"/>
      </w:pPr>
      <w:r>
        <w:rPr>
          <w:rFonts w:ascii="Aptos" w:hAnsi="Aptos"/>
          <w:b w:val="0"/>
          <w:color w:val="000000"/>
          <w:sz w:val="16"/>
        </w:rPr>
        <w:t>[R18] Pascale Joassart-Marcelli, Fernando J. Bosco, Keavy McFadden. (2026). Assembling solutions: digital platforms, community food insecurity, and the politics of food justice. Agriculture and Human Values 43, art. 71. https://doi.org/10.1007/s10460-026-10873-x</w:t>
      </w:r>
    </w:p>
    <w:p>
      <w:pPr>
        <w:spacing w:before="0" w:after="20" w:line="228" w:lineRule="auto"/>
        <w:ind w:left="288" w:hanging="288"/>
      </w:pPr>
      <w:r>
        <w:rPr>
          <w:rFonts w:ascii="Aptos" w:hAnsi="Aptos"/>
          <w:b w:val="0"/>
          <w:color w:val="000000"/>
          <w:sz w:val="16"/>
        </w:rPr>
        <w:t>[R19] Katharine S. E. Cresswell Riol, Sean Connelly. (2023). Beyond a neoliberal critique of hunger: a genealogy of food charity in Aotearoa New Zealand. Agriculture and Human Values. https://doi.org/10.1007/s10460-023-10414-w</w:t>
      </w:r>
    </w:p>
    <w:p>
      <w:pPr>
        <w:spacing w:before="0" w:after="20" w:line="228" w:lineRule="auto"/>
        <w:ind w:left="288" w:hanging="288"/>
      </w:pPr>
      <w:r>
        <w:rPr>
          <w:rFonts w:ascii="Aptos" w:hAnsi="Aptos"/>
          <w:b w:val="0"/>
          <w:color w:val="000000"/>
          <w:sz w:val="16"/>
        </w:rPr>
        <w:t>[R20] Joslyn Brenton, Alyssa Tindall, Karen Glanz, Senbagam Virudachalam. (2025). The role of dignity in food assistance: Participant experiences with a free meal kit program. Social Science &amp; Medicine 374. https://doi.org/10.1016/j.socscimed.2025.118009</w:t>
      </w:r>
    </w:p>
    <w:p>
      <w:pPr>
        <w:spacing w:before="0" w:after="20" w:line="228" w:lineRule="auto"/>
        <w:ind w:left="288" w:hanging="288"/>
      </w:pPr>
      <w:r>
        <w:rPr>
          <w:rFonts w:ascii="Aptos" w:hAnsi="Aptos"/>
          <w:b w:val="0"/>
          <w:color w:val="000000"/>
          <w:sz w:val="16"/>
        </w:rPr>
        <w:t>[R21] Chapman et al. (2024). The dignity experience of people with disability when using trains and buses in an Australian city. Disability &amp; Society, 39(9), 2375-2399. https://doi.org/10.1080/09687599.2023.2203307</w:t>
      </w:r>
    </w:p>
    <w:p>
      <w:pPr>
        <w:spacing w:before="0" w:after="20" w:line="228" w:lineRule="auto"/>
        <w:ind w:left="288" w:hanging="288"/>
      </w:pPr>
      <w:r>
        <w:rPr>
          <w:rFonts w:ascii="Aptos" w:hAnsi="Aptos"/>
          <w:b w:val="0"/>
          <w:color w:val="000000"/>
          <w:sz w:val="16"/>
        </w:rPr>
        <w:t>[R22] Tan, Y., Soh, K.X., Zhang, R., Lee, J., Meng, H., Sen, B., &amp; Lee, Y.-C. (2025). Empowering social service with AI: Insights from a participatory design study with practitioners. Extended Abstracts of the CHI Conference on Human Factors in Computing Systems (CHI EA '25). https://dl.acm.org/doi/epdf/10.1145/3706599.3719736</w:t>
      </w:r>
    </w:p>
    <w:p>
      <w:pPr>
        <w:spacing w:before="0" w:after="20" w:line="228" w:lineRule="auto"/>
        <w:ind w:left="288" w:hanging="288"/>
      </w:pPr>
      <w:r>
        <w:rPr>
          <w:rFonts w:ascii="Aptos" w:hAnsi="Aptos"/>
          <w:b w:val="0"/>
          <w:color w:val="000000"/>
          <w:sz w:val="16"/>
        </w:rPr>
        <w:t>[R23] Lu, Q., Tettamanti, T., Hörcher, D., &amp; Varga, I. (2020). The impact of autonomous vehicles on urban traffic network capacity: an experimental analysis by microscopic traffic simulation. Transportation Letters: The International Journal of Transportation Research, 12(8), 540-549. https://doi.org/10.1080/19427867.2019.1662561</w:t>
      </w:r>
    </w:p>
    <w:p>
      <w:pPr>
        <w:spacing w:before="0" w:after="20" w:line="228" w:lineRule="auto"/>
        <w:ind w:left="288" w:hanging="288"/>
      </w:pPr>
      <w:r>
        <w:rPr>
          <w:rFonts w:ascii="Aptos" w:hAnsi="Aptos"/>
          <w:b w:val="0"/>
          <w:color w:val="000000"/>
          <w:sz w:val="16"/>
        </w:rPr>
        <w:t>[R24] Park, J., Jang, S., &amp; Ko, J. (2024). Effects of Exclusive Lanes for Autonomous Vehicles on Urban Expressways under Mixed Traffic of Autonomous and Human-Driven Vehicles. Sustainability, 16(1), 26. https://doi.org/10.3390/su16010026</w:t>
      </w:r>
    </w:p>
    <w:p>
      <w:pPr>
        <w:spacing w:before="0" w:after="20" w:line="228" w:lineRule="auto"/>
        <w:ind w:left="288" w:hanging="288"/>
      </w:pPr>
      <w:r>
        <w:rPr>
          <w:rFonts w:ascii="Aptos" w:hAnsi="Aptos"/>
          <w:b w:val="0"/>
          <w:color w:val="000000"/>
          <w:sz w:val="16"/>
        </w:rPr>
        <w:t>[R25] Pimenta, A.R., Kamruzzaman, M., &amp; Currie, G. (2023). Long-term effects of autonomous vehicles on the built environment: a systematic scoping review towards conceptual frameworks. Transport Reviews, 43(6), 1083-1117. https://doi.org/10.1080/01441647.2023.2189325</w:t>
      </w:r>
    </w:p>
    <w:p>
      <w:pPr>
        <w:spacing w:before="0" w:after="20" w:line="228" w:lineRule="auto"/>
        <w:ind w:left="288" w:hanging="288"/>
      </w:pPr>
      <w:r>
        <w:rPr>
          <w:rFonts w:ascii="Aptos" w:hAnsi="Aptos"/>
          <w:b w:val="0"/>
          <w:color w:val="000000"/>
          <w:sz w:val="16"/>
        </w:rPr>
        <w:t>[R26] Zhang, B., de Winter, J., Varotto, S., Happee, R., &amp; Martens, M. (2019). Determinants of take-over time from automated driving: A meta-analysis of 129 studies. Transportation Research Part F: Traffic Psychology and Behaviour, 64, 285-307. https://doi.org/10.1016/j.trf.2019.04.020</w:t>
      </w:r>
    </w:p>
    <w:p>
      <w:pPr>
        <w:spacing w:before="0" w:after="20" w:line="228" w:lineRule="auto"/>
        <w:ind w:left="288" w:hanging="288"/>
      </w:pPr>
      <w:r>
        <w:rPr>
          <w:rFonts w:ascii="Aptos" w:hAnsi="Aptos"/>
          <w:b w:val="0"/>
          <w:color w:val="000000"/>
          <w:sz w:val="16"/>
        </w:rPr>
        <w:t>[R27] Nordhoff, S., Stapel, J., van Arem, B., &amp; Happee, R. (2020). Passenger opinions of the perceived safety and interaction with automated shuttles: A test ride study with 'hidden' safety steward. Transportation Research Part A: Policy and Practice, 138, 508-524. https://doi.org/10.1016/j.tra.2020.05.009</w:t>
      </w:r>
    </w:p>
    <w:p>
      <w:pPr>
        <w:spacing w:before="0" w:after="20" w:line="228" w:lineRule="auto"/>
        <w:ind w:left="288" w:hanging="288"/>
      </w:pPr>
      <w:r>
        <w:rPr>
          <w:rFonts w:ascii="Aptos" w:hAnsi="Aptos"/>
          <w:b w:val="0"/>
          <w:color w:val="000000"/>
          <w:sz w:val="16"/>
        </w:rPr>
        <w:t>[R28] Zoellick, J.C., Kuhlmey, A., Schenk, L., Schindel, D., &amp; Bluher, S. (2019). Assessing acceptance of electric automated vehicles after exposure in a realistic traffic environment. PLOS ONE, 14(5), e0215969. https://doi.org/10.1371/journal.pone.0215969</w:t>
      </w:r>
    </w:p>
    <w:p>
      <w:pPr>
        <w:spacing w:before="0" w:after="20" w:line="228" w:lineRule="auto"/>
        <w:ind w:left="288" w:hanging="288"/>
      </w:pPr>
      <w:r>
        <w:rPr>
          <w:rFonts w:ascii="Aptos" w:hAnsi="Aptos"/>
          <w:b w:val="0"/>
          <w:color w:val="000000"/>
          <w:sz w:val="16"/>
        </w:rPr>
        <w:t>[R29] Kraus, J., Scholz, D., Stiegemeier, D., &amp; Baumann, M. (2020). The More You Know: Trust Dynamics and Calibration in Highly Automated Driving and the Effects of Take-Overs, System Malfunction, and System Transparency. Human Factors: The Journal of the Human Factors and Ergonomics Society, 62(5), 718-736. https://doi.org/10.1177/0018720819853686</w:t>
      </w:r>
    </w:p>
    <w:p>
      <w:pPr>
        <w:spacing w:before="0" w:after="20" w:line="228" w:lineRule="auto"/>
        <w:ind w:left="288" w:hanging="288"/>
      </w:pPr>
      <w:r>
        <w:rPr>
          <w:rFonts w:ascii="Aptos" w:hAnsi="Aptos"/>
          <w:b w:val="0"/>
          <w:color w:val="000000"/>
          <w:sz w:val="16"/>
        </w:rPr>
        <w:t>[R30] Lee, J.D. &amp; Kolodge, K. (2020). Exploring Trust in Self-Driving Vehicles Through Text Analysis. Human Factors: The Journal of the Human Factors and Ergonomics Society, 62(2), 260-277. https://doi.org/10.1177/0018720819872672</w:t>
      </w:r>
    </w:p>
    <w:p>
      <w:pPr>
        <w:spacing w:before="0" w:after="20" w:line="228" w:lineRule="auto"/>
        <w:ind w:left="288" w:hanging="288"/>
      </w:pPr>
      <w:r>
        <w:rPr>
          <w:rFonts w:ascii="Aptos" w:hAnsi="Aptos"/>
          <w:b w:val="0"/>
          <w:color w:val="000000"/>
          <w:sz w:val="16"/>
        </w:rPr>
        <w:t>[R31] Alkurdi, D. &amp; Alsaid, A. (2025). Trust in Level 3 Automated Vehicles: A Systematic Literature Review. Proceedings of the Human Factors and Ergonomics Society Annual Meeting, 69(1), 1281-1283. https://doi.org/10.1177/10711813251369499</w:t>
      </w:r>
    </w:p>
    <w:p>
      <w:pPr>
        <w:spacing w:before="0" w:after="20" w:line="228" w:lineRule="auto"/>
        <w:ind w:left="288" w:hanging="288"/>
      </w:pPr>
      <w:r>
        <w:rPr>
          <w:rFonts w:ascii="Aptos" w:hAnsi="Aptos"/>
          <w:b w:val="0"/>
          <w:color w:val="000000"/>
          <w:sz w:val="16"/>
        </w:rPr>
        <w:t>[R32] Robles, P. &amp; Mallinson, D.J. (2024). Policy Learning and the Diffusion of Autonomous Vehicle Policy in the American States. State and Local Government Review. https://doi.org/10.1177/0160323X241262816</w:t>
      </w:r>
    </w:p>
    <w:p>
      <w:pPr>
        <w:spacing w:before="0" w:after="20" w:line="228" w:lineRule="auto"/>
        <w:ind w:left="288" w:hanging="288"/>
      </w:pPr>
      <w:r>
        <w:rPr>
          <w:rFonts w:ascii="Aptos" w:hAnsi="Aptos"/>
          <w:b w:val="0"/>
          <w:color w:val="000000"/>
          <w:sz w:val="16"/>
        </w:rPr>
        <w:t>[R33] Zhang et al. (2024). Public transport inclusion and active aging: A systematic review on elderly mobility. Journal of Traffic and Transportation Engineering (English Edition), 11(2), 312-347. https://doi.org/10.1016/j.jtte.2024.04.001</w:t>
      </w:r>
    </w:p>
    <w:p>
      <w:pPr>
        <w:spacing w:before="0" w:after="20" w:line="228" w:lineRule="auto"/>
        <w:ind w:left="288" w:hanging="288"/>
      </w:pPr>
      <w:r>
        <w:rPr>
          <w:rFonts w:ascii="Aptos" w:hAnsi="Aptos"/>
          <w:b w:val="0"/>
          <w:color w:val="000000"/>
          <w:sz w:val="16"/>
        </w:rPr>
        <w:t>[R34] Jeghers et al. (2024). North Florida Stakeholder Perspectives: Gaps, Barriers, and Facilitators in the Transportation System. Future Transportation, 4, 1520-1536. https://doi.org/10.3390/futuretransp4040073</w:t>
      </w:r>
    </w:p>
    <w:p>
      <w:pPr>
        <w:spacing w:before="0" w:after="20" w:line="228" w:lineRule="auto"/>
        <w:ind w:left="288" w:hanging="288"/>
      </w:pPr>
      <w:r>
        <w:rPr>
          <w:rFonts w:ascii="Aptos" w:hAnsi="Aptos"/>
          <w:b w:val="0"/>
          <w:color w:val="000000"/>
          <w:sz w:val="16"/>
        </w:rPr>
        <w:t>[R35] Di Ruocco. (2025). Mobilising equity. Emerging evidence for integrating vulnerable communities. TeMA - Journal of Land Use, Mobility and Environment, 18(1), 95-112. http://dx.doi.org/10.6093/1970-9870/10872</w:t>
      </w:r>
    </w:p>
    <w:p>
      <w:pPr>
        <w:spacing w:before="0" w:after="20" w:line="228" w:lineRule="auto"/>
        <w:ind w:left="288" w:hanging="288"/>
      </w:pPr>
      <w:r>
        <w:rPr>
          <w:rFonts w:ascii="Aptos" w:hAnsi="Aptos"/>
          <w:b w:val="0"/>
          <w:color w:val="000000"/>
          <w:sz w:val="16"/>
        </w:rPr>
        <w:t>[R36] Sandra Murray, Fred Gale, David Adams, Lisa Dalton. (2023). A scoping review of the conceptualisations of food justice. Public Health Nutrition. https://doi.org/10.1017/S1368980023000101</w:t>
      </w:r>
    </w:p>
    <w:p>
      <w:pPr>
        <w:spacing w:before="0" w:after="20" w:line="228" w:lineRule="auto"/>
        <w:ind w:left="288" w:hanging="288"/>
      </w:pPr>
      <w:r>
        <w:rPr>
          <w:rFonts w:ascii="Aptos" w:hAnsi="Aptos"/>
          <w:b w:val="0"/>
          <w:color w:val="000000"/>
          <w:sz w:val="16"/>
        </w:rPr>
        <w:t>[R37] Yasmin Shaker, Sara E. Grineski, Timothy W. Collins, Aaron B. Flores. (2023). Redlining, Racism and Food Access in US Urban Cores. Agriculture and Human Values 40: 101-112. https://doi.org/10.1007/s10460-022-10340-3</w:t>
      </w:r>
    </w:p>
    <w:p>
      <w:pPr>
        <w:spacing w:before="0" w:after="20" w:line="228" w:lineRule="auto"/>
        <w:ind w:left="288" w:hanging="288"/>
      </w:pPr>
      <w:r>
        <w:rPr>
          <w:rFonts w:ascii="Aptos" w:hAnsi="Aptos"/>
          <w:b w:val="0"/>
          <w:color w:val="000000"/>
          <w:sz w:val="16"/>
        </w:rPr>
        <w:t>[R38] Forlano, L., &amp; Mathew, A. (2014). From design fiction to design friction: Speculative and participatory design of values-embedded urban technology. Journal of Urban Technology, 21(4), 7-24. DOI or URL not recorded in the evidence map.</w:t>
      </w:r>
    </w:p>
    <w:p>
      <w:pPr>
        <w:spacing w:before="0" w:after="20" w:line="228" w:lineRule="auto"/>
        <w:ind w:left="288" w:hanging="288"/>
      </w:pPr>
      <w:r>
        <w:rPr>
          <w:rFonts w:ascii="Aptos" w:hAnsi="Aptos"/>
          <w:b w:val="0"/>
          <w:color w:val="000000"/>
          <w:sz w:val="16"/>
        </w:rPr>
        <w:t>[R39] Andrew Deener. (2017). The Origins of the Food Desert: Urban Inequality as Infrastructural Exclusion. Social Forces 95(3): 1285-1309. https://doi.org/10.1093/sf/sox001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