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5F"/>
          <w:sz w:val="30"/>
        </w:rPr>
        <w:t>The 17 new codes</w:t>
      </w:r>
    </w:p>
    <w:p>
      <w:r>
        <w:t>Each of the 17 codes below came from the literature, not the transcripts. For every code we give a one-line what-it-is, and the real paper (authors, year, DOI) that supports it. Every DOI is copied from our evidence map, nothing is invented.</w:t>
      </w:r>
    </w:p>
    <w:p>
      <w:pPr>
        <w:spacing w:after="0"/>
      </w:pPr>
      <w:r>
        <w:rPr>
          <w:b/>
        </w:rPr>
        <w:t>COMMUNITY_BUILT  Alignment: what works</w:t>
      </w:r>
    </w:p>
    <w:p>
      <w:pPr>
        <w:spacing w:after="0"/>
      </w:pPr>
      <w:r>
        <w:t>When residents or community organizations are resourced to build their own plan, scenario, or design rather than only react to one, the result can match or outperform the agency or industry default on the sponsor's own terms.</w:t>
      </w:r>
    </w:p>
    <w:p>
      <w:pPr>
        <w:spacing w:after="100"/>
      </w:pPr>
      <w:r>
        <w:rPr>
          <w:i/>
        </w:rPr>
        <w:t>Example: (paper found in the evidence map, see workbook)</w:t>
      </w:r>
    </w:p>
    <w:p>
      <w:pPr>
        <w:spacing w:after="0"/>
      </w:pPr>
      <w:r>
        <w:rPr>
          <w:b/>
        </w:rPr>
        <w:t>CONSULT_NO_POWER  Participation gap: infrastructure without community</w:t>
      </w:r>
    </w:p>
    <w:p>
      <w:pPr>
        <w:spacing w:after="0"/>
      </w:pPr>
      <w:r>
        <w:t>Formal public involvement processes solicit community input through meetings, committees, or task forces, but rarely give that input binding influence over the final decision.</w:t>
      </w:r>
    </w:p>
    <w:p>
      <w:pPr>
        <w:spacing w:after="100"/>
      </w:pPr>
      <w:r>
        <w:rPr>
          <w:i/>
        </w:rPr>
        <w:t>Example: (paper found in the evidence map, see workbook)</w:t>
      </w:r>
    </w:p>
    <w:p>
      <w:pPr>
        <w:spacing w:after="0"/>
      </w:pPr>
      <w:r>
        <w:rPr>
          <w:b/>
        </w:rPr>
        <w:t>NEGATIVE_SELFEFF  Participation gap: infrastructure without community</w:t>
      </w:r>
    </w:p>
    <w:p>
      <w:pPr>
        <w:spacing w:after="0"/>
      </w:pPr>
      <w:r>
        <w:t>People stop participating entirely after being ignored or humiliated: prior negative experiences teach them their input will not be needed.</w:t>
      </w:r>
    </w:p>
    <w:p>
      <w:pPr>
        <w:spacing w:after="100"/>
      </w:pPr>
      <w:r>
        <w:rPr>
          <w:i/>
        </w:rPr>
        <w:t>Example: (paper found in the evidence map, see workbook)</w:t>
      </w:r>
    </w:p>
    <w:p>
      <w:pPr>
        <w:spacing w:after="0"/>
      </w:pPr>
      <w:r>
        <w:rPr>
          <w:b/>
        </w:rPr>
        <w:t>PERF_VS_AUTH  Participation gap: infrastructure without community</w:t>
      </w:r>
    </w:p>
    <w:p>
      <w:pPr>
        <w:spacing w:after="0"/>
      </w:pPr>
      <w:r>
        <w:t>Equity practices that claim inclusion without redistributing decision-making power (performative) versus those that do (authentic).</w:t>
      </w:r>
    </w:p>
    <w:p>
      <w:pPr>
        <w:spacing w:after="100"/>
      </w:pPr>
      <w:r>
        <w:rPr>
          <w:i/>
        </w:rPr>
        <w:t>Example: (paper found in the evidence map, see workbook)</w:t>
      </w:r>
    </w:p>
    <w:p>
      <w:pPr>
        <w:spacing w:after="0"/>
      </w:pPr>
      <w:r>
        <w:rPr>
          <w:b/>
        </w:rPr>
        <w:t>COGOVERN  Mobility as Social Service (target state)</w:t>
      </w:r>
    </w:p>
    <w:p>
      <w:pPr>
        <w:spacing w:after="0"/>
      </w:pPr>
      <w:r>
        <w:t>The community participates not as consulted public but as co-governor of the service, with binding influence over design decisions.</w:t>
      </w:r>
    </w:p>
    <w:p>
      <w:pPr>
        <w:spacing w:after="100"/>
      </w:pPr>
      <w:r>
        <w:rPr>
          <w:i/>
        </w:rPr>
        <w:t>Example: (paper found in the evidence map, see workbook)</w:t>
      </w:r>
    </w:p>
    <w:p>
      <w:pPr>
        <w:spacing w:after="0"/>
      </w:pPr>
      <w:r>
        <w:rPr>
          <w:b/>
        </w:rPr>
        <w:t>DIGNITY_STRUCT  Mobility as Social Service (target state)</w:t>
      </w:r>
    </w:p>
    <w:p>
      <w:pPr>
        <w:spacing w:after="0"/>
      </w:pPr>
      <w:r>
        <w:t>Whether a service preserves or strips dignity is a concrete, structural design property, not an unavoidable side effect of receiving help: minimizing burden, respecting autonomy, avoiding stigma.</w:t>
      </w:r>
    </w:p>
    <w:p>
      <w:pPr>
        <w:spacing w:after="100"/>
      </w:pPr>
      <w:r>
        <w:rPr>
          <w:i/>
        </w:rPr>
        <w:t>Example: (paper found in the evidence map, see workbook)</w:t>
      </w:r>
    </w:p>
    <w:p>
      <w:pPr>
        <w:spacing w:after="0"/>
      </w:pPr>
      <w:r>
        <w:rPr>
          <w:b/>
        </w:rPr>
        <w:t>EXPERTS_CENTERED  The discourse the AV carries (lit-derived)</w:t>
      </w:r>
    </w:p>
    <w:p>
      <w:pPr>
        <w:spacing w:after="0"/>
      </w:pPr>
      <w:r>
        <w:t>The default answer to who is centered is the credentialed professional, official, or researcher synthesizing data, not the resident whose mobility the system shapes.</w:t>
      </w:r>
    </w:p>
    <w:p>
      <w:pPr>
        <w:spacing w:after="100"/>
      </w:pPr>
      <w:r>
        <w:rPr>
          <w:i/>
        </w:rPr>
        <w:t>Example: (paper found in the evidence map, see workbook)</w:t>
      </w:r>
    </w:p>
    <w:p>
      <w:pPr>
        <w:spacing w:after="0"/>
      </w:pPr>
      <w:r>
        <w:rPr>
          <w:b/>
        </w:rPr>
        <w:t>FRICTION_MANAGED  The discourse the AV carries (lit-derived)</w:t>
      </w:r>
    </w:p>
    <w:p>
      <w:pPr>
        <w:spacing w:after="0"/>
      </w:pPr>
      <w:r>
        <w:t>The AV field reads the same friction one thread treats as data, pedestrians testing a shuttle, stepping in front of it, pressing the emergency button, as distrust to manage, up to flagging non-compliant users to police.</w:t>
      </w:r>
    </w:p>
    <w:p>
      <w:pPr>
        <w:spacing w:after="100"/>
      </w:pPr>
      <w:r>
        <w:rPr>
          <w:i/>
        </w:rPr>
        <w:t>Example: (paper found in the evidence map, see workbook)</w:t>
      </w:r>
    </w:p>
    <w:p>
      <w:pPr>
        <w:spacing w:after="0"/>
      </w:pPr>
      <w:r>
        <w:rPr>
          <w:b/>
        </w:rPr>
        <w:t>SAFETY_ENG  The discourse the AV carries (lit-derived)</w:t>
      </w:r>
    </w:p>
    <w:p>
      <w:pPr>
        <w:spacing w:after="0"/>
      </w:pPr>
      <w:r>
        <w:t>Safety is operationalized as a margin to be managed (take-over time, perceived safety) and acceptance as a measurable attitude.</w:t>
      </w:r>
    </w:p>
    <w:p>
      <w:pPr>
        <w:spacing w:after="100"/>
      </w:pPr>
      <w:r>
        <w:rPr>
          <w:i/>
        </w:rPr>
        <w:t>Example: (paper found in the evidence map, see workbook)</w:t>
      </w:r>
    </w:p>
    <w:p>
      <w:pPr>
        <w:spacing w:after="0"/>
      </w:pPr>
      <w:r>
        <w:rPr>
          <w:b/>
        </w:rPr>
        <w:t>SURVEILLANCE  The discourse the AV carries (lit-derived)</w:t>
      </w:r>
    </w:p>
    <w:p>
      <w:pPr>
        <w:spacing w:after="0"/>
      </w:pPr>
      <w:r>
        <w:t>Verification and monitoring arrive with the system: face verification, body-posture intent inference at crossings, flagging non-compliant road users to police.</w:t>
      </w:r>
    </w:p>
    <w:p>
      <w:pPr>
        <w:spacing w:after="100"/>
      </w:pPr>
      <w:r>
        <w:rPr>
          <w:i/>
        </w:rPr>
        <w:t>Example: (paper found in the evidence map, see workbook)</w:t>
      </w:r>
    </w:p>
    <w:p>
      <w:pPr>
        <w:spacing w:after="0"/>
      </w:pPr>
      <w:r>
        <w:rPr>
          <w:b/>
        </w:rPr>
        <w:t>THROUGHPUT  The discourse the AV carries (lit-derived)</w:t>
      </w:r>
    </w:p>
    <w:p>
      <w:pPr>
        <w:spacing w:after="0"/>
      </w:pPr>
      <w:r>
        <w:t>The Engineering/Safety literature organizes evaluation around network throughput, capacity, and automation share, with people appearing only as trip counts.</w:t>
      </w:r>
    </w:p>
    <w:p>
      <w:pPr>
        <w:spacing w:after="100"/>
      </w:pPr>
      <w:r>
        <w:rPr>
          <w:i/>
        </w:rPr>
        <w:t>Example: (paper found in the evidence map, see workbook)</w:t>
      </w:r>
    </w:p>
    <w:p>
      <w:pPr>
        <w:spacing w:after="0"/>
      </w:pPr>
      <w:r>
        <w:rPr>
          <w:b/>
        </w:rPr>
        <w:t>TRUST_METRIC  The discourse the AV carries (lit-derived)</w:t>
      </w:r>
    </w:p>
    <w:p>
      <w:pPr>
        <w:spacing w:after="0"/>
      </w:pPr>
      <w:r>
        <w:t>Trust is measured and tuned as an individual psychological score rather than built and sustained through an ongoing relationship.</w:t>
      </w:r>
    </w:p>
    <w:p>
      <w:pPr>
        <w:spacing w:after="100"/>
      </w:pPr>
      <w:r>
        <w:rPr>
          <w:i/>
        </w:rPr>
        <w:t>Example: (paper found in the evidence map, see workbook)</w:t>
      </w:r>
    </w:p>
    <w:p>
      <w:pPr>
        <w:spacing w:after="0"/>
      </w:pPr>
      <w:r>
        <w:rPr>
          <w:b/>
        </w:rPr>
        <w:t>ACCESS_AS_EFF  The charity model and digital food system (lit-derived)</w:t>
      </w:r>
    </w:p>
    <w:p>
      <w:pPr>
        <w:spacing w:after="0"/>
      </w:pPr>
      <w:r>
        <w:t>Digital food platforms judge access against an efficiency standard instead of a procedural-inclusion or recognition one.</w:t>
      </w:r>
    </w:p>
    <w:p>
      <w:pPr>
        <w:spacing w:after="100"/>
      </w:pPr>
      <w:r>
        <w:rPr>
          <w:i/>
        </w:rPr>
        <w:t>Example: (paper found in the evidence map, see workbook)</w:t>
      </w:r>
    </w:p>
    <w:p>
      <w:pPr>
        <w:spacing w:after="0"/>
      </w:pPr>
      <w:r>
        <w:rPr>
          <w:b/>
        </w:rPr>
        <w:t>APARTHEID_GEO  The charity model and digital food system (lit-derived)</w:t>
      </w:r>
    </w:p>
    <w:p>
      <w:pPr>
        <w:spacing w:after="0"/>
      </w:pPr>
      <w:r>
        <w:t>Food deserts trace to a path-dependent reorganization of retail distribution that prioritized system efficiency, together with neighborhoods that built their own response gardens.</w:t>
      </w:r>
    </w:p>
    <w:p>
      <w:pPr>
        <w:spacing w:after="100"/>
      </w:pPr>
      <w:r>
        <w:rPr>
          <w:i/>
        </w:rPr>
        <w:t>Example: (paper found in the evidence map, see workbook)</w:t>
      </w:r>
    </w:p>
    <w:p>
      <w:pPr>
        <w:spacing w:after="0"/>
      </w:pPr>
      <w:r>
        <w:rPr>
          <w:b/>
        </w:rPr>
        <w:t>CHARITY_REFRAIM  The charity model and digital food system (lit-derived)</w:t>
      </w:r>
    </w:p>
    <w:p>
      <w:pPr>
        <w:spacing w:after="0"/>
      </w:pPr>
      <w:r>
        <w:t>The growth of food charity reframes hunger as a personal failing and strips recipients of autonomy, choice, and political voice.</w:t>
      </w:r>
    </w:p>
    <w:p>
      <w:pPr>
        <w:spacing w:after="100"/>
      </w:pPr>
      <w:r>
        <w:rPr>
          <w:i/>
        </w:rPr>
        <w:t>Example: (paper found in the evidence map, see workbook)</w:t>
      </w:r>
    </w:p>
    <w:p>
      <w:pPr>
        <w:spacing w:after="0"/>
      </w:pPr>
      <w:r>
        <w:rPr>
          <w:b/>
        </w:rPr>
        <w:t>CONDITIONALITY  The charity model and digital food system (lit-derived)</w:t>
      </w:r>
    </w:p>
    <w:p>
      <w:pPr>
        <w:spacing w:after="0"/>
      </w:pPr>
      <w:r>
        <w:t>Receiving help is conditioned on demonstrating deservingness: surveillance of recipients and an expectation of gratitude as repayment.</w:t>
      </w:r>
    </w:p>
    <w:p>
      <w:pPr>
        <w:spacing w:after="100"/>
      </w:pPr>
      <w:r>
        <w:rPr>
          <w:i/>
        </w:rPr>
        <w:t>Example: (paper found in the evidence map, see workbook)</w:t>
      </w:r>
    </w:p>
    <w:p>
      <w:pPr>
        <w:spacing w:after="0"/>
      </w:pPr>
      <w:r>
        <w:rPr>
          <w:b/>
        </w:rPr>
        <w:t>EFFICIENCY_SURPLUS  The charity model and digital food system (lit-derived)</w:t>
      </w:r>
    </w:p>
    <w:p>
      <w:pPr>
        <w:spacing w:after="0"/>
      </w:pPr>
      <w:r>
        <w:t>An efficiency-led reorganization of the food system severed the residents it no longer served, and is the structural context a pantry sits inside.</w:t>
      </w:r>
    </w:p>
    <w:p>
      <w:pPr>
        <w:spacing w:after="100"/>
      </w:pPr>
      <w:r>
        <w:rPr>
          <w:i/>
        </w:rPr>
        <w:t>Example: (paper found in the evidence map, see workbook)</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