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25"/>
        </w:rPr>
        <w:t>The Ideal Traveler, the Missing Metrics, and What the Food Pantry Makes Visible</w:t>
      </w:r>
    </w:p>
    <w:p>
      <w:pPr>
        <w:spacing w:after="120"/>
        <w:jc w:val="both"/>
      </w:pPr>
      <w:r>
        <w:rPr>
          <w:b/>
        </w:rPr>
        <w:t xml:space="preserve">The ideal traveler and the design of exclusion. </w:t>
      </w:r>
      <w:r>
        <w:t>Transportation systems were not built neutrally and then used unevenly; they were built around a reference person. Twardzik et al. (2025) name that person: transit designed “around an ideal rider who is economically secure, able bodied, and white.” Situ (2025) documents the car-dependent version, planning that “assumes a baseline ability to drive and afford a vehicle,” which concentrates the severest travel constraints on Black and Hispanic single-mother households. Golub et al. (2013) supply the mechanism by which this outlasts explicit discrimination: race-neutral funding formulas layered onto a segregated geography reproduce “racism without racists.” Together these accounts reframe injustice as a design default rather than a distributional accident. The food pantry system inherits that default: it is reachable by someone with a car, a phone, a fixed weekday schedule, and English, and it quietly under-serves everyone else.</w:t>
      </w:r>
    </w:p>
    <w:p>
      <w:pPr>
        <w:spacing w:after="120"/>
        <w:jc w:val="both"/>
      </w:pPr>
      <w:r>
        <w:rPr>
          <w:b/>
        </w:rPr>
        <w:t xml:space="preserve">The metrics of success, and the point of view behind them. </w:t>
      </w:r>
      <w:r>
        <w:t>If the system has a reference traveler, it also has reference metrics, and mobility-justice scholarship converges on the finding that efficiency-oriented measures miss what matters. Levine (2024) shows that ADA stop-count metrics “ignore first and last mile segments,” and Golub et al. (2013) describe a per-rider subsidy that courts accepted as neutral while it “favored more affluent, mostly White rail riders.” In each case a number does the work of a value judgment. Agrawaal et al. (2024) call transportation planning “a conversation that only some people are allowed to be in,” and McCullough et al. (2024) locate that exclusion inside the profession, where even equity-conscious agencies keep “decision making power concentrated among historically dominant, often white leadership.” The alternative, in Wander et al.’s (2026) terms, is to measure mobility as “freedom of movement and capability, not just travel speed.”</w:t>
      </w:r>
    </w:p>
    <w:p>
      <w:pPr>
        <w:spacing w:after="120"/>
        <w:jc w:val="both"/>
      </w:pPr>
      <w:r>
        <w:rPr>
          <w:b/>
        </w:rPr>
        <w:t xml:space="preserve">Capabilities in the food pantry system. </w:t>
      </w:r>
      <w:r>
        <w:t>Taking capability rather than throughput as the measure changes what counts as evidence. This study’s transcripts document capabilities that efficiency metrics render invisible: clients run organized care-distribution routes, supplying homebound neighbors “four or five times a week” (Hope focus group); they hold lifelong neighborhood knowledge that one Old Bethel informant calls “the original internet”; they trip-chain the pantry onto the school run and the clinic visit; and one Spanish-speaking client walked to the pantry for a year before she “managed to buy a small car.” These are the freedoms of movement a capability lens is meant to register, and they are exactly what the first-and-last-mile gap constrains. As Levine (2024) puts it, the problem is not distance but the loaded trip home and the bus stop that is not near the destination: “the bus is accessible, but how do you get to the bus?”</w:t>
      </w:r>
    </w:p>
    <w:p>
      <w:pPr>
        <w:spacing w:after="120"/>
        <w:jc w:val="both"/>
      </w:pPr>
      <w:r>
        <w:rPr>
          <w:b/>
        </w:rPr>
        <w:t xml:space="preserve">Participation as the condition, and the values it makes visible. </w:t>
      </w:r>
      <w:r>
        <w:t>The literature agrees that technology and infrastructure close these gaps only under one condition. Di Ruocco (2025) finds that smart-mobility solutions “improve equity for vulnerable groups only when paired with inclusive land use planning, affordable design, and active community participation,” insisting that “engagement must go beyond consultation.” Gomes et al. (2026) make the contrast concrete: treated as a fixed template, the 15-Minute City missed residents’ needs, but reinterpreted collaboratively with citizens, technical staff, and institutions it surfaced priorities, trust in transit reliability and safe pedestrian access, that “top down planning alone would miss.” Karner et al. (2020) sharpen this as the difference between equity, reforming how burdens are distributed, and justice, the “transformation of the structures and power relations” that produce them. This is the case for the participatory method used here. Held on the community’s terms, the pantry conversations made the system’s governing values legible: mutual care as a duty, dignity and non-judgment as the precondition for accepting help, being personally known as what earns flexibility, and stability over abundance as the goal. These are the community values the paper names, equitable access, relational trust, and flexibility for variable need, and they are what current metrics are not built to see.</w:t>
      </w:r>
    </w:p>
    <w:p>
      <w:r>
        <w:br w:type="page"/>
      </w:r>
    </w:p>
    <w:p>
      <w:pPr>
        <w:spacing w:after="160"/>
      </w:pPr>
      <w:r>
        <w:rPr>
          <w:b/>
          <w:sz w:val="25"/>
        </w:rPr>
        <w:t>References</w:t>
      </w:r>
    </w:p>
    <w:p>
      <w:pPr>
        <w:spacing w:after="120" w:line="240" w:lineRule="auto"/>
        <w:ind w:left="720" w:hanging="720"/>
      </w:pPr>
      <w:r>
        <w:t xml:space="preserve">Agrawaal et al. (2024). Moving towards mobility justice: Challenges and considerations for supporting advocacy. </w:t>
      </w:r>
      <w:r>
        <w:rPr>
          <w:i/>
        </w:rPr>
        <w:t>Proceedings of the ACM on Human-Computer Interaction, 8</w:t>
      </w:r>
      <w:r>
        <w:t>(CSCW1), Article 96. https://doi.org/10.1145/3637373</w:t>
      </w:r>
    </w:p>
    <w:p>
      <w:pPr>
        <w:spacing w:after="120" w:line="240" w:lineRule="auto"/>
        <w:ind w:left="720" w:hanging="720"/>
      </w:pPr>
      <w:r>
        <w:t xml:space="preserve">Di Ruocco. (2025). Mobilising equity: Emerging evidence for integrating vulnerable communities. </w:t>
      </w:r>
      <w:r>
        <w:rPr>
          <w:i/>
        </w:rPr>
        <w:t>TeMA - Journal of Land Use, Mobility and Environment, 18</w:t>
      </w:r>
      <w:r>
        <w:t>(1), 95–112. https://doi.org/10.6093/1970-9870/10872</w:t>
      </w:r>
    </w:p>
    <w:p>
      <w:pPr>
        <w:spacing w:after="120" w:line="240" w:lineRule="auto"/>
        <w:ind w:left="720" w:hanging="720"/>
      </w:pPr>
      <w:r>
        <w:t xml:space="preserve">Golub et al. (2013). Race, space, and struggles for mobility: Transportation impacts on African Americans in Oakland and the East Bay. </w:t>
      </w:r>
      <w:r>
        <w:rPr>
          <w:i/>
        </w:rPr>
        <w:t>Urban Geography</w:t>
      </w:r>
      <w:r>
        <w:t>. https://doi.org/10.1080/02723638.2013.778598</w:t>
      </w:r>
    </w:p>
    <w:p>
      <w:pPr>
        <w:spacing w:after="120" w:line="240" w:lineRule="auto"/>
        <w:ind w:left="720" w:hanging="720"/>
      </w:pPr>
      <w:r>
        <w:t xml:space="preserve">Gomes et al. (2026). Co-creating accessibility-centred mobility strategies in low-density suburban contexts: Evidence from Coimbra, Portugal. </w:t>
      </w:r>
      <w:r>
        <w:rPr>
          <w:i/>
        </w:rPr>
        <w:t>Urban Science, 10</w:t>
      </w:r>
      <w:r>
        <w:t>(2), 102. https://doi.org/10.3390/urbansci10020102</w:t>
      </w:r>
    </w:p>
    <w:p>
      <w:pPr>
        <w:spacing w:after="120" w:line="240" w:lineRule="auto"/>
        <w:ind w:left="720" w:hanging="720"/>
      </w:pPr>
      <w:r>
        <w:t xml:space="preserve">Karner et al. (2020). From transportation equity to transportation justice: Within, through, and beyond the state. </w:t>
      </w:r>
      <w:r>
        <w:rPr>
          <w:i/>
        </w:rPr>
        <w:t>Journal of Planning Literature</w:t>
      </w:r>
      <w:r>
        <w:t>. https://doi.org/10.1177/0885412220927691</w:t>
      </w:r>
    </w:p>
    <w:p>
      <w:pPr>
        <w:spacing w:after="120" w:line="240" w:lineRule="auto"/>
        <w:ind w:left="720" w:hanging="720"/>
      </w:pPr>
      <w:r>
        <w:t xml:space="preserve">Levine. (2024). “The bus is accessible, but how do you get to the bus”: First and last mile experiences of disabled transit riders. </w:t>
      </w:r>
      <w:r>
        <w:rPr>
          <w:i/>
        </w:rPr>
        <w:t>Journal of Public Transportation, 26</w:t>
      </w:r>
      <w:r>
        <w:t>, 100086. https://doi.org/10.1016/j.jpubtr.2024.100086</w:t>
      </w:r>
    </w:p>
    <w:p>
      <w:pPr>
        <w:spacing w:after="120" w:line="240" w:lineRule="auto"/>
        <w:ind w:left="720" w:hanging="720"/>
      </w:pPr>
      <w:r>
        <w:t xml:space="preserve">McCullough et al. (2024). Performative versus authentic equity work: An assessment of current practices in transportation planning. </w:t>
      </w:r>
      <w:r>
        <w:rPr>
          <w:i/>
        </w:rPr>
        <w:t>Transportation Research Record, 2678</w:t>
      </w:r>
      <w:r>
        <w:t>(5), 884–903. https://doi.org/10.1177/03611981231193409</w:t>
      </w:r>
    </w:p>
    <w:p>
      <w:pPr>
        <w:spacing w:after="120" w:line="240" w:lineRule="auto"/>
        <w:ind w:left="720" w:hanging="720"/>
      </w:pPr>
      <w:r>
        <w:t xml:space="preserve">Situ. (2025). Who faces travel constraints? Analyzing household and individual travel challenges in automobile-dependent central Texas. </w:t>
      </w:r>
      <w:r>
        <w:rPr>
          <w:i/>
        </w:rPr>
        <w:t>Transport Policy, 174</w:t>
      </w:r>
      <w:r>
        <w:t>, 103857. https://doi.org/10.1016/j.tranpol.2025.103857</w:t>
      </w:r>
    </w:p>
    <w:p>
      <w:pPr>
        <w:spacing w:after="120" w:line="240" w:lineRule="auto"/>
        <w:ind w:left="720" w:hanging="720"/>
      </w:pPr>
      <w:r>
        <w:t xml:space="preserve">Twardzik et al. (2025). Inclusive mobility: Dismantling transportation injustice at the intersection of race and disability. </w:t>
      </w:r>
      <w:r>
        <w:rPr>
          <w:i/>
        </w:rPr>
        <w:t>Disability and Health Journal, 18</w:t>
      </w:r>
      <w:r>
        <w:t>, 101848. https://doi.org/10.1016/j.dhjo.2025.101848</w:t>
      </w:r>
    </w:p>
    <w:p>
      <w:pPr>
        <w:spacing w:after="120" w:line="240" w:lineRule="auto"/>
        <w:ind w:left="720" w:hanging="720"/>
      </w:pPr>
      <w:r>
        <w:t xml:space="preserve">Wander et al. (2026). The promise of Universal Basic Mobility. </w:t>
      </w:r>
      <w:r>
        <w:rPr>
          <w:i/>
        </w:rPr>
        <w:t>Transport Reviews, 46</w:t>
      </w:r>
      <w:r>
        <w:t>(3), 345–365. https://doi.org/10.1080/01441647.2025.2574358</w:t>
      </w:r>
    </w:p>
    <w:p>
      <w:pPr>
        <w:spacing w:before="120"/>
      </w:pPr>
      <w:r>
        <w:rPr>
          <w:i/>
          <w:sz w:val="18"/>
        </w:rPr>
        <w:t>Note. Author strings follow the project literature-review tracker (surname et al.). Full author lists, and the missing volume and page numbers for Golub et al. (2013) and Karner et al. (2020), should be completed from the DOIs before submission.</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