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Indian Economy: Past, Present, and Future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India has transitioned from fragility to strength with improved fiscal stability and inflation control.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Historical growth rates: modest in the 1950s to 1970s but picked up during liberalization in the 1990s.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Challenges before 2014 included high inflation, twin deficits, and structural constraints.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From 2014 to 2024, India became the 5th largest economy globally, showcasing resilient growth.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Growth Drivers (2014-2024)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Introduction of Insolvency and Bankruptcy Code (IBC) improved corporate health.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Goods and Services Tax (GST) increased tax compliance and revenue collection.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"Make in India" initiatives boosted manufacturing and exports through Production Linked Incentives (PLI).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8. Robust digital infrastructure facilitated e-commerce growth and efficient service delivery.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Macroeconomic Resilience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9. India maintained a growth rate of over 7% for FY22-24 despite global challenges.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10. Consumption demand increased significantly, contributing to GDP growth.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11. India's infrastructure spending as a share of GDP rose to 4.5% in FY24.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Agriculture and Food Security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12. Agricultural GDP grew faster post-2014 due to enhanced food production and exports.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13. PM-KISAN transferred ₹2.8 lakh crore to over 11 crore farmers.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14. Schemes like e-NAM and PM-AASHA encouraged digital integration and fair pricing for farmers.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Industrial Growth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15. Industrial reforms enhanced ease of doing business by reducing compliance burdens.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16. The PLI scheme catalyzed significant investments and job creation in manufacturing.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17. MSMEs benefited from financial support via Mudra loans and credit guarantee schemes.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Employment and Skill Development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18. Unemployment declined from 6% in 2017-18 to 3.2% in 2022-23.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19. Female labor force participation rose sharply to 37% in 2022-23.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20. Over 1.4 crore individuals trained under the PM Kaushal Vikas Yojana.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Human Resource and Welfare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21. Ayushman Bharat provided free health services to 6.27 crore beneficiaries.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22. Education reforms under the National Education Policy (NEP) 2020 targeted foundational literacy and digital skills.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23. Welfare schemes like Jan Dhan Yojana expanded financial inclusion.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External Sector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24. Merchandise exports reached $451.1 billion in FY23.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25. India became the world's largest recipient of remittances in 2023 ($125 billion).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26. Foreign Direct Investment (FDI) inflows remained strong despite global disruptions.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Climate Action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27. Solar energy capacity grew 25-fold to 72.3 GW from 2014 to 2023.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28. India achieved 43.9% non-fossil fuel capacity in total electricity generation.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29. Programs like UJALA and FAME promoted energy efficiency and green mobility.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Financial Markets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30. India’s stock market capitalization improved from 79% to 104% of GDP between 2014-2022.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31. Bond market reforms facilitated infrastructure funding and private investments.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32. Growth in retail investors reflected in a surge of Demat accounts.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Infrastructure Development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33. 74 new airports were developed in the last 9 years, doubling the count since independence.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34. Railways and roads received a major boost under Bharatmala and Sagarmala projects.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35. India's logistics sector became more efficient, reducing costs by 0.9% of GDP.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Gender and Inclusive Growth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36. Women-led SHGs under DAY-NRLM empowered 9.5 crore women.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37. Female GER surpassed male GER in higher education by FY18.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38. "Beti Bachao, Beti Padhao" promoted girl child education and welfare.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Challenges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39. Global AI adoption poses job threats, requiring upskilling efforts.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40. India must navigate geopolitical tensions and fragmented global markets.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41. Ensuring a skilled workforce and formal job creation remain critical.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Digital Transformation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42. UPI transactions grew to ₹143.4 lakh crore in FY24 from negligible levels in 2016.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43. Over 4.5 million benefited from India’s data-sharing framework (Account Aggregator).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44. Initiatives like CoWin and Aarogya Setu highlighted digital governance success.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Looking Ahead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45. India aims to achieve $2 trillion in total exports by 2030.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46. Climate goals include achieving net-zero emissions by 2070.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47. Continued structural reforms aim to sustain growth above 7%.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Social and Economic Impacts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48. India pulled 13.5 crore people out of multidimensional poverty (2015-2021).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49. Rural-urban disparities reduced significantly through infrastructure and welfare.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50. The resilience of Indian economy positions it as a global growth leader into Amrit Kaal.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Let me know if you need further details!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