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ns0:document xmlns:ns0="http://schemas.openxmlformats.org/wordprocessingml/2006/main" xmlns:ns1="http://schemas.openxmlformats.org/drawingml/2006/wordprocessingDrawing" xmlns:ns2="http://schemas.openxmlformats.org/drawingml/2006/main" xmlns:ns3="http://schemas.openxmlformats.org/drawingml/2006/picture" xmlns:ns4="http://schemas.openxmlformats.org/officeDocument/2006/relationships">
  <ns0:body>
    <ns0:p>
      <ns0:pPr>
        <ns0:pStyle ns0:val="Title"/>
      </ns0:pPr>
      <ns0:r>
        <ns0:t xml:space="preserve">Where</ns0:t>
      </ns0:r>
      <ns0:r>
        <ns0:t xml:space="preserve"> </ns0:t>
      </ns0:r>
      <ns0:r>
        <ns0:t xml:space="preserve">Authorization</ns0:t>
      </ns0:r>
      <ns0:r>
        <ns0:t xml:space="preserve"> </ns0:t>
      </ns0:r>
      <ns0:r>
        <ns0:t xml:space="preserve">Stops:</ns0:t>
      </ns0:r>
      <ns0:r>
        <ns0:t xml:space="preserve"> </ns0:t>
      </ns0:r>
      <ns0:r>
        <ns0:t xml:space="preserve">Effect-Bound</ns0:t>
      </ns0:r>
      <ns0:r>
        <ns0:t xml:space="preserve"> </ns0:t>
      </ns0:r>
      <ns0:r>
        <ns0:t xml:space="preserve">Containment,</ns0:t>
      </ns0:r>
      <ns0:r>
        <ns0:t xml:space="preserve"> </ns0:t>
      </ns0:r>
      <ns0:r>
        <ns0:t xml:space="preserve">Independent</ns0:t>
      </ns0:r>
      <ns0:r>
        <ns0:t xml:space="preserve"> </ns0:t>
      </ns0:r>
      <ns0:r>
        <ns0:t xml:space="preserve">Evidence</ns0:t>
      </ns0:r>
      <ns0:r>
        <ns0:t xml:space="preserve"> </ns0:t>
      </ns0:r>
      <ns0:r>
        <ns0:t xml:space="preserve">and</ns0:t>
      </ns0:r>
      <ns0:r>
        <ns0:t xml:space="preserve"> </ns0:t>
      </ns0:r>
      <ns0:r>
        <ns0:t xml:space="preserve">the</ns0:t>
      </ns0:r>
      <ns0:r>
        <ns0:t xml:space="preserve"> </ns0:t>
      </ns0:r>
      <ns0:r>
        <ns0:t xml:space="preserve">Limits</ns0:t>
      </ns0:r>
      <ns0:r>
        <ns0:t xml:space="preserve"> </ns0:t>
      </ns0:r>
      <ns0:r>
        <ns0:t xml:space="preserve">of</ns0:t>
      </ns0:r>
      <ns0:r>
        <ns0:t xml:space="preserve"> </ns0:t>
      </ns0:r>
      <ns0:r>
        <ns0:t xml:space="preserve">Preview</ns0:t>
      </ns0:r>
    </ns0:p>
    <ns0:p>
      <ns0:pPr>
        <ns0:pStyle ns0:val="Author"/>
      </ns0:pPr>
      <ns0:r>
        <ns0:t xml:space="preserve">Aditya</ns0:t>
      </ns0:r>
      <ns0:r>
        <ns0:t xml:space="preserve"> </ns0:t>
      </ns0:r>
      <ns0:r>
        <ns0:t xml:space="preserve">Pratap</ns0:t>
      </ns0:r>
      <ns0:r>
        <ns0:t xml:space="preserve"> </ns0:t>
      </ns0:r>
      <ns0:r>
        <ns0:t xml:space="preserve">Singh</ns0:t>
      </ns0:r>
    </ns0:p>
    <ns0:p>
      <ns0:pPr>
        <ns0:pStyle ns0:val="Date"/>
      </ns0:pPr>
      <ns0:r>
        <ns0:t xml:space="preserve">AI</ns0:t>
      </ns0:r>
      <ns0:r>
        <ns0:t xml:space="preserve"> </ns0:t>
      </ns0:r>
      <ns0:r>
        <ns0:t xml:space="preserve">Incident</ns0:t>
      </ns0:r>
      <ns0:r>
        <ns0:t xml:space="preserve"> </ns0:t>
      </ns0:r>
      <ns0:r>
        <ns0:t xml:space="preserve">Response</ns0:t>
      </ns0:r>
      <ns0:r>
        <ns0:t xml:space="preserve"> </ns0:t>
      </ns0:r>
      <ns0:r>
        <ns0:t xml:space="preserve">Sprint,</ns0:t>
      </ns0:r>
      <ns0:r>
        <ns0:t xml:space="preserve"> </ns0:t>
      </ns0:r>
      <ns0:r>
        <ns0:t xml:space="preserve">Apart</ns0:t>
      </ns0:r>
      <ns0:r>
        <ns0:t xml:space="preserve"> </ns0:t>
      </ns0:r>
      <ns0:r>
        <ns0:t xml:space="preserve">Research</ns0:t>
      </ns0:r>
      <ns0:r>
        <ns0:t xml:space="preserve"> </ns0:t>
      </ns0:r>
      <ns0:r>
        <ns0:t xml:space="preserve">(https://apartresearch.com/sprints/ai-incident-response-sprint-2026-09-11-to-2026-09-13),</ns0:t>
      </ns0:r>
      <ns0:r>
        <ns0:t xml:space="preserve"> </ns0:t>
      </ns0:r>
      <ns0:r>
        <ns0:t xml:space="preserve">September</ns0:t>
      </ns0:r>
      <ns0:r>
        <ns0:t xml:space="preserve"> </ns0:t>
      </ns0:r>
      <ns0:r>
        <ns0:t xml:space="preserve">2026</ns0:t>
      </ns0:r>
    </ns0:p>
    <ns0:p>
      <ns0:pPr>
        <ns0:pStyle ns0:val="FirstParagraph"/>
      </ns0:pPr>
      <ns0:r>
        <ns0:rPr>
          <ns0:bCs/>
          <ns0:b/>
        </ns0:rPr>
        <ns0:t xml:space="preserve">AI contribution.</ns0:t>
      </ns0:r>
      <ns0:r>
        <ns0:t xml:space="preserve"> </ns0:t>
      </ns0:r>
      <ns0:r>
        <ns0:t xml:space="preserve">This report and its code, experiments and analyses were produced</ns0:t>
      </ns0:r>
      <ns0:r>
        <ns0:t xml:space="preserve"> </ns0:t>
      </ns0:r>
      <ns0:r>
        <ns0:t xml:space="preserve">with AI assistants (OpenAI Codex and Anthropic Claude) under the direction of Aditya</ns0:t>
      </ns0:r>
      <ns0:r>
        <ns0:t xml:space="preserve"> </ns0:t>
      </ns0:r>
      <ns0:r>
        <ns0:t xml:space="preserve">Pratap Singh, who set the research questions, approved each experiment, and is</ns0:t>
      </ns0:r>
      <ns0:r>
        <ns0:t xml:space="preserve"> </ns0:t>
      </ns0:r>
      <ns0:r>
        <ns0:t xml:space="preserve">responsible for this submission. Every number in Tables 1–6 is tied to retained</ns0:t>
      </ns0:r>
      <ns0:r>
        <ns0:t xml:space="preserve"> </ns0:t>
      </ns0:r>
      <ns0:r>
        <ns0:t xml:space="preserve">per-cell evidence by automated checks (</ns0:t>
      </ns0:r>
      <ns0:r>
        <ns0:rPr>
          <ns0:rStyle ns0:val="VerbatimChar"/>
        </ns0:rPr>
        <ns0:t xml:space="preserve">verify.sh</ns0:t>
      </ns0:r>
      <ns0:r>
        <ns0:t xml:space="preserve">); these are not a substitute for</ns0:t>
      </ns0:r>
      <ns0:r>
        <ns0:t xml:space="preserve"> </ns0:t>
      </ns0:r>
      <ns0:r>
        <ns0:t xml:space="preserve">independent human replication, which remains pending. The LLM Usage Statement gives</ns0:t>
      </ns0:r>
      <ns0:r>
        <ns0:t xml:space="preserve"> </ns0:t>
      </ns0:r>
      <ns0:r>
        <ns0:t xml:space="preserve">the full scope, including which claims have and have not had line-by-line author review.</ns0:t>
      </ns0:r>
    </ns0:p>
    <ns0:bookmarkStart ns0:id="20" ns0:name="abstract"/>
    <ns0:p>
      <ns0:pPr>
        <ns0:pStyle ns0:val="Heading1"/>
      </ns0:pPr>
      <ns0:r>
        <ns0:t xml:space="preserve">Abstract</ns0:t>
      </ns0:r>
    </ns0:p>
    <ns0:p>
      <ns0:pPr>
        <ns0:pStyle ns0:val="FirstParagraph"/>
      </ns0:pPr>
      <ns0:r>
        <ns0:t xml:space="preserve">Containment requires controlling effects through permitted routes and evidence that</ns0:t>
      </ns0:r>
      <ns0:r>
        <ns0:t xml:space="preserve"> </ns0:t>
      </ns0:r>
      <ns0:r>
        <ns0:t xml:space="preserve">outside reviewers can inspect. We evaluate exact authorization, independent backend</ns0:t>
      </ns0:r>
      <ns0:r>
        <ns0:t xml:space="preserve"> </ns0:t>
      </ns0:r>
      <ns0:r>
        <ns0:t xml:space="preserve">observation and preview-based quarantine on synthetic Git, HTTP and API-twin</ns0:t>
      </ns0:r>
      <ns0:r>
        <ns0:t xml:space="preserve"> </ns0:t>
      </ns0:r>
      <ns0:r>
        <ns0:t xml:space="preserve">workflows. Git receive-time enforcement allowed 0/6 forbidden ref updates versus</ns0:t>
      </ns0:r>
      <ns0:r>
        <ns0:t xml:space="preserve"> </ns0:t>
      </ns0:r>
      <ns0:r>
        <ns0:t xml:space="preserve">3/6 for broker preview; an exact-authority HTTP gateway allowed 0/12 attacks versus</ns0:t>
      </ns0:r>
      <ns0:r>
        <ns0:t xml:space="preserve"> </ns0:t>
      </ns0:r>
      <ns0:r>
        <ns0:t xml:space="preserve">8/12 for endpoint restriction. Both preserved benign completion. Backend evidence</ns0:t>
      </ns0:r>
      <ns0:r>
        <ns0:t xml:space="preserve"> </ns0:t>
      </ns0:r>
      <ns0:r>
        <ns0:t xml:space="preserve">detected 6/6 executed attacks, while intent logs detected none. Preview blocked</ns0:t>
      </ns0:r>
      <ns0:r>
        <ns0:t xml:space="preserve"> </ns0:t>
      </ns0:r>
      <ns0:r>
        <ns0:t xml:space="preserve">reproducible faults but missed execution-only writes. Transactional state and output</ns0:t>
      </ns0:r>
      <ns0:r>
        <ns0:t xml:space="preserve"> </ns0:t>
      </ns0:r>
      <ns0:r>
        <ns0:t xml:space="preserve">gates prevented specified write and read-leak fixtures; subsequent correctness</ns0:t>
      </ns0:r>
      <ns0:r>
        <ns0:t xml:space="preserve"> </ns0:t>
      </ns0:r>
      <ns0:r>
        <ns0:t xml:space="preserve">review found and repaired additional defects. Four model pilots remain insufficient</ns0:t>
      </ns0:r>
      <ns0:r>
        <ns0:t xml:space="preserve"> </ns0:t>
      </ns0:r>
      <ns0:r>
        <ns0:t xml:space="preserve">to establish realistic attack resistance, including an interrupted repaired-gate</ns0:t>
      </ns0:r>
      <ns0:r>
        <ns0:t xml:space="preserve"> </ns0:t>
      </ns0:r>
      <ns0:r>
        <ns0:t xml:space="preserve">study with no final evaluation. We provide a nine-control checklist, offline checks</ns0:t>
      </ns0:r>
      <ns0:r>
        <ns0:t xml:space="preserve"> </ns0:t>
      </ns0:r>
      <ns0:r>
        <ns0:t xml:space="preserve">and retained negative results. Quarantine superiority, production safety and</ns0:t>
      </ns0:r>
      <ns0:r>
        <ns0:t xml:space="preserve"> </ns0:t>
      </ns0:r>
      <ns0:r>
        <ns0:t xml:space="preserve">independent reproduction remain unestablished.</ns0:t>
      </ns0:r>
      <ns0:r>
        <ns0:t xml:space="preserve"> </ns0:t>
      </ns0:r>
      <ns0:r>
        <ns0:t xml:space="preserve">All results concern designed fixtures on trusted hosts, not independently assessed production deployments.</ns0:t>
      </ns0:r>
    </ns0:p>
    <ns0:bookmarkEnd ns0:id="20"/>
    <ns0:bookmarkStart ns0:id="21" ns0:name="introduction"/>
    <ns0:p>
      <ns0:pPr>
        <ns0:pStyle ns0:val="Heading1"/>
      </ns0:pPr>
      <ns0:r>
        <ns0:t xml:space="preserve">1. Introduction</ns0:t>
      </ns0:r>
    </ns0:p>
    <ns0:p>
      <ns0:pPr>
        <ns0:pStyle ns0:val="FirstParagraph"/>
      </ns0:pPr>
      <ns0:r>
        <ns0:t xml:space="preserve">Sandboxes for capability evaluations usually leave some route open: a package</ns0:t>
      </ns0:r>
      <ns0:r>
        <ns0:t xml:space="preserve"> </ns0:t>
      </ns0:r>
      <ns0:r>
        <ns0:t xml:space="preserve">mirror, a proxy, a tool API. According to the sprint materials, the July 2026</ns0:t>
      </ns0:r>
      <ns0:r>
        <ns0:t xml:space="preserve"> </ns0:t>
      </ns0:r>
      <ns0:r>
        <ns0:t xml:space="preserve">incident used exactly such a route, a package-registry cache proxy that was the</ns0:t>
      </ns0:r>
      <ns0:r>
        <ns0:t xml:space="preserve"> </ns0:t>
      </ns0:r>
      <ns0:r>
        <ns0:t xml:space="preserve">sandbox’s only permitted egress [8]. Restricting</ns0:t>
      </ns0:r>
      <ns0:r>
        <ns0:t xml:space="preserve"> </ns0:t>
      </ns0:r>
      <ns0:r>
        <ns0:rPr>
          <ns0:iCs/>
          <ns0:i/>
        </ns0:rPr>
        <ns0:t xml:space="preserve">which endpoint</ns0:t>
      </ns0:r>
      <ns0:r>
        <ns0:t xml:space="preserve"> </ns0:t>
      </ns0:r>
      <ns0:r>
        <ns0:t xml:space="preserve">an agent may reach</ns0:t>
      </ns0:r>
      <ns0:r>
        <ns0:t xml:space="preserve"> </ns0:t>
      </ns0:r>
      <ns0:r>
        <ns0:t xml:space="preserve">does not constrain</ns0:t>
      </ns0:r>
      <ns0:r>
        <ns0:t xml:space="preserve"> </ns0:t>
      </ns0:r>
      <ns0:r>
        <ns0:rPr>
          <ns0:iCs/>
          <ns0:i/>
        </ns0:rPr>
        <ns0:t xml:space="preserve">what effect</ns0:t>
      </ns0:r>
      <ns0:r>
        <ns0:t xml:space="preserve"> </ns0:t>
      </ns0:r>
      <ns0:r>
        <ns0:t xml:space="preserve">a request to that endpoint produces. An accurate</ns0:t>
      </ns0:r>
      <ns0:r>
        <ns0:t xml:space="preserve"> </ns0:t>
      </ns0:r>
      <ns0:r>
        <ns0:t xml:space="preserve">log of what the agent intended can also disagree with what the backend executed.</ns0:t>
      </ns0:r>
    </ns0:p>
    <ns0:p>
      <ns0:pPr>
        <ns0:pStyle ns0:val="BodyText"/>
      </ns0:pPr>
      <ns0:r>
        <ns0:rPr>
          <ns0:bCs/>
          <ns0:b/>
        </ns0:rPr>
        <ns0:t xml:space="preserve">Central finding. A successful preview does not establish execution safety.</ns0:t>
      </ns0:r>
      <ns0:r>
        <ns0:t xml:space="preserve"> </ns0:t>
      </ns0:r>
      <ns0:r>
        <ns0:t xml:space="preserve">In the tested fixtures, faults introduced only during execution pass preview;</ns0:t>
      </ns0:r>
      <ns0:r>
        <ns0:t xml:space="preserve"> </ns0:t>
      </ns0:r>
      <ns0:r>
        <ns0:t xml:space="preserve">checks at the component committing state or returning data prevent those specified</ns0:t>
      </ns0:r>
      <ns0:r>
        <ns0:t xml:space="preserve"> </ns0:t>
      </ns0:r>
      <ns0:r>
        <ns0:t xml:space="preserve">effects. Independent backend evidence distinguishes approved requests from actual</ns0:t>
      </ns0:r>
      <ns0:r>
        <ns0:t xml:space="preserve"> </ns0:t>
      </ns0:r>
      <ns0:r>
        <ns0:t xml:space="preserve">effects. This is a bounded mechanism result, not general attack resistance.</ns0:t>
      </ns0:r>
    </ns0:p>
    <ns0:p>
      <ns0:pPr>
        <ns0:pStyle ns0:val="BodyText"/>
      </ns0:pPr>
      <ns0:r>
        <ns0:t xml:space="preserve">Our original hypothesis compared server-side capability enforcement plus dynamic</ns0:t>
      </ns0:r>
      <ns0:r>
        <ns0:t xml:space="preserve"> </ns0:t>
      </ns0:r>
      <ns0:r>
        <ns0:t xml:space="preserve">quarantine against intent logging or broker-only authorization. Its weak-baseline</ns0:t>
      </ns0:r>
      <ns0:r>
        <ns0:t xml:space="preserve"> </ns0:t>
      </ns0:r>
      <ns0:r>
        <ns0:t xml:space="preserve">comparison is supported, but bundles two mechanisms and cannot identify quarantine’s</ns0:t>
      </ns0:r>
      <ns0:r>
        <ns0:t xml:space="preserve"> </ns0:t>
      </ns0:r>
      <ns0:r>
        <ns0:t xml:space="preserve">increment. We preserve its exact wording and all H1–H34 outcomes in</ns0:t>
      </ns0:r>
      <ns0:r>
        <ns0:t xml:space="preserve"> </ns0:t>
      </ns0:r>
      <ns0:r>
        <ns0:rPr>
          <ns0:rStyle ns0:val="VerbatimChar"/>
        </ns0:rPr>
        <ns0:t xml:space="preserve">hypotheses.md</ns0:t>
      </ns0:r>
      <ns0:r>
        <ns0:t xml:space="preserve">.</ns0:t>
      </ns0:r>
      <ns0:r>
        <ns0:t xml:space="preserve"> </ns0:t>
      </ns0:r>
      <ns0:r>
        <ns0:t xml:space="preserve">H1–H7 were reconstructed; H8 onward were recorded before their runs. Comparisons</ns0:t>
      </ns0:r>
      <ns0:r>
        <ns0:t xml:space="preserve"> </ns0:t>
      </ns0:r>
      <ns0:r>
        <ns0:t xml:space="preserve">of preview and execution gates characterize their failures, not the causal effect</ns0:t>
      </ns0:r>
      <ns0:r>
        <ns0:t xml:space="preserve"> </ns0:t>
      </ns0:r>
      <ns0:r>
        <ns0:t xml:space="preserve">of adding preview to an otherwise identical execution gate. Model pilots have not</ns0:t>
      </ns0:r>
      <ns0:r>
        <ns0:t xml:space="preserve"> </ns0:t>
      </ns0:r>
      <ns0:r>
        <ns0:t xml:space="preserve">resolved that separate question.</ns0:t>
      </ns0:r>
    </ns0:p>
    <ns0:p>
      <ns0:pPr>
        <ns0:pStyle ns0:val="BodyText"/>
      </ns0:pPr>
      <ns0:r>
        <ns0:t xml:space="preserve">Threat model. The actor (a scripted or model-generated client) can alter its</ns0:t>
      </ns0:r>
      <ns0:r>
        <ns0:t xml:space="preserve"> </ns0:t>
      </ns0:r>
      <ns0:r>
        <ns0:t xml:space="preserve">requests, client configuration, local files, retries and timing, and can try any</ns0:t>
      </ns0:r>
      <ns0:r>
        <ns0:t xml:space="preserve"> </ns0:t>
      </ns0:r>
      <ns0:r>
        <ns0:t xml:space="preserve">route its sandbox allows. It cannot edit server-side policy, hooks or backend state</ns0:t>
      </ns0:r>
      <ns0:r>
        <ns0:t xml:space="preserve"> </ns0:t>
      </ns0:r>
      <ns0:r>
        <ns0:t xml:space="preserve">directly. The broker, gateway, backend and host are trusted. A compromised egress</ns0:t>
      </ns0:r>
      <ns0:r>
        <ns0:t xml:space="preserve"> </ns0:t>
      </ns0:r>
      <ns0:r>
        <ns0:t xml:space="preserve">service or kernel is out of scope (Section 5).</ns0:t>
      </ns0:r>
    </ns0:p>
    <ns0:p>
      <ns0:pPr>
        <ns0:pStyle ns0:val="BodyText"/>
      </ns0:pPr>
      <ns0:r>
        <ns0:rPr>
          <ns0:bCs/>
          <ns0:b/>
        </ns0:rPr>
        <ns0:t xml:space="preserve">The evidence chain is:</ns0:t>
      </ns0:r>
    </ns0:p>
    <ns0:p>
      <ns0:pPr>
        <ns0:numPr>
          <ns0:ilvl ns0:val="0"/>
          <ns0:numId ns0:val="1001"/>
        </ns0:numPr>
        <ns0:pStyle ns0:val="Compact"/>
      </ns0:pPr>
      <ns0:r>
        <ns0:rPr>
          <ns0:bCs/>
          <ns0:b/>
        </ns0:rPr>
        <ns0:t xml:space="preserve">Authority at execution.</ns0:t>
      </ns0:r>
      <ns0:r>
        <ns0:t xml:space="preserve"> </ns0:t>
      </ns0:r>
      <ns0:r>
        <ns0:t xml:space="preserve">Native Git and isolated HTTP checks prevent the</ns0:t>
      </ns0:r>
      <ns0:r>
        <ns0:t xml:space="preserve"> </ns0:t>
      </ns0:r>
      <ns0:r>
        <ns0:t xml:space="preserve">tested effects that upstream checks admit, preserving benign completion</ns0:t>
      </ns0:r>
      <ns0:r>
        <ns0:t xml:space="preserve"> </ns0:t>
      </ns0:r>
      <ns0:r>
        <ns0:t xml:space="preserve">(Tables 1–2). Backend observations expose effects omitted by upstream records</ns0:t>
      </ns0:r>
      <ns0:r>
        <ns0:t xml:space="preserve"> </ns0:t>
      </ns0:r>
      <ns0:r>
        <ns0:t xml:space="preserve">(Table 3).</ns0:t>
      </ns0:r>
    </ns0:p>
    <ns0:p>
      <ns0:pPr>
        <ns0:numPr>
          <ns0:ilvl ns0:val="0"/>
          <ns0:numId ns0:val="1001"/>
        </ns0:numPr>
        <ns0:pStyle ns0:val="Compact"/>
      </ns0:pPr>
      <ns0:r>
        <ns0:rPr>
          <ns0:bCs/>
          <ns0:b/>
        </ns0:rPr>
        <ns0:t xml:space="preserve">The counterexample and its scope.</ns0:t>
      </ns0:r>
      <ns0:r>
        <ns0:t xml:space="preserve"> </ns0:t>
      </ns0:r>
      <ns0:r>
        <ns0:t xml:space="preserve">Preview misses execution-only writes</ns0:t>
      </ns0:r>
      <ns0:r>
        <ns0:t xml:space="preserve"> </ns0:t>
      </ns0:r>
      <ns0:r>
        <ns0:t xml:space="preserve">(Table 4); transactional state enforcement prevents the specified write, and</ns0:t>
      </ns0:r>
      <ns0:r>
        <ns0:t xml:space="preserve"> </ns0:t>
      </ns0:r>
      <ns0:r>
        <ns0:t xml:space="preserve">response enforcement prevents an explicit read leak (Tables 5–6). These are</ns0:t>
      </ns0:r>
      <ns0:r>
        <ns0:t xml:space="preserve"> </ns0:t>
      </ns0:r>
      <ns0:r>
        <ns0:t xml:space="preserve">designed faults on trusted backends, not discovered model exploits.</ns0:t>
      </ns0:r>
    </ns0:p>
    <ns0:p>
      <ns0:pPr>
        <ns0:numPr>
          <ns0:ilvl ns0:val="0"/>
          <ns0:numId ns0:val="1001"/>
        </ns0:numPr>
        <ns0:pStyle ns0:val="Compact"/>
      </ns0:pPr>
      <ns0:r>
        <ns0:rPr>
          <ns0:bCs/>
          <ns0:b/>
        </ns0:rPr>
        <ns0:t xml:space="preserve">A usable assessment.</ns0:t>
      </ns0:r>
      <ns0:r>
        <ns0:t xml:space="preserve"> </ns0:t>
      </ns0:r>
      <ns0:r>
        <ns0:t xml:space="preserve">Nine bounded acceptance rules, evidence requirements</ns0:t>
      </ns0:r>
      <ns0:r>
        <ns0:t xml:space="preserve"> </ns0:t>
      </ns0:r>
      <ns0:r>
        <ns0:t xml:space="preserve">and a worked assessment separate local PASS, demonstrated FAIL and deployment</ns0:t>
      </ns0:r>
      <ns0:r>
        <ns0:t xml:space="preserve"> </ns0:t>
      </ns0:r>
      <ns0:r>
        <ns0:t xml:space="preserve">NOT VERIFIED. One answer-key-withheld AI exercise reached all six scoped</ns0:t>
      </ns0:r>
      <ns0:r>
        <ns0:t xml:space="preserve"> </ns0:t>
      </ns0:r>
      <ns0:r>
        <ns0:t xml:space="preserve">decisions; no independent human assessment or adoption result exists (Appendix B).</ns0:t>
      </ns0:r>
    </ns0:p>
    <ns0:bookmarkEnd ns0:id="21"/>
    <ns0:bookmarkStart ns0:id="22" ns0:name="related-work"/>
    <ns0:p>
      <ns0:pPr>
        <ns0:pStyle ns0:val="Heading1"/>
      </ns0:pPr>
      <ns0:r>
        <ns0:t xml:space="preserve">2. Related Work</ns0:t>
      </ns0:r>
    </ns0:p>
    <ns0:p>
      <ns0:pPr>
        <ns0:pStyle ns0:val="FirstParagraph"/>
      </ns0:pPr>
      <ns0:r>
        <ns0:t xml:space="preserve">Complete mediation [1] and the confused-deputy problem [2] motivate checking every</ns0:t>
      </ns0:r>
      <ns0:r>
        <ns0:t xml:space="preserve"> </ns0:t>
      </ns0:r>
      <ns0:r>
        <ns0:t xml:space="preserve">access against specific authority rather than ambient permissions. Our capabilities</ns0:t>
      </ns0:r>
      <ns0:r>
        <ns0:t xml:space="preserve"> </ns0:t>
      </ns0:r>
      <ns0:r>
        <ns0:t xml:space="preserve">bind tool, canonical arguments, run and request identity, nonce and expiry, which</ns0:t>
      </ns0:r>
      <ns0:r>
        <ns0:t xml:space="preserve"> </ns0:t>
      </ns0:r>
      <ns0:r>
        <ns0:t xml:space="preserve">is a standard object-capability pattern rather than a new primitive. AI Control [3]</ns0:t>
      </ns0:r>
      <ns0:r>
        <ns0:t xml:space="preserve"> </ns0:t>
      </ns0:r>
      <ns0:r>
        <ns0:t xml:space="preserve">argues for evaluating safety measures against intentionally subversive models. Our</ns0:t>
      </ns0:r>
      <ns0:r>
        <ns0:t xml:space="preserve"> </ns0:t>
      </ns0:r>
      <ns0:r>
        <ns0:t xml:space="preserve">scripted suites follow that red-team framing at small scale but are not</ns0:t>
      </ns0:r>
      <ns0:r>
        <ns0:t xml:space="preserve"> </ns0:t>
      </ns0:r>
      <ns0:r>
        <ns0:t xml:space="preserve">frontier-agent evaluations. AgentDojo [4] benchmarks prompt-injection attacks</ns0:t>
      </ns0:r>
      <ns0:r>
        <ns0:t xml:space="preserve"> </ns0:t>
      </ns0:r>
      <ns0:r>
        <ns0:t xml:space="preserve">against tool-using agents using execution-based outcomes. CaMeL [5] separates</ns0:t>
      </ns0:r>
      <ns0:r>
        <ns0:t xml:space="preserve"> </ns0:t>
      </ns0:r>
      <ns0:r>
        <ns0:t xml:space="preserve">control and data flow and enforces capability policies at tool invocation. Our</ns0:t>
      </ns0:r>
      <ns0:r>
        <ns0:t xml:space="preserve"> </ns0:t>
      </ns0:r>
      <ns0:r>
        <ns0:t xml:space="preserve">narrow contribution tests backend deviations from authorized calls and compares</ns0:t>
      </ns0:r>
      <ns0:r>
        <ns0:t xml:space="preserve"> </ns0:t>
      </ns0:r>
      <ns0:r>
        <ns0:t xml:space="preserve">preview checks with enforcement at the component that executes the effect.</ns0:t>
      </ns0:r>
    </ns0:p>
    <ns0:bookmarkEnd ns0:id="22"/>
    <ns0:bookmarkStart ns0:id="26" ns0:name="methods"/>
    <ns0:p>
      <ns0:pPr>
        <ns0:pStyle ns0:val="Heading1"/>
      </ns0:pPr>
      <ns0:r>
        <ns0:t xml:space="preserve">3. Methods</ns0:t>
      </ns0:r>
    </ns0:p>
    <ns0:p>
      <ns0:pPr>
        <ns0:pStyle ns0:val="FirstParagraph"/>
      </ns0:pPr>
      <ns0:r>
        <ns0:rPr>
          <ns0:bCs/>
          <ns0:b/>
        </ns0:rPr>
        <ns0:t xml:space="preserve">Testbeds.</ns0:t>
      </ns0:r>
      <ns0:r>
        <ns0:t xml:space="preserve"> </ns0:t>
      </ns0:r>
      <ns0:r>
        <ns0:t xml:space="preserve">All tests use synthetic fixtures and temporary repositories; no</ns0:t>
      </ns0:r>
      <ns0:r>
        <ns0:t xml:space="preserve"> </ns0:t>
      </ns0:r>
      <ns0:r>
        <ns0:t xml:space="preserve">production service or victim data was touched (Figure 1).</ns0:t>
      </ns0:r>
    </ns0:p>
    <ns0:p>
      <ns0:pPr>
        <ns0:numPr>
          <ns0:ilvl ns0:val="0"/>
          <ns0:numId ns0:val="1002"/>
        </ns0:numPr>
        <ns0:pStyle ns0:val="Compact"/>
      </ns0:pPr>
      <ns0:r>
        <ns0:rPr>
          <ns0:iCs/>
          <ns0:i/>
        </ns0:rPr>
        <ns0:t xml:space="preserve">Native Git</ns0:t>
      </ns0:r>
      <ns0:r>
        <ns0:t xml:space="preserve"> </ns0:t>
      </ns0:r>
      <ns0:r>
        <ns0:t xml:space="preserve">(Git 2.43.0). The permitted effect is one exact old→new object</ns0:t>
      </ns0:r>
      <ns0:r>
        <ns0:t xml:space="preserve"> </ns0:t>
      </ns0:r>
      <ns0:r>
        <ns0:t xml:space="preserve">transition on</ns0:t>
      </ns0:r>
      <ns0:r>
        <ns0:t xml:space="preserve"> </ns0:t>
      </ns0:r>
      <ns0:r>
        <ns0:rPr>
          <ns0:rStyle ns0:val="VerbatimChar"/>
        </ns0:rPr>
        <ns0:t xml:space="preserve">refs/heads/review</ns0:t>
      </ns0:r>
      <ns0:r>
        <ns0:t xml:space="preserve">;</ns0:t>
      </ns0:r>
      <ns0:r>
        <ns0:t xml:space="preserve"> </ns0:t>
      </ns0:r>
      <ns0:r>
        <ns0:rPr>
          <ns0:rStyle ns0:val="VerbatimChar"/>
        </ns0:rPr>
        <ns0:t xml:space="preserve">production</ns0:t>
      </ns0:r>
      <ns0:r>
        <ns0:t xml:space="preserve"> </ns0:t>
      </ns0:r>
      <ns0:r>
        <ns0:t xml:space="preserve">must never change. Attacks use</ns0:t>
      </ns0:r>
      <ns0:r>
        <ns0:t xml:space="preserve"> </ns0:t>
      </ns0:r>
      <ns0:r>
        <ns0:t xml:space="preserve">real Git configuration (push redirects, extra refspecs) and changes to client</ns0:t>
      </ns0:r>
      <ns0:r>
        <ns0:t xml:space="preserve"> </ns0:t>
      </ns0:r>
      <ns0:r>
        <ns0:t xml:space="preserve">configuration or HEAD between admission and push. The effect is scored from</ns0:t>
      </ns0:r>
      <ns0:r>
        <ns0:t xml:space="preserve"> </ns0:t>
      </ns0:r>
      <ns0:r>
        <ns0:t xml:space="preserve">per-push refs and native reflogs, not exit codes.</ns0:t>
      </ns0:r>
    </ns0:p>
    <ns0:p>
      <ns0:pPr>
        <ns0:numPr>
          <ns0:ilvl ns0:val="0"/>
          <ns0:numId ns0:val="1002"/>
        </ns0:numPr>
        <ns0:pStyle ns0:val="Compact"/>
      </ns0:pPr>
      <ns0:r>
        <ns0:rPr>
          <ns0:iCs/>
          <ns0:i/>
        </ns0:rPr>
        <ns0:t xml:space="preserve">Isolated HTTP.</ns0:t>
      </ns0:r>
      <ns0:r>
        <ns0:t xml:space="preserve"> </ns0:t>
      </ns0:r>
      <ns0:r>
        <ns0:t xml:space="preserve">A client reads a synthetic report and publishes it as one issue</ns0:t>
      </ns0:r>
      <ns0:r>
        <ns0:t xml:space="preserve"> </ns0:t>
      </ns0:r>
      <ns0:r>
        <ns0:t xml:space="preserve">on a local Pome GitHub twin [6]. The actor runs in Bubblewrap [10] mount, PID</ns0:t>
      </ns0:r>
      <ns0:r>
        <ns0:t xml:space="preserve"> </ns0:t>
      </ns0:r>
      <ns0:r>
        <ns0:t xml:space="preserve">and network namespaces with dropped capabilities. It can reach only one gateway</ns0:t>
      </ns0:r>
      <ns0:r>
        <ns0:t xml:space="preserve"> </ns0:t>
      </ns0:r>
      <ns0:r>
        <ns0:t xml:space="preserve">socket, and never holds backend credentials or signing keys.</ns0:t>
      </ns0:r>
    </ns0:p>
    <ns0:p>
      <ns0:pPr>
        <ns0:numPr>
          <ns0:ilvl ns0:val="0"/>
          <ns0:numId ns0:val="1002"/>
        </ns0:numPr>
        <ns0:pStyle ns0:val="Compact"/>
      </ns0:pPr>
      <ns0:r>
        <ns0:rPr>
          <ns0:iCs/>
          <ns0:i/>
        </ns0:rPr>
        <ns0:t xml:space="preserve">Pome observer study.</ns0:t>
      </ns0:r>
      <ns0:r>
        <ns0:t xml:space="preserve"> </ns0:t>
      </ns0:r>
      <ns0:r>
        <ns0:t xml:space="preserve">A separate process fetches Pome’s own request tape and</ns0:t>
      </ns0:r>
      <ns0:r>
        <ns0:t xml:space="preserve"> </ns0:t>
      </ns0:r>
      <ns0:r>
        <ns0:t xml:space="preserve">state and stores hashed receipts, so the broker cannot supply that evidence.</ns0:t>
      </ns0:r>
    </ns0:p>
    <ns0:p>
      <ns0:pPr>
        <ns0:numPr>
          <ns0:ilvl ns0:val="0"/>
          <ns0:numId ns0:val="1002"/>
        </ns0:numPr>
        <ns0:pStyle ns0:val="Compact"/>
      </ns0:pPr>
      <ns0:r>
        <ns0:rPr>
          <ns0:iCs/>
          <ns0:i/>
        </ns0:rPr>
        <ns0:t xml:space="preserve">Quarantine studies.</ns0:t>
      </ns0:r>
      <ns0:r>
        <ns0:t xml:space="preserve"> </ns0:t>
      </ns0:r>
      <ns0:r>
        <ns0:t xml:space="preserve">A local modeled server (720 cases), two hosted Arga GitHub</ns0:t>
      </ns0:r>
      <ns0:r>
        <ns0:t xml:space="preserve"> </ns0:t>
      </ns0:r>
      <ns0:r>
        <ns0:t xml:space="preserve">twins used as execution and preview copies [9], and a separate-process local</ns0:t>
      </ns0:r>
      <ns0:r>
        <ns0:t xml:space="preserve"> </ns0:t>
      </ns0:r>
      <ns0:r>
        <ns0:t xml:space="preserve">service with durable operation identities.</ns0:t>
      </ns0:r>
    </ns0:p>
    <ns0:p>
      <ns0:pPr>
        <ns0:numPr>
          <ns0:ilvl ns0:val="0"/>
          <ns0:numId ns0:val="1002"/>
        </ns0:numPr>
        <ns0:pStyle ns0:val="Compact"/>
      </ns0:pPr>
      <ns0:r>
        <ns0:rPr>
          <ns0:iCs/>
          <ns0:i/>
        </ns0:rPr>
        <ns0:t xml:space="preserve">Combined architecture.</ns0:t>
      </ns0:r>
      <ns0:r>
        <ns0:t xml:space="preserve"> </ns0:t>
      </ns0:r>
      <ns0:r>
        <ns0:t xml:space="preserve">The same separate-process local service, adding a third</ns0:t>
      </ns0:r>
      <ns0:r>
        <ns0:t xml:space="preserve"> </ns0:t>
      </ns0:r>
      <ns0:r>
        <ns0:t xml:space="preserve">arm whose service enforces an execution-time effect gate inside the write</ns0:t>
      </ns0:r>
      <ns0:r>
        <ns0:t xml:space="preserve"> </ns0:t>
      </ns0:r>
      <ns0:r>
        <ns0:t xml:space="preserve">transaction, so preview-based release and execution-side enforcement are compared</ns0:t>
      </ns0:r>
      <ns0:r>
        <ns0:t xml:space="preserve"> </ns0:t>
      </ns0:r>
      <ns0:r>
        <ns0:t xml:space="preserve">under one harness (48 cells). A fourth arm additionally confines the outbound</ns0:t>
      </ns0:r>
      <ns0:r>
        <ns0:t xml:space="preserve"> </ns0:t>
      </ns0:r>
      <ns0:r>
        <ns0:t xml:space="preserve">response to each tool’s declared output class, tested against an exfiltrating read</ns0:t>
      </ns0:r>
      <ns0:r>
        <ns0:t xml:space="preserve"> </ns0:t>
      </ns0:r>
      <ns0:r>
        <ns0:t xml:space="preserve">that returns a secret with no state change (68 cells).</ns0:t>
      </ns0:r>
    </ns0:p>
    <ns0:p>
      <ns0:pPr>
        <ns0:pStyle ns0:val="FirstParagraph"/>
      </ns0:pPr>
      <ns0:r>
        <ns0:rPr>
          <ns0:bCs/>
          <ns0:b/>
        </ns0:rPr>
        <ns0:t xml:space="preserve">Conditions.</ns0:t>
      </ns0:r>
      <ns0:r>
        <ns0:t xml:space="preserve"> </ns0:t>
      </ns0:r>
      <ns0:r>
        <ns0:t xml:space="preserve">Every comparison holds the policy information fixed and varies only</ns0:t>
      </ns0:r>
      <ns0:r>
        <ns0:t xml:space="preserve"> </ns0:t>
      </ns0:r>
      <ns0:r>
        <ns0:rPr>
          <ns0:iCs/>
          <ns0:i/>
        </ns0:rPr>
        <ns0:t xml:space="preserve">where</ns0:t>
      </ns0:r>
      <ns0:r>
        <ns0:t xml:space="preserve"> </ns0:t>
      </ns0:r>
      <ns0:r>
        <ns0:t xml:space="preserve">or</ns0:t>
      </ns0:r>
      <ns0:r>
        <ns0:t xml:space="preserve"> </ns0:t>
      </ns0:r>
      <ns0:r>
        <ns0:rPr>
          <ns0:iCs/>
          <ns0:i/>
        </ns0:rPr>
        <ns0:t xml:space="preserve">how</ns0:t>
      </ns0:r>
      <ns0:r>
        <ns0:t xml:space="preserve"> </ns0:t>
      </ns0:r>
      <ns0:r>
        <ns0:t xml:space="preserve">it is enforced. Git: intent-only dispatch, exact command matching,</ns0:t>
      </ns0:r>
      <ns0:r>
        <ns0:t xml:space="preserve"> </ns0:t>
      </ns0:r>
      <ns0:r>
        <ns0:t xml:space="preserve">broker native dry-run preview, and a pre-receive hook applying the same effect</ns0:t>
      </ns0:r>
      <ns0:r>
        <ns0:t xml:space="preserve"> </ns0:t>
      </ns0:r>
      <ns0:r>
        <ns0:t xml:space="preserve">predicate to Git’s actual update batch. HTTP: upstream approval only, sandbox with</ns0:t>
      </ns0:r>
      <ns0:r>
        <ns0:t xml:space="preserve"> </ns0:t>
      </ns0:r>
      <ns0:r>
        <ns0:t xml:space="preserve">an endpoint restriction, and sandbox with exact capability revalidation at the</ns0:t>
      </ns0:r>
      <ns0:r>
        <ns0:t xml:space="preserve"> </ns0:t>
      </ns0:r>
      <ns0:r>
        <ns0:t xml:space="preserve">gateway. Quarantine: static deny-unknown, hold-all, static authorization of the</ns0:t>
      </ns0:r>
      <ns0:r>
        <ns0:t xml:space="preserve"> </ns0:t>
      </ns0:r>
      <ns0:r>
        <ns0:t xml:space="preserve">same reviewed request shapes, and selective release. Selective release runs the</ns0:t>
      </ns0:r>
      <ns0:r>
        <ns0:t xml:space="preserve"> </ns0:t>
      </ns0:r>
      <ns0:r>
        <ns0:t xml:space="preserve">request against a preview copy and issues a one-use, server-signed approval bound</ns0:t>
      </ns0:r>
      <ns0:r>
        <ns0:t xml:space="preserve"> </ns0:t>
      </ns0:r>
      <ns0:r>
        <ns0:t xml:space="preserve">to the request, state context and policy revision. Combined: static authorization,</ns0:t>
      </ns0:r>
      <ns0:r>
        <ns0:t xml:space="preserve"> </ns0:t>
      </ns0:r>
      <ns0:r>
        <ns0:t xml:space="preserve">selective release, and an execution-time effect gate that shares the same authority</ns0:t>
      </ns0:r>
      <ns0:r>
        <ns0:t xml:space="preserve"> </ns0:t>
      </ns0:r>
      <ns0:r>
        <ns0:t xml:space="preserve">but additionally confines each operation’s committed effect at the service (a read</ns0:t>
      </ns0:r>
      <ns0:r>
        <ns0:t xml:space="preserve"> </ns0:t>
      </ns0:r>
      <ns0:r>
        <ns0:t xml:space="preserve">changes no state; a write adds at most its own exact issue), rolling back atomically</ns0:t>
      </ns0:r>
      <ns0:r>
        <ns0:t xml:space="preserve"> </ns0:t>
      </ns0:r>
      <ns0:r>
        <ns0:t xml:space="preserve">otherwise — a static effect policy at the effect boundary, the service-path analog of</ns0:t>
      </ns0:r>
      <ns0:r>
        <ns0:t xml:space="preserve"> </ns0:t>
      </ns0:r>
      <ns0:r>
        <ns0:t xml:space="preserve">the Git pre-receive hook, not adaptive reasoning.</ns0:t>
      </ns0:r>
    </ns0:p>
    <ns0:p>
      <ns0:pPr>
        <ns0:pStyle ns0:val="BodyText"/>
      </ns0:pPr>
      <ns0:r>
        <ns0:rPr>
          <ns0:bCs/>
          <ns0:b/>
        </ns0:rPr>
        <ns0:t xml:space="preserve">Scoring.</ns0:t>
      </ns0:r>
      <ns0:r>
        <ns0:t xml:space="preserve"> </ns0:t>
      </ns0:r>
      <ns0:r>
        <ns0:t xml:space="preserve">Attack success means an actual unauthorized backend effect: changed</ns0:t>
      </ns0:r>
      <ns0:r>
        <ns0:t xml:space="preserve"> </ns0:t>
      </ns0:r>
      <ns0:r>
        <ns0:t xml:space="preserve">refs, a Pome or Arga event or state change, or a witnessed sink delivery. Benign</ns0:t>
      </ns0:r>
      <ns0:r>
        <ns0:t xml:space="preserve"> </ns0:t>
      </ns0:r>
      <ns0:r>
        <ns0:t xml:space="preserve">completion checks the correct output and flags duplicates. False rejection, false</ns0:t>
      </ns0:r>
      <ns0:r>
        <ns0:t xml:space="preserve"> </ns0:t>
      </ns0:r>
      <ns0:r>
        <ns0:t xml:space="preserve">quarantine, detection and unknown evidence use separate denominators. Missing or</ns0:t>
      </ns0:r>
      <ns0:r>
        <ns0:t xml:space="preserve"> </ns0:t>
      </ns0:r>
      <ns0:r>
        <ns0:t xml:space="preserve">malformed evidence is scored</ns0:t>
      </ns0:r>
      <ns0:r>
        <ns0:t xml:space="preserve"> </ns0:t>
      </ns0:r>
      <ns0:r>
        <ns0:rPr>
          <ns0:iCs/>
          <ns0:i/>
        </ns0:rPr>
        <ns0:t xml:space="preserve">unknown</ns0:t>
      </ns0:r>
      <ns0:r>
        <ns0:t xml:space="preserve">, never clean.</ns0:t>
      </ns0:r>
    </ns0:p>
    <ns0:p>
      <ns0:pPr>
        <ns0:pStyle ns0:val="BodyText"/>
      </ns0:pPr>
      <ns0:r>
        <ns0:rPr>
          <ns0:bCs/>
          <ns0:b/>
        </ns0:rPr>
        <ns0:t xml:space="preserve">Protocol discipline.</ns0:t>
      </ns0:r>
      <ns0:r>
        <ns0:t xml:space="preserve"> </ns0:t>
      </ns0:r>
      <ns0:r>
        <ns0:t xml:space="preserve">From H8 onward, each study’s hypotheses and decision rules</ns0:t>
      </ns0:r>
      <ns0:r>
        <ns0:t xml:space="preserve"> </ns0:t>
      </ns0:r>
      <ns0:r>
        <ns0:t xml:space="preserve">were recorded before canonical runs (internal timestamps, not external preregistration). Rehearsals were stored separately, and failed</ns0:t>
      </ns0:r>
      <ns0:r>
        <ns0:t xml:space="preserve"> </ns0:t>
      </ns0:r>
      <ns0:r>
        <ns0:t xml:space="preserve">prerequisites and unrun cells were kept. Cases are deterministic and constructed to</ns0:t>
      </ns0:r>
      <ns0:r>
        <ns0:t xml:space="preserve"> </ns0:t>
      </ns0:r>
      <ns0:r>
        <ns0:t xml:space="preserve">exercise known failure modes, so repetitions are consistency checks rather than</ns0:t>
      </ns0:r>
      <ns0:r>
        <ns0:t xml:space="preserve"> </ns0:t>
      </ns0:r>
      <ns0:r>
        <ns0:t xml:space="preserve">independent samples. We report exact counts and make no population or significance</ns0:t>
      </ns0:r>
      <ns0:r>
        <ns0:t xml:space="preserve"> </ns0:t>
      </ns0:r>
      <ns0:r>
        <ns0:t xml:space="preserve">claims.</ns0:t>
      </ns0:r>
    </ns0:p>
    <ns0:p>
      <ns0:pPr>
        <ns0:pStyle ns0:val="BodyText"/>
      </ns0:pPr>
      <ns0:r>
        <ns0:rPr>
          <ns0:bCs/>
          <ns0:b/>
        </ns0:rPr>
        <ns0:t xml:space="preserve">What did not work.</ns0:t>
      </ns0:r>
      <ns0:r>
        <ns0:t xml:space="preserve"> </ns0:t>
      </ns0:r>
      <ns0:r>
        <ns0:t xml:space="preserve">Exact state restore was unavailable for both twin</ns0:t>
      </ns0:r>
      <ns0:r>
        <ns0:t xml:space="preserve"> </ns0:t>
      </ns0:r>
      <ns0:r>
        <ns0:t xml:space="preserve">providers. Pome seeds do not reproduce timestamps or commit hashes, and Arga resets</ns0:t>
      </ns0:r>
      <ns0:r>
        <ns0:t xml:space="preserve"> </ns0:t>
      </ns0:r>
      <ns0:r>
        <ns0:t xml:space="preserve">regenerate Git identifiers. Real-backend quarantine therefore returns an explicit</ns0:t>
      </ns0:r>
      <ns0:r>
        <ns0:t xml:space="preserve"> </ns0:t>
      </ns0:r>
      <ns0:r>
        <ns0:t xml:space="preserve">“</ns0:t>
      </ns0:r>
      <ns0:r>
        <ns0:t xml:space="preserve">unsimulated hold</ns0:t>
      </ns0:r>
      <ns0:r>
        <ns0:t xml:space="preserve">”</ns0:t>
      </ns0:r>
      <ns0:r>
        <ns0:t xml:space="preserve"> </ns0:t>
      </ns0:r>
      <ns0:r>
        <ns0:t xml:space="preserve">instead of a fabricated clone. Four small model-attacker pilots remain insufficient to establish realistic</ns0:t>
      </ns0:r>
      <ns0:r>
        <ns0:t xml:space="preserve"> </ns0:t>
      </ns0:r>
      <ns0:r>
        <ns0:t xml:space="preserve">resistance. H27 stopped early, H30 lacked substantive attacks, H31 failed its</ns0:t>
      </ns0:r>
      <ns0:r>
        <ns0:t xml:space="preserve"> </ns0:t>
      </ns0:r>
      <ns0:r>
        <ns0:t xml:space="preserve">search gate, and H34 stopped with 0/16 final cells (Appendix C).</ns0:t>
      </ns0:r>
    </ns0:p>
    <ns0:p>
      <ns0:pPr>
        <ns0:pStyle ns0:val="CaptionedFigure"/>
      </ns0:pPr>
      <ns0:r>
        <ns0:drawing>
          <ns1:inline>
            <ns1:extent cx="5334000" cy="2327563"/>
            <ns1:effectExtent b="0" l="0" r="0" t="0"/>
            <ns1:docPr descr="Figure 1. Three tested boundaries. Each row is a separate experiment, not one combined deployment. (A) The same effect policy checked at broker preview versus Git receive time. (B) Post-gate mutations are visible only in independently acquired backend evidence; detection happens after execution. (C) A preview can match declared state yet diverge in live behavior." title="" id="24" name="Picture"/>
            <ns2:graphic>
              <ns2:graphicData uri="http://schemas.openxmlformats.org/drawingml/2006/picture">
                <ns3:pic>
                  <ns3:nvPicPr>
                    <ns3:cNvPr descr="../boundaries.png" id="25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23"/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2327563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ns0:drawing>
      </ns0:r>
    </ns0:p>
    <ns0:p>
      <ns0:pPr>
        <ns0:pStyle ns0:val="ImageCaption"/>
      </ns0:pPr>
      <ns0:r>
        <ns0:rPr>
          <ns0:bCs/>
          <ns0:b/>
        </ns0:rPr>
        <ns0:t xml:space="preserve">Figure 1.</ns0:t>
      </ns0:r>
      <ns0:r>
        <ns0:t xml:space="preserve"> </ns0:t>
      </ns0:r>
      <ns0:r>
        <ns0:t xml:space="preserve">Three tested boundaries. Each row is a separate experiment, not one combined deployment. (A) The same effect policy checked at broker preview versus Git receive time. (B) Post-gate mutations are visible only in independently acquired backend evidence; detection happens after execution. (C) A preview can match declared state yet diverge in live behavior.</ns0:t>
      </ns0:r>
    </ns0:p>
    <ns0:bookmarkEnd ns0:id="26"/>
    <ns0:bookmarkStart ns0:id="27" ns0:name="results"/>
    <ns0:p>
      <ns0:pPr>
        <ns0:pStyle ns0:val="Heading1"/>
      </ns0:pPr>
      <ns0:r>
        <ns0:t xml:space="preserve">4. Results</ns0:t>
      </ns0:r>
    </ns0:p>
    <ns0:p>
      <ns0:pPr>
        <ns0:pStyle ns0:val="FirstParagraph"/>
        <ns0:keepNext/>
      </ns0:pPr>
      <ns0:r>
        <ns0:rPr>
          <ns0:bCs/>
          <ns0:b/>
        </ns0:rPr>
        <ns0:t xml:space="preserve">Table 1. Native Git enforcement (44 cells).</ns0:t>
      </ns0:r>
      <ns0:r>
        <ns0:t xml:space="preserve"> </ns0:t>
      </ns0:r>
      <ns0:r>
        <ns0:t xml:space="preserve">Six attack and five benign workflows</ns0:t>
      </ns0:r>
      <ns0:r>
        <ns0:t xml:space="preserve"> </ns0:t>
      </ns0:r>
      <ns0:r>
        <ns0:t xml:space="preserve">per condition; identical effect policy in the last two rows. Source:</ns0:t>
      </ns0:r>
      <ns0:r>
        <ns0:t xml:space="preserve"> </ns0:t>
      </ns0:r>
      <ns0:r>
        <ns0:rPr>
          <ns0:rStyle ns0:val="VerbatimChar"/>
        </ns0:rPr>
        <ns0:t xml:space="preserve">results/git-enforcement-v1</ns0:t>
      </ns0:r>
      <ns0:r>
        <ns0:t xml:space="preserve">.</ns0:t>
      </ns0:r>
    </ns0:p>
    <ns0:tbl>
      <ns0:tblPr>
        <ns0:tblStyle ns0:val="Table"/>
        <ns0:tblW ns0:type="pct" ns0:w="5000"/>
        <ns0:tblLook ns0:firstRow="1" ns0:lastRow="0" ns0:firstColumn="0" ns0:lastColumn="0" ns0:noHBand="0" ns0:noVBand="0" ns0:val="0020"/>
        <ns0:jc ns0:val="start"/>
      </ns0:tblPr>
      <ns0:tblGrid>
        <ns0:gridCol ns0:w="2436"/>
        <ns0:gridCol ns0:w="1827"/>
        <ns0:gridCol ns0:w="1914"/>
        <ns0:gridCol ns0:w="1740"/>
      </ns0:tblGrid>
      <ns0:tr>
        <ns0:trPr>
          <ns0:tblHeader ns0:val="true"/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Condition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Attack successes / 6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Benign completion / 5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False rejection / 5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Intent-only dispatch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6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5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0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Exact command match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6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3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2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Broker native preview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3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5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0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rPr>
                <ns0:bCs/>
                <ns0:b/>
              </ns0:rPr>
              <ns0:t xml:space="preserve">Receive-time effect gate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rPr>
                <ns0:bCs/>
                <ns0:b/>
              </ns0:rPr>
              <ns0:t xml:space="preserve">0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rPr>
                <ns0:bCs/>
                <ns0:b/>
              </ns0:rPr>
              <ns0:t xml:space="preserve">5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rPr>
                <ns0:bCs/>
                <ns0:b/>
              </ns0:rPr>
              <ns0:t xml:space="preserve">0</ns0:t>
            </ns0:r>
          </ns0:p>
        </ns0:tc>
      </ns0:tr>
    </ns0:tbl>
    <ns0:p>
      <ns0:pPr>
        <ns0:pStyle ns0:val="BodyText"/>
      </ns0:pPr>
      <ns0:r>
        <ns0:t xml:space="preserve">A successful preview establishes that the planned update passed the policy checks;</ns0:t>
      </ns0:r>
      <ns0:r>
        <ns0:t xml:space="preserve"> </ns0:t>
      </ns0:r>
      <ns0:r>
        <ns0:t xml:space="preserve">it does not bind the later push to the target and commit that were checked.</ns0:t>
      </ns0:r>
      <ns0:r>
        <ns0:t xml:space="preserve"> </ns0:t>
      </ns0:r>
      <ns0:r>
        <ns0:t xml:space="preserve">The three attacks that passed the preview each changed client state</ns0:t>
      </ns0:r>
      <ns0:r>
        <ns0:t xml:space="preserve"> </ns0:t>
      </ns0:r>
      <ns0:r>
        <ns0:rPr>
          <ns0:iCs/>
          <ns0:i/>
        </ns0:rPr>
        <ns0:t xml:space="preserve">after</ns0:t>
      </ns0:r>
      <ns0:r>
        <ns0:t xml:space="preserve"> </ns0:t>
      </ns0:r>
      <ns0:r>
        <ns0:t xml:space="preserve">admission (push redirect, extra target, wrong commit). The receive gate rejected</ns0:t>
      </ns0:r>
      <ns0:r>
        <ns0:t xml:space="preserve"> </ns0:t>
      </ns0:r>
      <ns0:r>
        <ns0:t xml:space="preserve">them because it evaluates the update Git actually receives. Mixed allowed/forbidden</ns0:t>
      </ns0:r>
      <ns0:r>
        <ns0:t xml:space="preserve"> </ns0:t>
      </ns0:r>
      <ns0:r>
        <ns0:t xml:space="preserve">pushes left all refs and journals unchanged. The gate also held under missing,</ns0:t>
      </ns0:r>
      <ns0:r>
        <ns0:t xml:space="preserve"> </ns0:t>
      </ns0:r>
      <ns0:r>
        <ns0:t xml:space="preserve">malformed and revoked policies, duplicate updates, deletions and</ns0:t>
      </ns0:r>
      <ns0:r>
        <ns0:t xml:space="preserve"> </ns0:t>
      </ns0:r>
      <ns0:r>
        <ns0:rPr>
          <ns0:rStyle ns0:val="VerbatimChar"/>
        </ns0:rPr>
        <ns0:t xml:space="preserve">--no-verify</ns0:t>
      </ns0:r>
      <ns0:r>
        <ns0:t xml:space="preserve">.</ns0:t>
      </ns0:r>
      <ns0:r>
        <ns0:t xml:space="preserve"> </ns0:t>
      </ns0:r>
      <ns0:r>
        <ns0:t xml:space="preserve">Exact command matching is a poor proxy: it rejected two harmless variations and</ns0:t>
      </ns0:r>
      <ns0:r>
        <ns0:t xml:space="preserve"> </ns0:t>
      </ns0:r>
      <ns0:r>
        <ns0:t xml:space="preserve">missed all configuration-driven violations. Median benign dispatch was 40.8 ms</ns0:t>
      </ns0:r>
      <ns0:r>
        <ns0:t xml:space="preserve"> </ns0:t>
      </ns0:r>
      <ns0:r>
        <ns0:t xml:space="preserve">with the gate versus 12.4 ms intent-only (single-run, descriptive).</ns0:t>
      </ns0:r>
    </ns0:p>
    <ns0:p>
      <ns0:pPr>
        <ns0:pStyle ns0:val="BodyText"/>
        <ns0:keepNext/>
      </ns0:pPr>
      <ns0:r>
        <ns0:rPr>
          <ns0:bCs/>
          <ns0:b/>
        </ns0:rPr>
        <ns0:t xml:space="preserve">Table 2. Isolated file-to-HTTP publishing (51 cells).</ns0:t>
      </ns0:r>
      <ns0:r>
        <ns0:t xml:space="preserve"> </ns0:t>
      </ns0:r>
      <ns0:r>
        <ns0:t xml:space="preserve">Twelve attacks (credential</ns0:t>
      </ns0:r>
      <ns0:r>
        <ns0:t xml:space="preserve"> </ns0:t>
      </ns0:r>
      <ns0:r>
        <ns0:t xml:space="preserve">file, symlink, direct TCP exfiltration, wrong project, altered content or method,</ns0:t>
      </ns0:r>
      <ns0:r>
        <ns0:t xml:space="preserve"> </ns0:t>
      </ns0:r>
      <ns0:r>
        <ns0:t xml:space="preserve">missing token, identity and nonce rebinding, replay, subprocess and deferred</ns0:t>
      </ns0:r>
      <ns0:r>
        <ns0:t xml:space="preserve"> </ns0:t>
      </ns0:r>
      <ns0:r>
        <ns0:t xml:space="preserve">substitution) and five benign workflows. Source:</ns0:t>
      </ns0:r>
      <ns0:r>
        <ns0:t xml:space="preserve"> </ns0:t>
      </ns0:r>
      <ns0:r>
        <ns0:rPr>
          <ns0:rStyle ns0:val="VerbatimChar"/>
        </ns0:rPr>
        <ns0:t xml:space="preserve">results/isolated-http-v1</ns0:t>
      </ns0:r>
      <ns0:r>
        <ns0:t xml:space="preserve">.</ns0:t>
      </ns0:r>
    </ns0:p>
    <ns0:tbl>
      <ns0:tblPr>
        <ns0:tblStyle ns0:val="Table"/>
        <ns0:tblW ns0:type="pct" ns0:w="5000"/>
        <ns0:tblLook ns0:firstRow="1" ns0:lastRow="0" ns0:firstColumn="0" ns0:lastColumn="0" ns0:noHBand="0" ns0:noVBand="0" ns0:val="0020"/>
        <ns0:jc ns0:val="start"/>
      </ns0:tblPr>
      <ns0:tblGrid>
        <ns0:gridCol ns0:w="2570"/>
        <ns0:gridCol ns0:w="1528"/>
        <ns0:gridCol ns0:w="2084"/>
        <ns0:gridCol ns0:w="1736"/>
      </ns0:tblGrid>
      <ns0:tr>
        <ns0:trPr>
          <ns0:tblHeader ns0:val="true"/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Condition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Attack successes / 12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Correct benign completion / 5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Duplicate benign effects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Upstream approval only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11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4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1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Sandbox + endpoint restriction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8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4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1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rPr>
                <ns0:bCs/>
                <ns0:b/>
              </ns0:rPr>
              <ns0:t xml:space="preserve">Sandbox + exact gateway authority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rPr>
                <ns0:bCs/>
                <ns0:b/>
              </ns0:rPr>
              <ns0:t xml:space="preserve">0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rPr>
                <ns0:bCs/>
                <ns0:b/>
              </ns0:rPr>
              <ns0:t xml:space="preserve">5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rPr>
                <ns0:bCs/>
                <ns0:b/>
              </ns0:rPr>
              <ns0:t xml:space="preserve">0</ns0:t>
            </ns0:r>
          </ns0:p>
        </ns0:tc>
      </ns0:tr>
    </ns0:tbl>
    <ns0:p>
      <ns0:pPr>
        <ns0:pStyle ns0:val="BodyText"/>
      </ns0:pPr>
      <ns0:r>
        <ns0:t xml:space="preserve">The sandbox removed the three filesystem and network bypasses. Exact revalidation</ns0:t>
      </ns0:r>
      <ns0:r>
        <ns0:t xml:space="preserve"> </ns0:t>
      </ns0:r>
      <ns0:r>
        <ns0:t xml:space="preserve">at the only reachable gateway removed the remaining eight request, identity and</ns0:t>
      </ns0:r>
      <ns0:r>
        <ns0:t xml:space="preserve"> </ns0:t>
      </ns0:r>
      <ns0:r>
        <ns0:t xml:space="preserve">replay violations. One unsupported DELETE attack failed natively in every condition</ns0:t>
      </ns0:r>
      <ns0:r>
        <ns0:t xml:space="preserve"> </ns0:t>
      </ns0:r>
      <ns0:r>
        <ns0:t xml:space="preserve">and adds no evidence. Weak conditions re-executed a lost-response retry; the exact</ns0:t>
      </ns0:r>
      <ns0:r>
        <ns0:t xml:space="preserve"> </ns0:t>
      </ns0:r>
      <ns0:r>
        <ns0:t xml:space="preserve">gateway returned the stored result. Median actor time was about 70 ms in all three</ns0:t>
      </ns0:r>
      <ns0:r>
        <ns0:t xml:space="preserve"> </ns0:t>
      </ns0:r>
      <ns0:r>
        <ns0:t xml:space="preserve">conditions.</ns0:t>
      </ns0:r>
    </ns0:p>
    <ns0:p>
      <ns0:pPr>
        <ns0:pStyle ns0:val="BodyText"/>
        <ns0:keepNext/>
      </ns0:pPr>
      <ns0:r>
        <ns0:rPr>
          <ns0:bCs/>
          <ns0:b/>
        </ns0:rPr>
        <ns0:t xml:space="preserve">Table 3. Independent evidence (16 Pome cells).</ns0:t>
      </ns0:r>
      <ns0:r>
        <ns0:t xml:space="preserve"> </ns0:t>
      </ns0:r>
      <ns0:r>
        <ns0:t xml:space="preserve">Six executed attacks, two</ns0:t>
      </ns0:r>
      <ns0:r>
        <ns0:t xml:space="preserve"> </ns0:t>
      </ns0:r>
      <ns0:r>
        <ns0:t xml:space="preserve">prevented attempts, eight benign controls including 404s and lost responses.</ns0:t>
      </ns0:r>
      <ns0:r>
        <ns0:t xml:space="preserve"> </ns0:t>
      </ns0:r>
      <ns0:r>
        <ns0:t xml:space="preserve">Source:</ns0:t>
      </ns0:r>
      <ns0:r>
        <ns0:t xml:space="preserve"> </ns0:t>
      </ns0:r>
      <ns0:r>
        <ns0:rPr>
          <ns0:rStyle ns0:val="VerbatimChar"/>
        </ns0:rPr>
        <ns0:t xml:space="preserve">results/observer-comparison-v1</ns0:t>
      </ns0:r>
      <ns0:r>
        <ns0:t xml:space="preserve">.</ns0:t>
      </ns0:r>
    </ns0:p>
    <ns0:tbl>
      <ns0:tblPr>
        <ns0:tblStyle ns0:val="Table"/>
        <ns0:tblW ns0:type="pct" ns0:w="5000"/>
        <ns0:tblLook ns0:firstRow="1" ns0:lastRow="0" ns0:firstColumn="0" ns0:lastColumn="0" ns0:noHBand="0" ns0:noVBand="0" ns0:val="0020"/>
        <ns0:jc ns0:val="start"/>
      </ns0:tblPr>
      <ns0:tblGrid>
        <ns0:gridCol ns0:w="1743"/>
        <ns0:gridCol ns0:w="2179"/>
        <ns0:gridCol ns0:w="2252"/>
        <ns0:gridCol ns0:w="1743"/>
      </ns0:tblGrid>
      <ns0:tr>
        <ns0:trPr>
          <ns0:tblHeader ns0:val="true"/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Evidence view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Executed attacks detected / 6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Prevented attempts alerted / 2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Benign false alarms / 8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Agent intent log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0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0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0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Gate-entry request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2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2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0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rPr>
                <ns0:bCs/>
                <ns0:b/>
              </ns0:rPr>
              <ns0:t xml:space="preserve">Backend request tape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rPr>
                <ns0:bCs/>
                <ns0:b/>
              </ns0:rPr>
              <ns0:t xml:space="preserve">6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0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0</ns0:t>
            </ns0:r>
          </ns0:p>
        </ns0:tc>
      </ns0:tr>
    </ns0:tbl>
    <ns0:p>
      <ns0:pPr>
        <ns0:pStyle ns0:val="BodyText"/>
      </ns0:pPr>
      <ns0:r>
        <ns0:t xml:space="preserve">Two post-gate substitutions returned seeded file content without changing state, so</ns0:t>
      </ns0:r>
      <ns0:r>
        <ns0:t xml:space="preserve"> </ns0:t>
      </ns0:r>
      <ns0:r>
        <ns0:t xml:space="preserve">a state diff alone would also miss them. Detection bounds were 4.5–22.2 ms after</ns0:t>
      </ns0:r>
      <ns0:r>
        <ns0:t xml:space="preserve"> </ns0:t>
      </ns0:r>
      <ns0:r>
        <ns0:t xml:space="preserve">dispatch. Detection does not undo an effect: under full enforcement, both post-gate</ns0:t>
      </ns0:r>
      <ns0:r>
        <ns0:t xml:space="preserve"> </ns0:t>
      </ns0:r>
      <ns0:r>
        <ns0:t xml:space="preserve">attacks still executed. A later native Git study confirmed the same pattern.</ns0:t>
      </ns0:r>
      <ns0:r>
        <ns0:t xml:space="preserve"> </ns0:t>
      </ns0:r>
      <ns0:r>
        <ns0:t xml:space="preserve">Request-text matching raised 4/10 benign false alarms and missed 6/6</ns0:t>
      </ns0:r>
      <ns0:r>
        <ns0:t xml:space="preserve"> </ns0:t>
      </ns0:r>
      <ns0:r>
        <ns0:t xml:space="preserve">configuration-driven violations, while Git’s porcelain response flagged all 6.</ns0:t>
      </ns0:r>
    </ns0:p>
    <ns0:p>
      <ns0:pPr>
        <ns0:pStyle ns0:val="BodyText"/>
        <ns0:keepNext/>
      </ns0:pPr>
      <ns0:r>
        <ns0:rPr>
          <ns0:bCs/>
          <ns0:b/>
        </ns0:rPr>
        <ns0:t xml:space="preserve">Table 4. Preview-based quarantine.</ns0:t>
      </ns0:r>
      <ns0:r>
        <ns0:t xml:space="preserve"> </ns0:t>
      </ns0:r>
      <ns0:r>
        <ns0:t xml:space="preserve">Top: 720 local cases (five attack and four</ns0:t>
      </ns0:r>
      <ns0:r>
        <ns0:t xml:space="preserve"> </ns0:t>
      </ns0:r>
      <ns0:r>
        <ns0:t xml:space="preserve">benign workflows × 20 repetitions). Bottom: fault controls on hosted Arga twins</ns0:t>
      </ns0:r>
      <ns0:r>
        <ns0:t xml:space="preserve"> </ns0:t>
      </ns0:r>
      <ns0:r>
        <ns0:t xml:space="preserve">(H26) and a separate-process local service (H29). ✓ = unauthorized effect executed;</ns0:t>
      </ns0:r>
      <ns0:r>
        <ns0:t xml:space="preserve"> </ns0:t>
      </ns0:r>
      <ns0:r>
        <ns0:t xml:space="preserve">✗ = prevented. Sources:</ns0:t>
      </ns0:r>
      <ns0:r>
        <ns0:t xml:space="preserve"> </ns0:t>
      </ns0:r>
      <ns0:r>
        <ns0:rPr>
          <ns0:rStyle ns0:val="VerbatimChar"/>
        </ns0:rPr>
        <ns0:t xml:space="preserve">results/selective-release-v1</ns0:t>
      </ns0:r>
      <ns0:r>
        <ns0:t xml:space="preserve">,</ns0:t>
      </ns0:r>
      <ns0:r>
        <ns0:t xml:space="preserve"> </ns0:t>
      </ns0:r>
      <ns0:r>
        <ns0:rPr>
          <ns0:rStyle ns0:val="VerbatimChar"/>
        </ns0:rPr>
        <ns0:t xml:space="preserve">arga-quarantine-v1</ns0:t>
      </ns0:r>
      <ns0:r>
        <ns0:t xml:space="preserve">,</ns0:t>
      </ns0:r>
      <ns0:r>
        <ns0:t xml:space="preserve"> </ns0:t>
      </ns0:r>
      <ns0:r>
        <ns0:rPr>
          <ns0:rStyle ns0:val="VerbatimChar"/>
        </ns0:rPr>
        <ns0:t xml:space="preserve">local-readiness-v1</ns0:t>
      </ns0:r>
      <ns0:r>
        <ns0:t xml:space="preserve">.</ns0:t>
      </ns0:r>
    </ns0:p>
    <ns0:tbl>
      <ns0:tblPr>
        <ns0:tblStyle ns0:val="Table"/>
        <ns0:tblW ns0:type="pct" ns0:w="5000"/>
        <ns0:tblLook ns0:firstRow="1" ns0:lastRow="0" ns0:firstColumn="0" ns0:lastColumn="0" ns0:noHBand="0" ns0:noVBand="0" ns0:val="0020"/>
        <ns0:jc ns0:val="start"/>
      </ns0:tblPr>
      <ns0:tblGrid>
        <ns0:gridCol ns0:w="2217"/>
        <ns0:gridCol ns0:w="1821"/>
        <ns0:gridCol ns0:w="1821"/>
        <ns0:gridCol ns0:w="2059"/>
      </ns0:tblGrid>
      <ns0:tr>
        <ns0:trPr>
          <ns0:tblHeader ns0:val="true"/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Local modeled (720)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Attack successes / 100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Benign completion / 80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False reject / quarantine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Static deny-unknown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0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0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80 / 0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Hold-all quarantine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0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0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0 / 80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Static, same reviewed shapes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100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80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0 / 0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Selective release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20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80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0 / 0</ns0:t>
            </ns0:r>
          </ns0:p>
        </ns0:tc>
      </ns0:tr>
    </ns0:tbl>
    <ns0:p/>
    <ns0:tbl>
      <ns0:tblPr>
        <ns0:tblStyle ns0:val="Table"/>
        <ns0:tblW ns0:type="pct" ns0:w="5000"/>
        <ns0:tblLook ns0:firstRow="1" ns0:lastRow="0" ns0:firstColumn="0" ns0:lastColumn="0" ns0:noHBand="0" ns0:noVBand="0" ns0:val="0020"/>
        <ns0:jc ns0:val="start"/>
      </ns0:tblPr>
      <ns0:tblGrid>
        <ns0:gridCol ns0:w="4207"/>
        <ns0:gridCol ns0:w="2145"/>
        <ns0:gridCol ns0:w="1567"/>
      </ns0:tblGrid>
      <ns0:tr>
        <ns0:trPr>
          <ns0:tblHeader ns0:val="true"/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Fault control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t xml:space="preserve">Static (reviewed shapes)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t xml:space="preserve">Selective release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Hidden write visible in preview (Arga)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t xml:space="preserve">✓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t xml:space="preserve">✗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Visible / deferred write (H29)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t xml:space="preserve">✓ / ✓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t xml:space="preserve">✗ / ✗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rPr>
                <ns0:bCs/>
                <ns0:b/>
              </ns0:rPr>
              <ns0:t xml:space="preserve">Write that occurs only at execution (Arga, H29)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rPr>
                <ns0:bCs/>
                <ns0:b/>
              </ns0:rPr>
              <ns0:t xml:space="preserve">✓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rPr>
                <ns0:bCs/>
                <ns0:b/>
              </ns0:rPr>
              <ns0:t xml:space="preserve">✓</ns0:t>
            </ns0:r>
          </ns0:p>
        </ns0:tc>
      </ns0:tr>
    </ns0:tbl>
    <ns0:p>
      <ns0:pPr>
        <ns0:pStyle ns0:val="BodyText"/>
      </ns0:pPr>
      <ns0:r>
        <ns0:t xml:space="preserve">Selective release is a real but conditional improvement. It matched static</ns0:t>
      </ns0:r>
      <ns0:r>
        <ns0:t xml:space="preserve"> </ns0:t>
      </ns0:r>
      <ns0:r>
        <ns0:t xml:space="preserve">authorization on benign reads (80/80; 2/2 on Arga) and blocked every fault its</ns0:t>
      </ns0:r>
      <ns0:r>
        <ns0:t xml:space="preserve"> </ns0:t>
      </ns0:r>
      <ns0:r>
        <ns0:t xml:space="preserve">preview could observe. All 20 local simulation-gap repetitions, and the</ns0:t>
      </ns0:r>
      <ns0:r>
        <ns0:t xml:space="preserve"> </ns0:t>
      </ns0:r>
      <ns0:r>
        <ns0:t xml:space="preserve">execution-only fault on both later testbeds, escaped and were flagged only after</ns0:t>
      </ns0:r>
      <ns0:r>
        <ns0:t xml:space="preserve"> </ns0:t>
      </ns0:r>
      <ns0:r>
        <ns0:t xml:space="preserve">execution. Selective and static both beat blanket denial on utility. Neither</ns0:t>
      </ns0:r>
      <ns0:r>
        <ns0:t xml:space="preserve"> </ns0:t>
      </ns0:r>
      <ns0:r>
        <ns0:t xml:space="preserve">beat blanket denial on prevention: an earlier 800-case matrix tied static denial</ns0:t>
      </ns0:r>
      <ns0:r>
        <ns0:t xml:space="preserve"> </ns0:t>
      </ns0:r>
      <ns0:r>
        <ns0:t xml:space="preserve">and hold-all at 0/140 attack successes (Appendix C). Selective median latency was</ns0:t>
      </ns0:r>
      <ns0:r>
        <ns0:t xml:space="preserve"> </ns0:t>
      </ns0:r>
      <ns0:r>
        <ns0:t xml:space="preserve">1.33 s versus 0.55 s static in the H30 pilot.</ns0:t>
      </ns0:r>
    </ns0:p>
    <ns0:p>
      <ns0:pPr>
        <ns0:pStyle ns0:val="BodyText"/>
        <ns0:keepNext/>
      </ns0:pPr>
      <ns0:r>
        <ns0:rPr>
          <ns0:bCs/>
          <ns0:b/>
        </ns0:rPr>
        <ns0:t xml:space="preserve">Table 5. Combined architecture (48 cells).</ns0:t>
      </ns0:r>
      <ns0:r>
        <ns0:t xml:space="preserve"> </ns0:t>
      </ns0:r>
      <ns0:r>
        <ns0:t xml:space="preserve">The three arms on one service path</ns0:t>
      </ns0:r>
      <ns0:r>
        <ns0:t xml:space="preserve"> </ns0:t>
      </ns0:r>
      <ns0:r>
        <ns0:t xml:space="preserve">over the four fault controls; all three complete 12/12 normal cells with no effect</ns0:t>
      </ns0:r>
      <ns0:r>
        <ns0:t xml:space="preserve"> </ns0:t>
      </ns0:r>
      <ns0:r>
        <ns0:t xml:space="preserve">and no holds. ✓ = unauthorized effect executed; ✗ = prevented;</ns0:t>
      </ns0:r>
      <ns0:r>
        <ns0:t xml:space="preserve"> </ns0:t>
      </ns0:r>
      <ns0:r>
        <ns0:rPr>
          <ns0:iCs/>
          <ns0:i/>
        </ns0:rPr>
        <ns0:t xml:space="preserve">hold</ns0:t>
      </ns0:r>
      <ns0:r>
        <ns0:t xml:space="preserve"> </ns0:t>
      </ns0:r>
      <ns0:r>
        <ns0:t xml:space="preserve">= benign read</ns0:t>
      </ns0:r>
      <ns0:r>
        <ns0:t xml:space="preserve"> </ns0:t>
      </ns0:r>
      <ns0:r>
        <ns0:t xml:space="preserve">held (utility lost);</ns0:t>
      </ns0:r>
      <ns0:r>
        <ns0:t xml:space="preserve"> </ns0:t>
      </ns0:r>
      <ns0:r>
        <ns0:rPr>
          <ns0:iCs/>
          <ns0:i/>
        </ns0:rPr>
        <ns0:t xml:space="preserve">infra</ns0:t>
      </ns0:r>
      <ns0:r>
        <ns0:t xml:space="preserve"> </ns0:t>
      </ns0:r>
      <ns0:r>
        <ns0:t xml:space="preserve">= committed write, response lost, reconciliation needed.</ns0:t>
      </ns0:r>
      <ns0:r>
        <ns0:t xml:space="preserve"> </ns0:t>
      </ns0:r>
      <ns0:r>
        <ns0:t xml:space="preserve">Source:</ns0:t>
      </ns0:r>
      <ns0:r>
        <ns0:t xml:space="preserve"> </ns0:t>
      </ns0:r>
      <ns0:r>
        <ns0:rPr>
          <ns0:rStyle ns0:val="VerbatimChar"/>
        </ns0:rPr>
        <ns0:t xml:space="preserve">results/combined-gate-v1</ns0:t>
      </ns0:r>
      <ns0:r>
        <ns0:t xml:space="preserve">.</ns0:t>
      </ns0:r>
    </ns0:p>
    <ns0:tbl>
      <ns0:tblPr>
        <ns0:tblStyle ns0:val="Table"/>
        <ns0:tblW ns0:type="pct" ns0:w="5000"/>
        <ns0:tblLook ns0:firstRow="1" ns0:lastRow="0" ns0:firstColumn="0" ns0:lastColumn="0" ns0:noHBand="0" ns0:noVBand="0" ns0:val="0020"/>
        <ns0:jc ns0:val="start"/>
      </ns0:tblPr>
      <ns0:tblGrid>
        <ns0:gridCol ns0:w="3904"/>
        <ns0:gridCol ns0:w="892"/>
        <ns0:gridCol ns0:w="1227"/>
        <ns0:gridCol ns0:w="1896"/>
      </ns0:tblGrid>
      <ns0:tr>
        <ns0:trPr>
          <ns0:tblHeader ns0:val="true"/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Fault control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t xml:space="preserve">Static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t xml:space="preserve">Selective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rPr>
                <ns0:bCs/>
                <ns0:b/>
              </ns0:rPr>
              <ns0:t xml:space="preserve">Effect gate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Hidden write visible in preview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t xml:space="preserve">✓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t xml:space="preserve">✗ (hold)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rPr>
                <ns0:bCs/>
                <ns0:b/>
              </ns0:rPr>
              <ns0:t xml:space="preserve">✗ (completes)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Deferred write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t xml:space="preserve">✓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t xml:space="preserve">✗ (hold)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rPr>
                <ns0:bCs/>
                <ns0:b/>
              </ns0:rPr>
              <ns0:t xml:space="preserve">✗ (completes)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rPr>
                <ns0:bCs/>
                <ns0:b/>
              </ns0:rPr>
              <ns0:t xml:space="preserve">Write only at execution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rPr>
                <ns0:bCs/>
                <ns0:b/>
              </ns0:rPr>
              <ns0:t xml:space="preserve">✓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rPr>
                <ns0:bCs/>
                <ns0:b/>
              </ns0:rPr>
              <ns0:t xml:space="preserve">✓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rPr>
                <ns0:bCs/>
                <ns0:b/>
              </ns0:rPr>
              <ns0:t xml:space="preserve">✗ (completes)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Response lost after commit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t xml:space="preserve">infra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t xml:space="preserve">infra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t xml:space="preserve">infra</ns0:t>
            </ns0:r>
          </ns0:p>
        </ns0:tc>
      </ns0:tr>
    </ns0:tbl>
    <ns0:p>
      <ns0:pPr>
        <ns0:pStyle ns0:val="BodyText"/>
      </ns0:pPr>
      <ns0:r>
        <ns0:t xml:space="preserve">The execution-time effect gate was the only arm to prevent the execution-only write,</ns0:t>
      </ns0:r>
      <ns0:r>
        <ns0:t xml:space="preserve"> </ns0:t>
      </ns0:r>
      <ns0:r>
        <ns0:t xml:space="preserve">and the only arm to prevent the preview-visible faults</ns0:t>
      </ns0:r>
      <ns0:r>
        <ns0:t xml:space="preserve"> </ns0:t>
      </ns0:r>
      <ns0:r>
        <ns0:rPr>
          <ns0:iCs/>
          <ns0:i/>
        </ns0:rPr>
        <ns0:t xml:space="preserve">without</ns0:t>
      </ns0:r>
      <ns0:r>
        <ns0:t xml:space="preserve"> </ns0:t>
      </ns0:r>
      <ns0:r>
        <ns0:t xml:space="preserve">holding the benign</ns0:t>
      </ns0:r>
      <ns0:r>
        <ns0:t xml:space="preserve"> </ns0:t>
      </ns0:r>
      <ns0:r>
        <ns0:t xml:space="preserve">read. It does not repair the transport fault: a committed write with a lost response</ns0:t>
      </ns0:r>
      <ns0:r>
        <ns0:t xml:space="preserve"> </ns0:t>
      </ns0:r>
      <ns0:r>
        <ns0:t xml:space="preserve">still needs reconciliation in every arm. This is the same execution-side mechanism as</ns0:t>
      </ns0:r>
      <ns0:r>
        <ns0:t xml:space="preserve"> </ns0:t>
      </ns0:r>
      <ns0:r>
        <ns0:t xml:space="preserve">the Git receive gate, now on a second backend; it is not a quarantine advantage and</ns0:t>
      </ns0:r>
      <ns0:r>
        <ns0:t xml:space="preserve"> </ns0:t>
      </ns0:r>
      <ns0:r>
        <ns0:t xml:space="preserve">does not defend a compromised service or host.</ns0:t>
      </ns0:r>
    </ns0:p>
    <ns0:p>
      <ns0:pPr>
        <ns0:pStyle ns0:val="BodyText"/>
        <ns0:keepNext/>
      </ns0:pPr>
      <ns0:r>
        <ns0:rPr>
          <ns0:bCs/>
          <ns0:b/>
        </ns0:rPr>
        <ns0:t xml:space="preserve">Table 6. Data-flow gate (68 cells).</ns0:t>
      </ns0:r>
      <ns0:r>
        <ns0:t xml:space="preserve"> </ns0:t>
      </ns0:r>
      <ns0:r>
        <ns0:t xml:space="preserve">Adding an exfiltrating read — a read that</ns0:t>
      </ns0:r>
      <ns0:r>
        <ns0:t xml:space="preserve"> </ns0:t>
      </ns0:r>
      <ns0:r>
        <ns0:t xml:space="preserve">changes no state but returns a secret outside its declared output class, visible only</ns0:t>
      </ns0:r>
      <ns0:r>
        <ns0:t xml:space="preserve"> </ns0:t>
      </ns0:r>
      <ns0:r>
        <ns0:t xml:space="preserve">at execution.</ns0:t>
      </ns0:r>
      <ns0:r>
        <ns0:t xml:space="preserve"> </ns0:t>
      </ns0:r>
      <ns0:r>
        <ns0:rPr>
          <ns0:rStyle ns0:val="VerbatimChar"/>
        </ns0:rPr>
        <ns0:t xml:space="preserve">state gate</ns0:t>
      </ns0:r>
      <ns0:r>
        <ns0:t xml:space="preserve"> </ns0:t>
      </ns0:r>
      <ns0:r>
        <ns0:t xml:space="preserve">is the Table 5 effect gate;</ns0:t>
      </ns0:r>
      <ns0:r>
        <ns0:t xml:space="preserve"> </ns0:t>
      </ns0:r>
      <ns0:r>
        <ns0:rPr>
          <ns0:rStyle ns0:val="VerbatimChar"/>
        </ns0:rPr>
        <ns0:t xml:space="preserve">data-flow gate</ns0:t>
      </ns0:r>
      <ns0:r>
        <ns0:t xml:space="preserve"> </ns0:t>
      </ns0:r>
      <ns0:r>
        <ns0:t xml:space="preserve">also confines</ns0:t>
      </ns0:r>
      <ns0:r>
        <ns0:t xml:space="preserve"> </ns0:t>
      </ns0:r>
      <ns0:r>
        <ns0:t xml:space="preserve">the outbound response.</ns0:t>
      </ns0:r>
      <ns0:r>
        <ns0:t xml:space="preserve"> </ns0:t>
      </ns0:r>
      <ns0:r>
        <ns0:rPr>
          <ns0:iCs/>
          <ns0:i/>
        </ns0:rPr>
        <ns0:t xml:space="preserve">leak</ns0:t>
      </ns0:r>
      <ns0:r>
        <ns0:t xml:space="preserve"> </ns0:t>
      </ns0:r>
      <ns0:r>
        <ns0:t xml:space="preserve">= secret reached the actor; ✗ = prevented. Every arm</ns0:t>
      </ns0:r>
      <ns0:r>
        <ns0:t xml:space="preserve"> </ns0:t>
      </ns0:r>
      <ns0:r>
        <ns0:t xml:space="preserve">completes 12/12 normal cells; the data-flow gate matches the state gate on all four</ns0:t>
      </ns0:r>
      <ns0:r>
        <ns0:t xml:space="preserve"> </ns0:t>
      </ns0:r>
      <ns0:r>
        <ns0:t xml:space="preserve">Table 5 faults. Source:</ns0:t>
      </ns0:r>
      <ns0:r>
        <ns0:t xml:space="preserve"> </ns0:t>
      </ns0:r>
      <ns0:r>
        <ns0:rPr>
          <ns0:rStyle ns0:val="VerbatimChar"/>
        </ns0:rPr>
        <ns0:t xml:space="preserve">results/dataflow-gate-v1</ns0:t>
      </ns0:r>
      <ns0:r>
        <ns0:t xml:space="preserve">.</ns0:t>
      </ns0:r>
    </ns0:p>
    <ns0:tbl>
      <ns0:tblPr>
        <ns0:tblStyle ns0:val="Table"/>
        <ns0:tblW ns0:type="pct" ns0:w="5000"/>
        <ns0:tblLook ns0:firstRow="1" ns0:lastRow="0" ns0:firstColumn="0" ns0:lastColumn="0" ns0:noHBand="0" ns0:noVBand="0" ns0:val="0020"/>
        <ns0:jc ns0:val="start"/>
      </ns0:tblPr>
      <ns0:tblGrid>
        <ns0:gridCol ns0:w="2530"/>
        <ns0:gridCol ns0:w="770"/>
        <ns0:gridCol ns0:w="1210"/>
        <ns0:gridCol ns0:w="1210"/>
        <ns0:gridCol ns0:w="2200"/>
      </ns0:tblGrid>
      <ns0:tr>
        <ns0:trPr>
          <ns0:tblHeader ns0:val="true"/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Fault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t xml:space="preserve">Static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t xml:space="preserve">Selective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t xml:space="preserve">State gate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rPr>
                <ns0:bCs/>
                <ns0:b/>
              </ns0:rPr>
              <ns0:t xml:space="preserve">Data-flow gate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Read exfiltration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t xml:space="preserve">leak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t xml:space="preserve">leak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t xml:space="preserve">leak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rPr>
                <ns0:bCs/>
                <ns0:b/>
              </ns0:rPr>
              <ns0:t xml:space="preserve">✗ (completes)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Write only at execution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t xml:space="preserve">✓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t xml:space="preserve">✓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t xml:space="preserve">✗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rPr>
                <ns0:bCs/>
                <ns0:b/>
              </ns0:rPr>
              <ns0:t xml:space="preserve">✗</ns0:t>
            </ns0:r>
          </ns0:p>
        </ns0:tc>
      </ns0:tr>
    </ns0:tbl>
    <ns0:p>
      <ns0:pPr>
        <ns0:pStyle ns0:val="BodyText"/>
      </ns0:pPr>
      <ns0:r>
        <ns0:t xml:space="preserve">The exfiltrating read exposes the state gate’s blind spot: it changes no state, so the</ns0:t>
      </ns0:r>
      <ns0:r>
        <ns0:t xml:space="preserve"> </ns0:t>
      </ns0:r>
      <ns0:r>
        <ns0:t xml:space="preserve">state oracle calls it clean and the state gate, static and selective all let the secret</ns0:t>
      </ns0:r>
      <ns0:r>
        <ns0:t xml:space="preserve"> </ns0:t>
      </ns0:r>
      <ns0:r>
        <ns0:t xml:space="preserve">through. Confining the</ns0:t>
      </ns0:r>
      <ns0:r>
        <ns0:t xml:space="preserve"> </ns0:t>
      </ns0:r>
      <ns0:r>
        <ns0:rPr>
          <ns0:iCs/>
          <ns0:i/>
        </ns0:rPr>
        <ns0:t xml:space="preserve">outbound data flow</ns0:t>
      </ns0:r>
      <ns0:r>
        <ns0:t xml:space="preserve"> </ns0:t>
      </ns0:r>
      <ns0:r>
        <ns0:t xml:space="preserve">at execution catches it and still returns</ns0:t>
      </ns0:r>
      <ns0:r>
        <ns0:t xml:space="preserve"> </ns0:t>
      </ns0:r>
      <ns0:r>
        <ns0:t xml:space="preserve">the authorized boolean. The gates layer cleanly — data-flow ⊇ state — which is the</ns0:t>
      </ns0:r>
      <ns0:r>
        <ns0:t xml:space="preserve"> </ns0:t>
      </ns0:r>
      <ns0:r>
        <ns0:t xml:space="preserve">general point: any effect you can observe and withhold at the execution boundary</ns0:t>
      </ns0:r>
      <ns0:r>
        <ns0:t xml:space="preserve"> </ns0:t>
      </ns0:r>
      <ns0:r>
        <ns0:t xml:space="preserve">belongs in the gate, not in a preview that only predicts it. This covers explicit</ns0:t>
      </ns0:r>
      <ns0:r>
        <ns0:t xml:space="preserve"> </ns0:t>
      </ns0:r>
      <ns0:r>
        <ns0:t xml:space="preserve">payloads only; covert and implicit channels are out of scope for every arm here.</ns0:t>
      </ns0:r>
    </ns0:p>
    <ns0:p>
      <ns0:pPr>
        <ns0:pStyle ns0:val="BodyText"/>
      </ns0:pPr>
      <ns0:r>
        <ns0:rPr>
          <ns0:bCs/>
          <ns0:b/>
        </ns0:rPr>
        <ns0:t xml:space="preserve">Robustness.</ns0:t>
      </ns0:r>
      <ns0:r>
        <ns0:t xml:space="preserve"> </ns0:t>
      </ns0:r>
      <ns0:r>
        <ns0:t xml:space="preserve">The central contrasts (0 vs 3 of 6; 0 vs 8 of 12; 6 vs 0 of 6) are</ns0:t>
      </ns0:r>
      <ns0:r>
        <ns0:t xml:space="preserve"> </ns0:t>
      </ns0:r>
      <ns0:r>
        <ns0:t xml:space="preserve">deterministic under unchanged cases and reproduced in regression tests. They are</ns0:t>
      </ns0:r>
      <ns0:r>
        <ns0:t xml:space="preserve"> </ns0:t>
      </ns0:r>
      <ns0:r>
        <ns0:t xml:space="preserve">not rate estimates. The attack sets are purpose-built, which shows that each</ns0:t>
      </ns0:r>
      <ns0:r>
        <ns0:t xml:space="preserve"> </ns0:t>
      </ns0:r>
      <ns0:r>
        <ns0:t xml:space="preserve">failure mode</ns0:t>
      </ns0:r>
      <ns0:r>
        <ns0:t xml:space="preserve"> </ns0:t>
      </ns0:r>
      <ns0:r>
        <ns0:rPr>
          <ns0:iCs/>
          <ns0:i/>
        </ns0:rPr>
        <ns0:t xml:space="preserve">can</ns0:t>
      </ns0:r>
      <ns0:r>
        <ns0:t xml:space="preserve"> </ns0:t>
      </ns0:r>
      <ns0:r>
        <ns0:t xml:space="preserve">occur and that the control stops it, not how often it occurs.</ns0:t>
      </ns0:r>
      <ns0:r>
        <ns0:t xml:space="preserve"> </ns0:t>
      </ns0:r>
      <ns0:r>
        <ns0:t xml:space="preserve">The test suite and</ns0:t>
      </ns0:r>
      <ns0:r>
        <ns0:t xml:space="preserve"> </ns0:t>
      </ns0:r>
      <ns0:r>
        <ns0:rPr>
          <ns0:rStyle ns0:val="VerbatimChar"/>
        </ns0:rPr>
        <ns0:t xml:space="preserve">verify_results.py</ns0:t>
      </ns0:r>
      <ns0:r>
        <ns0:t xml:space="preserve"> </ns0:t>
      </ns0:r>
      <ns0:r>
        <ns0:t xml:space="preserve">check the local implementation and</ns0:t>
      </ns0:r>
      <ns0:r>
        <ns0:t xml:space="preserve"> </ns0:t>
      </ns0:r>
      <ns0:r>
        <ns0:t xml:space="preserve">canonical evidence. Passing them does not establish population-level security.</ns0:t>
      </ns0:r>
      <ns0:r>
        <ns0:t xml:space="preserve"> </ns0:t>
      </ns0:r>
      <ns0:r>
        <ns0:t xml:space="preserve">Later correctness review repaired existing-row preservation, rollback on rejected</ns0:t>
      </ns0:r>
      <ns0:r>
        <ns0:t xml:space="preserve"> </ns0:t>
      </ns0:r>
      <ns0:r>
        <ns0:t xml:space="preserve">output and schema-valid unapproved output. These repairs do not retroactively</ns0:t>
      </ns0:r>
      <ns0:r>
        <ns0:t xml:space="preserve"> </ns0:t>
      </ns0:r>
      <ns0:r>
        <ns0:t xml:space="preserve">strengthen the frozen experiments; their separate regressions remain in the repo.</ns0:t>
      </ns0:r>
    </ns0:p>
    <ns0:bookmarkEnd ns0:id="27"/>
    <ns0:bookmarkStart ns0:id="29" ns0:name="discussion-and-limitations"/>
    <ns0:p>
      <ns0:pPr>
        <ns0:pStyle ns0:val="Heading1"/>
      </ns0:pPr>
      <ns0:r>
        <ns0:t xml:space="preserve">5. Discussion and Limitations</ns0:t>
      </ns0:r>
    </ns0:p>
    <ns0:p>
      <ns0:pPr>
        <ns0:pStyle ns0:val="FirstParagraph"/>
      </ns0:pPr>
      <ns0:r>
        <ns0:rPr>
          <ns0:bCs/>
          <ns0:b/>
        </ns0:rPr>
        <ns0:t xml:space="preserve">Implications for containment standards.</ns0:t>
      </ns0:r>
      <ns0:r>
        <ns0:t xml:space="preserve"> </ns0:t>
      </ns0:r>
      <ns0:r>
        <ns0:t xml:space="preserve">“</ns0:t>
      </ns0:r>
      <ns0:r>
        <ns0:t xml:space="preserve">Only one permitted egress</ns0:t>
      </ns0:r>
      <ns0:r>
        <ns0:t xml:space="preserve">”</ns0:t>
      </ns0:r>
      <ns0:r>
        <ns0:t xml:space="preserve"> </ns0:t>
      </ns0:r>
      <ns0:r>
        <ns0:t xml:space="preserve">is not a</ns0:t>
      </ns0:r>
      <ns0:r>
        <ns0:t xml:space="preserve"> </ns0:t>
      </ns0:r>
      <ns0:r>
        <ns0:t xml:space="preserve">sufficient requirement. Our results support three requirements a lab could adopt</ns0:t>
      </ns0:r>
      <ns0:r>
        <ns0:t xml:space="preserve"> </ns0:t>
      </ns0:r>
      <ns0:r>
        <ns0:t xml:space="preserve">and a reviewer could check offline: (i) the permitted route checks the</ns0:t>
      </ns0:r>
      <ns0:r>
        <ns0:t xml:space="preserve"> </ns0:t>
      </ns0:r>
      <ns0:r>
        <ns0:rPr>
          <ns0:iCs/>
          <ns0:i/>
        </ns0:rPr>
        <ns0:t xml:space="preserve">exact</ns0:t>
      </ns0:r>
      <ns0:r>
        <ns0:rPr>
          <ns0:iCs/>
          <ns0:i/>
        </ns0:rPr>
        <ns0:t xml:space="preserve"> </ns0:t>
      </ns0:r>
      <ns0:r>
        <ns0:rPr>
          <ns0:iCs/>
          <ns0:i/>
        </ns0:rPr>
        <ns0:t xml:space="preserve">effect</ns0:t>
      </ns0:r>
      <ns0:r>
        <ns0:t xml:space="preserve">, meaning request, identity, one-use nonce and target, at the component that</ns0:t>
      </ns0:r>
      <ns0:r>
        <ns0:t xml:space="preserve"> </ns0:t>
      </ns0:r>
      <ns0:r>
        <ns0:t xml:space="preserve">executes it; (ii) the lab retains backend-side evidence that the actor and broker</ns0:t>
      </ns0:r>
      <ns0:r>
        <ns0:t xml:space="preserve"> </ns0:t>
      </ns0:r>
      <ns0:r>
        <ns0:t xml:space="preserve">cannot write; and (iii) any dry run or preview is treated as advisory unless an</ns0:t>
      </ns0:r>
      <ns0:r>
        <ns0:t xml:space="preserve"> </ns0:t>
      </ns0:r>
      <ns0:r>
        <ns0:t xml:space="preserve">execution-side check also constrains the effect. Appendix B turns these into</ns0:t>
      </ns0:r>
      <ns0:r>
        <ns0:t xml:space="preserve"> </ns0:t>
      </ns0:r>
      <ns0:r>
        <ns0:t xml:space="preserve">acceptance tests. The cost in our testbeds was tens of milliseconds per</ns0:t>
      </ns0:r>
      <ns0:r>
        <ns0:t xml:space="preserve"> </ns0:t>
      </ns0:r>
      <ns0:r>
        <ns0:t xml:space="preserve">action for enforcement and roughly one extra second for preview.</ns0:t>
      </ns0:r>
    </ns0:p>
    <ns0:p>
      <ns0:pPr>
        <ns0:pStyle ns0:val="BodyText"/>
      </ns0:pPr>
      <ns0:r>
        <ns0:rPr>
          <ns0:bCs/>
          <ns0:b/>
        </ns0:rPr>
        <ns0:t xml:space="preserve">What remains unresolved.</ns0:t>
      </ns0:r>
      <ns0:r>
        <ns0:t xml:space="preserve"> </ns0:t>
      </ns0:r>
      <ns0:r>
        <ns0:t xml:space="preserve">The tested state and explicit-output effects can be</ns0:t>
      </ns0:r>
      <ns0:r>
        <ns0:t xml:space="preserve"> </ns0:t>
      </ns0:r>
      <ns0:r>
        <ns0:t xml:space="preserve">checked before commit or delivery. We did not establish that preview adds value</ns0:t>
      </ns0:r>
      <ns0:r>
        <ns0:t xml:space="preserve"> </ns0:t>
      </ns0:r>
      <ns0:r>
        <ns0:t xml:space="preserve">when those execution checks are already present. A prospective comparison of</ns0:t>
      </ns0:r>
      <ns0:r>
        <ns0:t xml:space="preserve"> </ns0:t>
      </ns0:r>
      <ns0:r>
        <ns0:t xml:space="preserve">gate-only (G) against quarantine-plus-gate (QG) must hold execution enforcement</ns0:t>
      </ns0:r>
      <ns0:r>
        <ns0:t xml:space="preserve"> </ns0:t>
      </ns0:r>
      <ns0:r>
        <ns0:t xml:space="preserve">fixed and add only preview; the existing selective versus effect-gate comparison</ns0:t>
      </ns0:r>
      <ns0:r>
        <ns0:t xml:space="preserve"> </ns0:t>
      </ns0:r>
      <ns0:r>
        <ns0:t xml:space="preserve">does not do that. Independently constructed</ns0:t>
      </ns0:r>
      <ns0:r>
        <ns0:t xml:space="preserve"> </ns0:t>
      </ns0:r>
      <ns0:r>
        <ns0:t xml:space="preserve">fault families and useful-output controls are needed for a broader claim. An</ns0:t>
      </ns0:r>
      <ns0:r>
        <ns0:t xml:space="preserve"> </ns0:t>
      </ns0:r>
      <ns0:r>
        <ns0:t xml:space="preserve">irreversible effect outside a transaction is not automatically a quarantine win:</ns0:t>
      </ns0:r>
      <ns0:r>
        <ns0:t xml:space="preserve"> </ns0:t>
      </ns0:r>
      <ns0:r>
        <ns0:t xml:space="preserve">an equally informed mediator might gate its sink directly. The follow-up protocol</ns0:t>
      </ns0:r>
      <ns0:r>
        <ns0:t xml:space="preserve"> </ns0:t>
      </ns0:r>
      <ns0:r>
        <ns0:t xml:space="preserve">records this competing explanation and stops if no discriminating route exists.</ns0:t>
      </ns0:r>
      <ns0:r>
        <ns0:t xml:space="preserve"> </ns0:t>
      </ns0:r>
      <ns0:r>
        <ns0:t xml:space="preserve">No additional model search or combined-arm evaluation is reported here.</ns0:t>
      </ns0:r>
    </ns0:p>
    <ns0:p>
      <ns0:pPr>
        <ns0:pStyle ns0:val="BodyText"/>
      </ns0:pPr>
      <ns0:r>
        <ns0:rPr>
          <ns0:bCs/>
          <ns0:b/>
        </ns0:rPr>
        <ns0:t xml:space="preserve">Relation to the incident.</ns0:t>
      </ns0:r>
      <ns0:r>
        <ns0:t xml:space="preserve"> </ns0:t>
      </ns0:r>
      <ns0:r>
        <ns0:t xml:space="preserve">We did not reproduce the incident. The incident</ns0:t>
      </ns0:r>
      <ns0:r>
        <ns0:t xml:space="preserve"> </ns0:t>
      </ns0:r>
      <ns0:r>
        <ns0:t xml:space="preserve">route was compromised through a zero-day in the egress proxy itself. Our gateway is</ns0:t>
      </ns0:r>
      <ns0:r>
        <ns0:t xml:space="preserve"> </ns0:t>
      </ns0:r>
      <ns0:r>
        <ns0:t xml:space="preserve">trusted, so our controls do not stop an attacker who gains code execution inside</ns0:t>
      </ns0:r>
      <ns0:r>
        <ns0:t xml:space="preserve"> </ns0:t>
      </ns0:r>
      <ns0:r>
        <ns0:t xml:space="preserve">it. The Git and combined-architecture results point to the more robust placement:</ns0:t>
      </ns0:r>
      <ns0:r>
        <ns0:t xml:space="preserve"> </ns0:t>
      </ns0:r>
      <ns0:r>
        <ns0:t xml:space="preserve">enforce the exact effect at the receiving backend, not only in the egress process,</ns0:t>
      </ns0:r>
      <ns0:r>
        <ns0:t xml:space="preserve"> </ns0:t>
      </ns0:r>
      <ns0:r>
        <ns0:t xml:space="preserve">so that a route which passed upstream review still cannot commit an unauthorized</ns0:t>
      </ns0:r>
      <ns0:r>
        <ns0:t xml:space="preserve"> </ns0:t>
      </ns0:r>
      <ns0:r>
        <ns0:t xml:space="preserve">effect. We did not test that placement against a compromised proxy or backend.</ns0:t>
      </ns0:r>
    </ns0:p>
    <ns0:bookmarkStart ns0:id="28" ns0:name="limitations"/>
    <ns0:p>
      <ns0:pPr>
        <ns0:pStyle ns0:val="Heading3"/>
      </ns0:pPr>
      <ns0:r>
        <ns0:t xml:space="preserve">Limitations</ns0:t>
      </ns0:r>
    </ns0:p>
    <ns0:p>
      <ns0:pPr>
        <ns0:numPr>
          <ns0:ilvl ns0:val="0"/>
          <ns0:numId ns0:val="1003"/>
        </ns0:numPr>
        <ns0:pStyle ns0:val="Compact"/>
      </ns0:pPr>
      <ns0:r>
        <ns0:rPr>
          <ns0:bCs/>
          <ns0:b/>
        </ns0:rPr>
        <ns0:t xml:space="preserve">Trust boundary.</ns0:t>
      </ns0:r>
      <ns0:r>
        <ns0:t xml:space="preserve"> </ns0:t>
      </ns0:r>
      <ns0:r>
        <ns0:t xml:space="preserve">Broker, gateway, observer and backend share one host.</ns0:t>
      </ns0:r>
      <ns0:r>
        <ns0:t xml:space="preserve"> </ns0:t>
      </ns0:r>
      <ns0:r>
        <ns0:t xml:space="preserve">Receipts detect later tampering, but a source that fabricates internally</ns0:t>
      </ns0:r>
      <ns0:r>
        <ns0:t xml:space="preserve"> </ns0:t>
      </ns0:r>
      <ns0:r>
        <ns0:t xml:space="preserve">consistent evidence from the start passes validation (a retained negative test).</ns0:t>
      </ns0:r>
    </ns0:p>
    <ns0:p>
      <ns0:pPr>
        <ns0:numPr>
          <ns0:ilvl ns0:val="0"/>
          <ns0:numId ns0:val="1003"/>
        </ns0:numPr>
        <ns0:pStyle ns0:val="Compact"/>
      </ns0:pPr>
      <ns0:r>
        <ns0:rPr>
          <ns0:bCs/>
          <ns0:b/>
        </ns0:rPr>
        <ns0:t xml:space="preserve">Scope.</ns0:t>
      </ns0:r>
      <ns0:r>
        <ns0:t xml:space="preserve"> </ns0:t>
      </ns0:r>
      <ns0:r>
        <ns0:t xml:space="preserve">Protection covers refs, issues and declared state in synthetic twins.</ns0:t>
      </ns0:r>
      <ns0:r>
        <ns0:t xml:space="preserve"> </ns0:t>
      </ns0:r>
      <ns0:r>
        <ns0:t xml:space="preserve">It does not cover object uploads before pre-receive, resource exhaustion, covert</ns0:t>
      </ns0:r>
      <ns0:r>
        <ns0:t xml:space="preserve"> </ns0:t>
      </ns0:r>
      <ns0:r>
        <ns0:t xml:space="preserve">channels, arbitrary malicious tool code, kernel escapes or multi-host deployments.</ns0:t>
      </ns0:r>
    </ns0:p>
    <ns0:p>
      <ns0:pPr>
        <ns0:numPr>
          <ns0:ilvl ns0:val="0"/>
          <ns0:numId ns0:val="1003"/>
        </ns0:numPr>
        <ns0:pStyle ns0:val="Compact"/>
      </ns0:pPr>
      <ns0:r>
        <ns0:rPr>
          <ns0:bCs/>
          <ns0:b/>
        </ns0:rPr>
        <ns0:t xml:space="preserve">Fidelity.</ns0:t>
      </ns0:r>
      <ns0:r>
        <ns0:t xml:space="preserve"> </ns0:t>
      </ns0:r>
      <ns0:r>
        <ns0:t xml:space="preserve">Neither twin provider supports exact state restore. Arga</ns0:t>
      </ns0:r>
      <ns0:r>
        <ns0:t xml:space="preserve"> </ns0:t>
      </ns0:r>
      <ns0:r>
        <ns0:t xml:space="preserve">equivalence was checked only for issue and access state.</ns0:t>
      </ns0:r>
    </ns0:p>
    <ns0:p>
      <ns0:pPr>
        <ns0:numPr>
          <ns0:ilvl ns0:val="0"/>
          <ns0:numId ns0:val="1003"/>
        </ns0:numPr>
        <ns0:pStyle ns0:val="Compact"/>
      </ns0:pPr>
      <ns0:r>
        <ns0:rPr>
          <ns0:bCs/>
          <ns0:b/>
        </ns0:rPr>
        <ns0:t xml:space="preserve">Sample.</ns0:t>
      </ns0:r>
      <ns0:r>
        <ns0:t xml:space="preserve"> </ns0:t>
      </ns0:r>
      <ns0:r>
        <ns0:t xml:space="preserve">Constructed, deterministic, small scenario sets. Model-attacker</ns0:t>
      </ns0:r>
      <ns0:r>
        <ns0:t xml:space="preserve"> </ns0:t>
      </ns0:r>
      <ns0:r>
        <ns0:t xml:space="preserve">pilots were incomplete or had inadequate coverage. H27 found an availability</ns0:t>
      </ns0:r>
      <ns0:r>
        <ns0:t xml:space="preserve"> </ns0:t>
      </ns0:r>
      <ns0:r>
        <ns0:t xml:space="preserve">failure; the repaired-gate study stopped before final evaluation. Realistic</ns0:t>
      </ns0:r>
      <ns0:r>
        <ns0:t xml:space="preserve"> </ns0:t>
      </ns0:r>
      <ns0:r>
        <ns0:t xml:space="preserve">AI-attacker resistance remains unestablished.</ns0:t>
      </ns0:r>
    </ns0:p>
    <ns0:p>
      <ns0:pPr>
        <ns0:numPr>
          <ns0:ilvl ns0:val="0"/>
          <ns0:numId ns0:val="1003"/>
        </ns0:numPr>
        <ns0:pStyle ns0:val="Compact"/>
      </ns0:pPr>
      <ns0:r>
        <ns0:rPr>
          <ns0:bCs/>
          <ns0:b/>
        </ns0:rPr>
        <ns0:t xml:space="preserve">Hypothesis status.</ns0:t>
      </ns0:r>
      <ns0:r>
        <ns0:t xml:space="preserve"> </ns0:t>
      </ns0:r>
      <ns0:r>
        <ns0:t xml:space="preserve">The weak-baseline part is supported. The claim that</ns0:t>
      </ns0:r>
      <ns0:r>
        <ns0:t xml:space="preserve"> </ns0:t>
      </ns0:r>
      <ns0:r>
        <ns0:rPr>
          <ns0:iCs/>
          <ns0:i/>
        </ns0:rPr>
        <ns0:t xml:space="preserve">quarantine</ns0:t>
      </ns0:r>
      <ns0:r>
        <ns0:t xml:space="preserve"> </ns0:t>
      </ns0:r>
      <ns0:r>
        <ns0:t xml:space="preserve">adds prevention over equally informed static enforcement is</ns0:t>
      </ns0:r>
      <ns0:r>
        <ns0:t xml:space="preserve"> </ns0:t>
      </ns0:r>
      <ns0:r>
        <ns0:t xml:space="preserve">conditional and unestablished. Our integrated real-backend workflow ran with an</ns0:t>
      </ns0:r>
      <ns0:r>
        <ns0:t xml:space="preserve"> </ns0:t>
      </ns0:r>
      <ns0:r>
        <ns0:t xml:space="preserve">explicit hold instead of a real preview.</ns0:t>
      </ns0:r>
    </ns0:p>
    <ns0:bookmarkEnd ns0:id="28"/>
    <ns0:bookmarkEnd ns0:id="29"/>
    <ns0:bookmarkStart ns0:id="30" ns0:name="conclusion"/>
    <ns0:p>
      <ns0:pPr>
        <ns0:pStyle ns0:val="Heading1"/>
      </ns0:pPr>
      <ns0:r>
        <ns0:t xml:space="preserve">6. Conclusion</ns0:t>
      </ns0:r>
    </ns0:p>
    <ns0:p>
      <ns0:pPr>
        <ns0:pStyle ns0:val="FirstParagraph"/>
      </ns0:pPr>
      <ns0:r>
        <ns0:t xml:space="preserve">Containment that names a permitted route but not the effects allowed through it is</ns0:t>
      </ns0:r>
      <ns0:r>
        <ns0:t xml:space="preserve"> </ns0:t>
      </ns0:r>
      <ns0:r>
        <ns0:t xml:space="preserve">hard to verify and easy to misuse. On two execution paths, native Git and an</ns0:t>
      </ns0:r>
      <ns0:r>
        <ns0:t xml:space="preserve"> </ns0:t>
      </ns0:r>
      <ns0:r>
        <ns0:t xml:space="preserve">isolated HTTP gateway, checking exact authority where the effect executes prevented every tested violation that an</ns0:t>
      </ns0:r>
      <ns0:r>
        <ns0:t xml:space="preserve"> </ns0:t>
      </ns0:r>
      <ns0:r>
        <ns0:t xml:space="preserve">equally informed upstream check missed, without costing benign completion. Evidence</ns0:t>
      </ns0:r>
      <ns0:r>
        <ns0:t xml:space="preserve"> </ns0:t>
      </ns0:r>
      <ns0:r>
        <ns0:t xml:space="preserve">taken from the backend exposed every executed mismatch that intent and gate logs</ns0:t>
      </ns0:r>
      <ns0:r>
        <ns0:t xml:space="preserve"> </ns0:t>
      </ns0:r>
      <ns0:r>
        <ns0:t xml:space="preserve">concealed.</ns0:t>
      </ns0:r>
    </ns0:p>
    <ns0:p>
      <ns0:pPr>
        <ns0:pStyle ns0:val="BodyText"/>
      </ns0:pPr>
      <ns0:r>
        <ns0:t xml:space="preserve">Preview-based quarantine prevented only faults its preview reproduced. The</ns0:t>
      </ns0:r>
      <ns0:r>
        <ns0:t xml:space="preserve"> </ns0:t>
      </ns0:r>
      <ns0:r>
        <ns0:t xml:space="preserve">execution-time state and output gates prevented the specified execution-only</ns0:t>
      </ns0:r>
      <ns0:r>
        <ns0:t xml:space="preserve"> </ns0:t>
      </ns0:r>
      <ns0:r>
        <ns0:t xml:space="preserve">fixtures, with later correctness repairs retained separately. These results support</ns0:t>
      </ns0:r>
      <ns0:r>
        <ns0:t xml:space="preserve"> </ns0:t>
      </ns0:r>
      <ns0:r>
        <ns0:t xml:space="preserve">execution-side checks and independent evidence; they do not establish general gate</ns0:t>
      </ns0:r>
      <ns0:r>
        <ns0:t xml:space="preserve"> </ns0:t>
      </ns0:r>
      <ns0:r>
        <ns0:t xml:space="preserve">superiority or justify treating a clean preview as proof of safety. Independent</ns0:t>
      </ns0:r>
      <ns0:r>
        <ns0:t xml:space="preserve"> </ns0:t>
      </ns0:r>
      <ns0:r>
        <ns0:t xml:space="preserve">reproduction and an adoption-cost assessment remain necessary.</ns0:t>
      </ns0:r>
    </ns0:p>
    <ns0:bookmarkEnd ns0:id="30"/>
    <ns0:bookmarkStart ns0:id="32" ns0:name="code-and-data"/>
    <ns0:p>
      <ns0:pPr>
        <ns0:pStyle ns0:val="Heading1"/>
      </ns0:pPr>
      <ns0:r>
        <ns0:t xml:space="preserve">Code and Data</ns0:t>
      </ns0:r>
    </ns0:p>
    <ns0:p>
      <ns0:pPr>
        <ns0:numPr>
          <ns0:ilvl ns0:val="0"/>
          <ns0:numId ns0:val="1004"/>
        </ns0:numPr>
        <ns0:pStyle ns0:val="Compact"/>
      </ns0:pPr>
      <ns0:r>
        <ns0:rPr>
          <ns0:bCs/>
          <ns0:b/>
        </ns0:rPr>
        <ns0:t xml:space="preserve">Artifact snapshot:</ns0:t>
      </ns0:r>
      <ns0:r>
        <ns0:t xml:space="preserve"> </ns0:t>
      </ns0:r>
      <ns0:r>
        <ns0:rPr>
          <ns0:rStyle ns0:val="VerbatimChar"/>
        </ns0:rPr>
        <ns0:t xml:space="preserve">effect-bound-containment-submission.tar.gz</ns0:t>
      </ns0:r>
      <ns0:r>
        <ns0:t xml:space="preserve"> </ns0:t>
      </ns0:r>
      <ns0:r>
        <ns0:t xml:space="preserve">contains</ns0:t>
      </ns0:r>
      <ns0:r>
        <ns0:t xml:space="preserve"> </ns0:t>
      </ns0:r>
      <ns0:r>
        <ns0:t xml:space="preserve">the current code, reports and evidence, with a SHA-256 file manifest. Supply it</ns0:t>
      </ns0:r>
      <ns0:r>
        <ns0:t xml:space="preserve"> </ns0:t>
      </ns0:r>
      <ns0:r>
        <ns0:t xml:space="preserve">alongside this PDF. The public</ns0:t>
      </ns0:r>
      <ns0:r>
        <ns0:t xml:space="preserve"> </ns0:t>
      </ns0:r>
      <ns0:hyperlink ns4:id="rId31">
        <ns0:r>
          <ns0:rPr>
            <ns0:rStyle ns0:val="Hyperlink"/>
          </ns0:rPr>
          <ns0:t xml:space="preserve">repository</ns0:t>
        </ns0:r>
      </ns0:hyperlink>
      <ns0:r>
        <ns0:t xml:space="preserve"> </ns0:t>
      </ns0:r>
      <ns0:r>
        <ns0:t xml:space="preserve">is an earlier revision and does not contain all repairs in this report.</ns0:t>
      </ns0:r>
      <ns0:r>
        <ns0:t xml:space="preserve"> </ns0:t>
      </ns0:r>
      <ns0:r>
        <ns0:t xml:space="preserve">Code is MIT; reports, protocols and results are CC BY 4.0.</ns0:t>
      </ns0:r>
    </ns0:p>
    <ns0:p>
      <ns0:pPr>
        <ns0:numPr>
          <ns0:ilvl ns0:val="0"/>
          <ns0:numId ns0:val="1004"/>
        </ns0:numPr>
        <ns0:pStyle ns0:val="Compact"/>
      </ns0:pPr>
      <ns0:r>
        <ns0:rPr>
          <ns0:bCs/>
          <ns0:b/>
        </ns0:rPr>
        <ns0:t xml:space="preserve">Data:</ns0:t>
      </ns0:r>
      <ns0:r>
        <ns0:t xml:space="preserve"> </ns0:t>
      </ns0:r>
      <ns0:r>
        <ns0:t xml:space="preserve">every run, including failed prerequisites and unrun cells, with hashed</ns0:t>
      </ns0:r>
      <ns0:r>
        <ns0:t xml:space="preserve"> </ns0:t>
      </ns0:r>
      <ns0:r>
        <ns0:t xml:space="preserve">receipts under</ns0:t>
      </ns0:r>
      <ns0:r>
        <ns0:t xml:space="preserve"> </ns0:t>
      </ns0:r>
      <ns0:r>
        <ns0:rPr>
          <ns0:rStyle ns0:val="VerbatimChar"/>
        </ns0:rPr>
        <ns0:t xml:space="preserve">results/</ns0:t>
      </ns0:r>
      <ns0:r>
        <ns0:t xml:space="preserve"> </ns0:t>
      </ns0:r>
      <ns0:r>
        <ns0:t xml:space="preserve">(the combined-architecture study is</ns0:t>
      </ns0:r>
      <ns0:r>
        <ns0:t xml:space="preserve"> </ns0:t>
      </ns0:r>
      <ns0:r>
        <ns0:rPr>
          <ns0:rStyle ns0:val="VerbatimChar"/>
        </ns0:rPr>
        <ns0:t xml:space="preserve">results/combined-gate-v1</ns0:t>
      </ns0:r>
      <ns0:r>
        <ns0:t xml:space="preserve">, the data-flow study</ns0:t>
      </ns0:r>
      <ns0:r>
        <ns0:t xml:space="preserve"> </ns0:t>
      </ns0:r>
      <ns0:r>
        <ns0:rPr>
          <ns0:rStyle ns0:val="VerbatimChar"/>
        </ns0:rPr>
        <ns0:t xml:space="preserve">results/dataflow-gate-v1</ns0:t>
      </ns0:r>
      <ns0:r>
        <ns0:t xml:space="preserve">). Hypotheses H1–H34 and their predeclared protocols are</ns0:t>
      </ns0:r>
      <ns0:r>
        <ns0:t xml:space="preserve"> </ns0:t>
      </ns0:r>
      <ns0:r>
        <ns0:t xml:space="preserve">in</ns0:t>
      </ns0:r>
      <ns0:r>
        <ns0:t xml:space="preserve"> </ns0:t>
      </ns0:r>
      <ns0:r>
        <ns0:rPr>
          <ns0:rStyle ns0:val="VerbatimChar"/>
        </ns0:rPr>
        <ns0:t xml:space="preserve">hypotheses.md</ns0:t>
      </ns0:r>
      <ns0:r>
        <ns0:t xml:space="preserve">.</ns0:t>
      </ns0:r>
    </ns0:p>
    <ns0:p>
      <ns0:pPr>
        <ns0:numPr>
          <ns0:ilvl ns0:val="0"/>
          <ns0:numId ns0:val="1004"/>
        </ns0:numPr>
        <ns0:pStyle ns0:val="Compact"/>
      </ns0:pPr>
      <ns0:r>
        <ns0:rPr>
          <ns0:bCs/>
          <ns0:b/>
        </ns0:rPr>
        <ns0:t xml:space="preserve">Reviewer procedure:</ns0:t>
      </ns0:r>
      <ns0:r>
        <ns0:t xml:space="preserve"> </ns0:t>
      </ns0:r>
      <ns0:r>
        <ns0:rPr>
          <ns0:rStyle ns0:val="VerbatimChar"/>
        </ns0:rPr>
        <ns0:t xml:space="preserve">report/README.md#offline-reviewer-procedure</ns0:t>
      </ns0:r>
      <ns0:r>
        <ns0:t xml:space="preserve">. No</ns0:t>
      </ns0:r>
      <ns0:r>
        <ns0:t xml:space="preserve"> </ns0:t>
      </ns0:r>
      <ns0:r>
        <ns0:t xml:space="preserve">accounts, API keys or hosted services are required.</ns0:t>
      </ns0:r>
    </ns0:p>
    <ns0:p>
      <ns0:pPr>
        <ns0:numPr>
          <ns0:ilvl ns0:val="0"/>
          <ns0:numId ns0:val="1004"/>
        </ns0:numPr>
        <ns0:pStyle ns0:val="Compact"/>
      </ns0:pPr>
      <ns0:r>
        <ns0:rPr>
          <ns0:bCs/>
          <ns0:b/>
        </ns0:rPr>
        <ns0:t xml:space="preserve">Info-hazard note:</ns0:t>
      </ns0:r>
      <ns0:r>
        <ns0:t xml:space="preserve"> </ns0:t>
      </ns0:r>
      <ns0:r>
        <ns0:t xml:space="preserve">the attack fixtures illustrate generic authorization</ns0:t>
      </ns0:r>
      <ns0:r>
        <ns0:t xml:space="preserve"> </ns0:t>
      </ns0:r>
      <ns0:r>
        <ns0:t xml:space="preserve">weaknesses against owned synthetic services and contain no exploit for any real</ns0:t>
      </ns0:r>
      <ns0:r>
        <ns0:t xml:space="preserve"> </ns0:t>
      </ns0:r>
      <ns0:r>
        <ns0:t xml:space="preserve">system (Appendix A).</ns0:t>
      </ns0:r>
    </ns0:p>
    <ns0:bookmarkEnd ns0:id="32"/>
    <ns0:bookmarkStart ns0:id="33" ns0:name="author-contributions"/>
    <ns0:p>
      <ns0:pPr>
        <ns0:pStyle ns0:val="Heading1"/>
      </ns0:pPr>
      <ns0:r>
        <ns0:t xml:space="preserve">Author Contributions</ns0:t>
      </ns0:r>
    </ns0:p>
    <ns0:p>
      <ns0:pPr>
        <ns0:pStyle ns0:val="FirstParagraph"/>
      </ns0:pPr>
      <ns0:r>
        <ns0:t xml:space="preserve">Aditya Pratap Singh directed the project and requested experiments, reviews and</ns0:t>
      </ns0:r>
      <ns0:r>
        <ns0:t xml:space="preserve"> </ns0:t>
      </ns0:r>
      <ns0:r>
        <ns0:t xml:space="preserve">revisions. AI coding assistants implemented the harness, ran checks and drafted</ns0:t>
      </ns0:r>
      <ns0:r>
        <ns0:t xml:space="preserve"> </ns0:t>
      </ns0:r>
      <ns0:r>
        <ns0:t xml:space="preserve">the report. The extent of personal claim review is recorded in the LLM Usage Statement.</ns0:t>
      </ns0:r>
    </ns0:p>
    <ns0:bookmarkEnd ns0:id="33"/>
    <ns0:bookmarkStart ns0:id="44" ns0:name="references"/>
    <ns0:p>
      <ns0:pPr>
        <ns0:pStyle ns0:val="Heading1"/>
      </ns0:pPr>
      <ns0:r>
        <ns0:t xml:space="preserve">References</ns0:t>
      </ns0:r>
    </ns0:p>
    <ns0:p>
      <ns0:pPr>
        <ns0:numPr>
          <ns0:ilvl ns0:val="0"/>
          <ns0:numId ns0:val="1005"/>
        </ns0:numPr>
        <ns0:pStyle ns0:val="Compact"/>
      </ns0:pPr>
      <ns0:r>
        <ns0:t xml:space="preserve">Saltzer, J. H., &amp; Schroeder, M. D. (1975). The protection of information in computer systems.</ns0:t>
      </ns0:r>
      <ns0:r>
        <ns0:t xml:space="preserve"> </ns0:t>
      </ns0:r>
      <ns0:r>
        <ns0:rPr>
          <ns0:iCs/>
          <ns0:i/>
        </ns0:rPr>
        <ns0:t xml:space="preserve">Proceedings of the IEEE</ns0:t>
      </ns0:r>
      <ns0:r>
        <ns0:t xml:space="preserve">, 63(9).</ns0:t>
      </ns0:r>
      <ns0:r>
        <ns0:t xml:space="preserve"> </ns0:t>
      </ns0:r>
      <ns0:hyperlink ns4:id="rId34">
        <ns0:r>
          <ns0:rPr>
            <ns0:rStyle ns0:val="Hyperlink"/>
          </ns0:rPr>
          <ns0:t xml:space="preserve">https://web.mit.edu/Saltzer/www/publications/protection/</ns0:t>
        </ns0:r>
      </ns0:hyperlink>
    </ns0:p>
    <ns0:p>
      <ns0:pPr>
        <ns0:numPr>
          <ns0:ilvl ns0:val="0"/>
          <ns0:numId ns0:val="1005"/>
        </ns0:numPr>
        <ns0:pStyle ns0:val="Compact"/>
      </ns0:pPr>
      <ns0:r>
        <ns0:t xml:space="preserve">Hardy, N. (1988). The confused deputy.</ns0:t>
      </ns0:r>
      <ns0:r>
        <ns0:t xml:space="preserve"> </ns0:t>
      </ns0:r>
      <ns0:r>
        <ns0:rPr>
          <ns0:iCs/>
          <ns0:i/>
        </ns0:rPr>
        <ns0:t xml:space="preserve">ACM SIGOPS Operating Systems Review</ns0:t>
      </ns0:r>
      <ns0:r>
        <ns0:t xml:space="preserve">, 22(4).</ns0:t>
      </ns0:r>
      <ns0:r>
        <ns0:t xml:space="preserve"> </ns0:t>
      </ns0:r>
      <ns0:hyperlink ns4:id="rId35">
        <ns0:r>
          <ns0:rPr>
            <ns0:rStyle ns0:val="Hyperlink"/>
          </ns0:rPr>
          <ns0:t xml:space="preserve">https://doi.org/10.1145/54289.871709</ns0:t>
        </ns0:r>
      </ns0:hyperlink>
    </ns0:p>
    <ns0:p>
      <ns0:pPr>
        <ns0:numPr>
          <ns0:ilvl ns0:val="0"/>
          <ns0:numId ns0:val="1005"/>
        </ns0:numPr>
        <ns0:pStyle ns0:val="Compact"/>
      </ns0:pPr>
      <ns0:r>
        <ns0:t xml:space="preserve">Greenblatt, R., Shlegeris, B., Sachan, K., &amp; Roger, F. (2023). AI control: Improving safety despite intentional subversion. arXiv:2312.06942.</ns0:t>
      </ns0:r>
      <ns0:r>
        <ns0:t xml:space="preserve"> </ns0:t>
      </ns0:r>
      <ns0:hyperlink ns4:id="rId36">
        <ns0:r>
          <ns0:rPr>
            <ns0:rStyle ns0:val="Hyperlink"/>
          </ns0:rPr>
          <ns0:t xml:space="preserve">https://arxiv.org/abs/2312.06942</ns0:t>
        </ns0:r>
      </ns0:hyperlink>
    </ns0:p>
    <ns0:p>
      <ns0:pPr>
        <ns0:numPr>
          <ns0:ilvl ns0:val="0"/>
          <ns0:numId ns0:val="1005"/>
        </ns0:numPr>
        <ns0:pStyle ns0:val="Compact"/>
      </ns0:pPr>
      <ns0:r>
        <ns0:t xml:space="preserve">Debenedetti, E., et al. (2024). AgentDojo: A dynamic environment to evaluate prompt injection attacks and defenses for LLM agents. arXiv:2406.13352.</ns0:t>
      </ns0:r>
      <ns0:r>
        <ns0:t xml:space="preserve"> </ns0:t>
      </ns0:r>
      <ns0:hyperlink ns4:id="rId37">
        <ns0:r>
          <ns0:rPr>
            <ns0:rStyle ns0:val="Hyperlink"/>
          </ns0:rPr>
          <ns0:t xml:space="preserve">https://arxiv.org/abs/2406.13352</ns0:t>
        </ns0:r>
      </ns0:hyperlink>
    </ns0:p>
    <ns0:p>
      <ns0:pPr>
        <ns0:numPr>
          <ns0:ilvl ns0:val="0"/>
          <ns0:numId ns0:val="1005"/>
        </ns0:numPr>
        <ns0:pStyle ns0:val="Compact"/>
      </ns0:pPr>
      <ns0:r>
        <ns0:t xml:space="preserve">Debenedetti, E., et al. (2025). Defeating prompt injections by design. arXiv:2503.18813.</ns0:t>
      </ns0:r>
      <ns0:r>
        <ns0:t xml:space="preserve"> </ns0:t>
      </ns0:r>
      <ns0:hyperlink ns4:id="rId38">
        <ns0:r>
          <ns0:rPr>
            <ns0:rStyle ns0:val="Hyperlink"/>
          </ns0:rPr>
          <ns0:t xml:space="preserve">https://arxiv.org/abs/2503.18813</ns0:t>
        </ns0:r>
      </ns0:hyperlink>
    </ns0:p>
    <ns0:p>
      <ns0:pPr>
        <ns0:numPr>
          <ns0:ilvl ns0:val="0"/>
          <ns0:numId ns0:val="1005"/>
        </ns0:numPr>
        <ns0:pStyle ns0:val="Compact"/>
      </ns0:pPr>
      <ns0:r>
        <ns0:t xml:space="preserve">Pome contributors. Digital Twins (CLI 0.43.0).</ns0:t>
      </ns0:r>
      <ns0:r>
        <ns0:t xml:space="preserve"> </ns0:t>
      </ns0:r>
      <ns0:hyperlink ns4:id="rId39">
        <ns0:r>
          <ns0:rPr>
            <ns0:rStyle ns0:val="Hyperlink"/>
          </ns0:rPr>
          <ns0:t xml:space="preserve">https://github.com/pome-sh/digital-twins</ns0:t>
        </ns0:r>
      </ns0:hyperlink>
    </ns0:p>
    <ns0:p>
      <ns0:pPr>
        <ns0:numPr>
          <ns0:ilvl ns0:val="0"/>
          <ns0:numId ns0:val="1005"/>
        </ns0:numPr>
        <ns0:pStyle ns0:val="Compact"/>
      </ns0:pPr>
      <ns0:r>
        <ns0:t xml:space="preserve">Git project. githooks: pre-receive (Git 2.43.0).</ns0:t>
      </ns0:r>
      <ns0:r>
        <ns0:t xml:space="preserve"> </ns0:t>
      </ns0:r>
      <ns0:hyperlink ns4:id="rId40">
        <ns0:r>
          <ns0:rPr>
            <ns0:rStyle ns0:val="Hyperlink"/>
          </ns0:rPr>
          <ns0:t xml:space="preserve">https://git-scm.com/docs/githooks/2.43.0#_pre_receive</ns0:t>
        </ns0:r>
      </ns0:hyperlink>
    </ns0:p>
    <ns0:p>
      <ns0:pPr>
        <ns0:numPr>
          <ns0:ilvl ns0:val="0"/>
          <ns0:numId ns0:val="1005"/>
        </ns0:numPr>
        <ns0:pStyle ns0:val="Compact"/>
      </ns0:pPr>
      <ns0:r>
        <ns0:t xml:space="preserve">Apart Research (2026). AI Incident Response Sprint, 11–13 September 2026.</ns0:t>
      </ns0:r>
      <ns0:r>
        <ns0:t xml:space="preserve"> </ns0:t>
      </ns0:r>
      <ns0:hyperlink ns4:id="rId41">
        <ns0:r>
          <ns0:rPr>
            <ns0:rStyle ns0:val="Hyperlink"/>
          </ns0:rPr>
          <ns0:t xml:space="preserve">https://apartresearch.com/sprints/ai-incident-response-sprint-2026-09-11-to-2026-09-13</ns0:t>
        </ns0:r>
      </ns0:hyperlink>
    </ns0:p>
    <ns0:p>
      <ns0:pPr>
        <ns0:numPr>
          <ns0:ilvl ns0:val="0"/>
          <ns0:numId ns0:val="1005"/>
        </ns0:numPr>
        <ns0:pStyle ns0:val="Compact"/>
      </ns0:pPr>
      <ns0:r>
        <ns0:t xml:space="preserve">Arga Labs. Digital twins documentation: GitHub twin reference.</ns0:t>
      </ns0:r>
      <ns0:r>
        <ns0:t xml:space="preserve"> </ns0:t>
      </ns0:r>
      <ns0:hyperlink ns4:id="rId42">
        <ns0:r>
          <ns0:rPr>
            <ns0:rStyle ns0:val="Hyperlink"/>
          </ns0:rPr>
          <ns0:t xml:space="preserve">https://docs.argalabs.com/concepts/twin-reference#github</ns0:t>
        </ns0:r>
      </ns0:hyperlink>
    </ns0:p>
    <ns0:p>
      <ns0:pPr>
        <ns0:numPr>
          <ns0:ilvl ns0:val="0"/>
          <ns0:numId ns0:val="1005"/>
        </ns0:numPr>
        <ns0:pStyle ns0:val="Compact"/>
      </ns0:pPr>
      <ns0:r>
        <ns0:t xml:space="preserve">Bubblewrap contributors. Bubblewrap 0.9.0: unprivileged sandboxing tool.</ns0:t>
      </ns0:r>
      <ns0:r>
        <ns0:t xml:space="preserve"> </ns0:t>
      </ns0:r>
      <ns0:hyperlink ns4:id="rId43">
        <ns0:r>
          <ns0:rPr>
            <ns0:rStyle ns0:val="Hyperlink"/>
          </ns0:rPr>
          <ns0:t xml:space="preserve">https://github.com/containers/bubblewrap</ns0:t>
        </ns0:r>
      </ns0:hyperlink>
    </ns0:p>
    <ns0:bookmarkEnd ns0:id="44"/>
    <ns0:bookmarkStart ns0:id="45" ns0:name="Xb7636c5bf483cd88791f5b39f0aeba897914c9d"/>
    <ns0:p>
      <ns0:pPr>
        <ns0:pStyle ns0:val="Heading1"/>
      </ns0:pPr>
      <ns0:r>
        <ns0:t xml:space="preserve">Appendix A. Limitations and Dual-Use Considerations</ns0:t>
      </ns0:r>
    </ns0:p>
    <ns0:p>
      <ns0:pPr>
        <ns0:pStyle ns0:val="FirstParagraph"/>
      </ns0:pPr>
      <ns0:r>
        <ns0:rPr>
          <ns0:bCs/>
          <ns0:b/>
        </ns0:rPr>
        <ns0:t xml:space="preserve">Assumptions and what breaks if they fail.</ns0:t>
      </ns0:r>
      <ns0:r>
        <ns0:t xml:space="preserve"> </ns0:t>
      </ns0:r>
      <ns0:r>
        <ns0:t xml:space="preserve">(1)</ns0:t>
      </ns0:r>
      <ns0:r>
        <ns0:t xml:space="preserve"> </ns0:t>
      </ns0:r>
      <ns0:r>
        <ns0:rPr>
          <ns0:iCs/>
          <ns0:i/>
        </ns0:rPr>
        <ns0:t xml:space="preserve">Trusted enforcement point.</ns0:t>
      </ns0:r>
      <ns0:r>
        <ns0:t xml:space="preserve"> </ns0:t>
      </ns0:r>
      <ns0:r>
        <ns0:t xml:space="preserve">If</ns0:t>
      </ns0:r>
      <ns0:r>
        <ns0:t xml:space="preserve"> </ns0:t>
      </ns0:r>
      <ns0:r>
        <ns0:t xml:space="preserve">the gateway or hook is compromised, Tables 1–2 say nothing about prevention. Only</ns0:t>
      </ns0:r>
      <ns0:r>
        <ns0:t xml:space="preserve"> </ns0:t>
      </ns0:r>
      <ns0:r>
        <ns0:t xml:space="preserve">backend-side evidence remains useful, and only if it is stored off-host. (2)</ns0:t>
      </ns0:r>
      <ns0:r>
        <ns0:t xml:space="preserve"> </ns0:t>
      </ns0:r>
      <ns0:r>
        <ns0:rPr>
          <ns0:iCs/>
          <ns0:i/>
        </ns0:rPr>
        <ns0:t xml:space="preserve">Trusted backend and observer.</ns0:t>
      </ns0:r>
      <ns0:r>
        <ns0:t xml:space="preserve"> </ns0:t>
      </ns0:r>
      <ns0:r>
        <ns0:t xml:space="preserve">If the backend lies consistently from its first</ns0:t>
      </ns0:r>
      <ns0:r>
        <ns0:t xml:space="preserve"> </ns0:t>
      </ns0:r>
      <ns0:r>
        <ns0:t xml:space="preserve">record, Table 3 detection fails. Receipts protect only against later alteration.</ns0:t>
      </ns0:r>
      <ns0:r>
        <ns0:t xml:space="preserve"> </ns0:t>
      </ns0:r>
      <ns0:r>
        <ns0:t xml:space="preserve">(3)</ns0:t>
      </ns0:r>
      <ns0:r>
        <ns0:t xml:space="preserve"> </ns0:t>
      </ns0:r>
      <ns0:r>
        <ns0:rPr>
          <ns0:iCs/>
          <ns0:i/>
        </ns0:rPr>
        <ns0:t xml:space="preserve">Sole route.</ns0:t>
      </ns0:r>
      <ns0:r>
        <ns0:t xml:space="preserve"> </ns0:t>
      </ns0:r>
      <ns0:r>
        <ns0:t xml:space="preserve">If any credential or network path bypasses the gateway, exact</ns0:t>
      </ns0:r>
      <ns0:r>
        <ns0:t xml:space="preserve"> </ns0:t>
      </ns0:r>
      <ns0:r>
        <ns0:t xml:space="preserve">authority is moot. Without OS isolation, our boundary audit showed a same-user</ns0:t>
      </ns0:r>
      <ns0:r>
        <ns0:t xml:space="preserve"> </ns0:t>
      </ns0:r>
      <ns0:r>
        <ns0:t xml:space="preserve">process reading a fixture credential and bypassing the broker. (4)</ns0:t>
      </ns0:r>
      <ns0:r>
        <ns0:t xml:space="preserve"> </ns0:t>
      </ns0:r>
      <ns0:r>
        <ns0:rPr>
          <ns0:iCs/>
          <ns0:i/>
        </ns0:rPr>
        <ns0:t xml:space="preserve">Preview</ns0:t>
      </ns0:r>
      <ns0:r>
        <ns0:rPr>
          <ns0:iCs/>
          <ns0:i/>
        </ns0:rPr>
        <ns0:t xml:space="preserve"> </ns0:t>
      </ns0:r>
      <ns0:r>
        <ns0:rPr>
          <ns0:iCs/>
          <ns0:i/>
        </ns0:rPr>
        <ns0:t xml:space="preserve">fidelity.</ns0:t>
      </ns0:r>
      <ns0:r>
        <ns0:t xml:space="preserve"> </ns0:t>
      </ns0:r>
      <ns0:r>
        <ns0:t xml:space="preserve">If execution behavior differs from preview, selective release admits the</ns0:t>
      </ns0:r>
      <ns0:r>
        <ns0:t xml:space="preserve"> </ns0:t>
      </ns0:r>
      <ns0:r>
        <ns0:t xml:space="preserve">effect (Table 4).</ns0:t>
      </ns0:r>
    </ns0:p>
    <ns0:p>
      <ns0:pPr>
        <ns0:pStyle ns0:val="BodyText"/>
      </ns0:pPr>
      <ns0:r>
        <ns0:rPr>
          <ns0:bCs/>
          <ns0:b/>
        </ns0:rPr>
        <ns0:t xml:space="preserve">Method limits.</ns0:t>
      </ns0:r>
      <ns0:r>
        <ns0:t xml:space="preserve"> </ns0:t>
      </ns0:r>
      <ns0:r>
        <ns0:t xml:space="preserve">Deterministic, constructed cases; small scenario diversity;</ns0:t>
      </ns0:r>
      <ns0:r>
        <ns0:t xml:space="preserve"> </ns0:t>
      </ns0:r>
      <ns0:r>
        <ns0:t xml:space="preserve">shared implementation authors for harness and scorer; same-host timing; Pome</ns0:t>
      </ns0:r>
      <ns0:r>
        <ns0:t xml:space="preserve"> </ns0:t>
      </ns0:r>
      <ns0:r>
        <ns0:t xml:space="preserve">tape and state are separate, non-atomic reads. Model pilots were budget-limited,</ns0:t>
      </ns0:r>
      <ns0:r>
        <ns0:t xml:space="preserve"> </ns0:t>
      </ns0:r>
      <ns0:r>
        <ns0:t xml:space="preserve">and one (H27) stopped at 3/18 cells when hosted quota ran out.</ns0:t>
      </ns0:r>
    </ns0:p>
    <ns0:p>
      <ns0:pPr>
        <ns0:pStyle ns0:val="BodyText"/>
      </ns0:pPr>
      <ns0:r>
        <ns0:rPr>
          <ns0:bCs/>
          <ns0:b/>
        </ns0:rPr>
        <ns0:t xml:space="preserve">Dual use.</ns0:t>
      </ns0:r>
      <ns0:r>
        <ns0:t xml:space="preserve"> </ns0:t>
      </ns0:r>
      <ns0:r>
        <ns0:t xml:space="preserve">The fixtures show how exact-request checks, endpoint restrictions and</ns0:t>
      </ns0:r>
      <ns0:r>
        <ns0:t xml:space="preserve"> </ns0:t>
      </ns0:r>
      <ns0:r>
        <ns0:t xml:space="preserve">previews can be bypassed. They are generic authorization weaknesses, not exploits</ns0:t>
      </ns0:r>
      <ns0:r>
        <ns0:t xml:space="preserve"> </ns0:t>
      </ns0:r>
      <ns0:r>
        <ns0:t xml:space="preserve">against a product, and target only locally created or owned synthetic services.</ns0:t>
      </ns0:r>
      <ns0:r>
        <ns0:t xml:space="preserve"> </ns0:t>
      </ns0:r>
      <ns0:r>
        <ns0:t xml:space="preserve">Temporary credentials are generated inside fixtures. Real deployment logs used as</ns0:t>
      </ns0:r>
      <ns0:r>
        <ns0:t xml:space="preserve"> </ns0:t>
      </ns0:r>
      <ns0:r>
        <ns0:t xml:space="preserve">effect evidence may contain sensitive data, so access control and redaction must</ns0:t>
      </ns0:r>
      <ns0:r>
        <ns0:t xml:space="preserve"> </ns0:t>
      </ns0:r>
      <ns0:r>
        <ns0:t xml:space="preserve">preserve enough detail to verify effects. We release the suite so defenders can</ns0:t>
      </ns0:r>
      <ns0:r>
        <ns0:t xml:space="preserve"> </ns0:t>
      </ns0:r>
      <ns0:r>
        <ns0:t xml:space="preserve">test their own boundaries; it should not be pointed at third-party systems.</ns0:t>
      </ns0:r>
    </ns0:p>
    <ns0:bookmarkEnd ns0:id="45"/>
    <ns0:bookmarkStart ns0:id="46" ns0:name="X1cbebf14cab3f809173b039e15b9f83584970e1"/>
    <ns0:p>
      <ns0:pPr>
        <ns0:pStyle ns0:val="Heading1"/>
      </ns0:pPr>
      <ns0:r>
        <ns0:t xml:space="preserve">Appendix B. Evidence-Bound Containment Checklist</ns0:t>
      </ns0:r>
    </ns0:p>
    <ns0:p>
      <ns0:pPr>
        <ns0:pStyle ns0:val="FirstParagraph"/>
      </ns0:pPr>
      <ns0:r>
        <ns0:t xml:space="preserve">The authoritative rules are</ns0:t>
      </ns0:r>
      <ns0:r>
        <ns0:t xml:space="preserve"> </ns0:t>
      </ns0:r>
      <ns0:r>
        <ns0:rPr>
          <ns0:rStyle ns0:val="VerbatimChar"/>
        </ns0:rPr>
        <ns0:t xml:space="preserve">report/containment-standard.md</ns0:t>
      </ns0:r>
      <ns0:r>
        <ns0:t xml:space="preserve">; this table and the</ns0:t>
      </ns0:r>
      <ns0:r>
        <ns0:t xml:space="preserve"> </ns0:t>
      </ns0:r>
      <ns0:r>
        <ns0:t xml:space="preserve">consolidated report summarize the same nine controls. These are proposed</ns0:t>
      </ns0:r>
      <ns0:r>
        <ns0:t xml:space="preserve"> </ns0:t>
      </ns0:r>
      <ns0:r>
        <ns0:t xml:space="preserve">requirements, not an adopted or certified standard.</ns0:t>
      </ns0:r>
      <ns0:r>
        <ns0:t xml:space="preserve"> </ns0:t>
      </ns0:r>
      <ns0:r>
        <ns0:rPr>
          <ns0:bCs/>
          <ns0:b/>
        </ns0:rPr>
        <ns0:t xml:space="preserve">PASS</ns0:t>
      </ns0:r>
      <ns0:r>
        <ns0:t xml:space="preserve"> </ns0:t>
      </ns0:r>
      <ns0:r>
        <ns0:t xml:space="preserve">requires</ns0:t>
      </ns0:r>
      <ns0:r>
        <ns0:t xml:space="preserve"> </ns0:t>
      </ns0:r>
      <ns0:r>
        <ns0:t xml:space="preserve">the acceptance test plus provenance evidence;</ns0:t>
      </ns0:r>
      <ns0:r>
        <ns0:t xml:space="preserve"> </ns0:t>
      </ns0:r>
      <ns0:r>
        <ns0:rPr>
          <ns0:bCs/>
          <ns0:b/>
        </ns0:rPr>
        <ns0:t xml:space="preserve">FAIL</ns0:t>
      </ns0:r>
      <ns0:r>
        <ns0:t xml:space="preserve"> </ns0:t>
      </ns0:r>
      <ns0:r>
        <ns0:t xml:space="preserve">means a demonstrated</ns0:t>
      </ns0:r>
      <ns0:r>
        <ns0:t xml:space="preserve"> </ns0:t>
      </ns0:r>
      <ns0:r>
        <ns0:t xml:space="preserve">violation;</ns0:t>
      </ns0:r>
      <ns0:r>
        <ns0:t xml:space="preserve"> </ns0:t>
      </ns0:r>
      <ns0:r>
        <ns0:rPr>
          <ns0:bCs/>
          <ns0:b/>
        </ns0:rPr>
        <ns0:t xml:space="preserve">NOT VERIFIED</ns0:t>
      </ns0:r>
      <ns0:r>
        <ns0:t xml:space="preserve"> </ns0:t>
      </ns0:r>
      <ns0:r>
        <ns0:t xml:space="preserve">means missing evidence. A passing test runner can</ns0:t>
      </ns0:r>
      <ns0:r>
        <ns0:t xml:space="preserve"> </ns0:t>
      </ns0:r>
      <ns0:r>
        <ns0:t xml:space="preserve">correctly demonstrate a FAIL through a negative fixture.</ns0:t>
      </ns0:r>
    </ns0:p>
    <ns0:tbl>
      <ns0:tblPr>
        <ns0:tblStyle ns0:val="Table"/>
        <ns0:tblW ns0:type="pct" ns0:w="5000"/>
        <ns0:tblLook ns0:firstRow="1" ns0:lastRow="0" ns0:firstColumn="0" ns0:lastColumn="0" ns0:noHBand="0" ns0:noVBand="0" ns0:val="0020"/>
        <ns0:jc ns0:val="start"/>
      </ns0:tblPr>
      <ns0:tblGrid>
        <ns0:gridCol ns0:w="1663"/>
        <ns0:gridCol ns0:w="3009"/>
        <ns0:gridCol ns0:w="1821"/>
        <ns0:gridCol ns0:w="1425"/>
      </ns0:tblGrid>
      <ns0:tr>
        <ns0:trPr>
          <ns0:tblHeader ns0:val="true"/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Control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t xml:space="preserve">Acceptance test (in</ns0:t>
            </ns0:r>
            <ns0:r>
              <ns0:t xml:space="preserve"> </ns0:t>
            </ns0:r>
            <ns0:r>
              <ns0:rPr>
                <ns0:rStyle ns0:val="VerbatimChar"/>
              </ns0:rPr>
              <ns0:t xml:space="preserve">tests/</ns0:t>
            </ns0:r>
            <ns0:r>
              <ns0:t xml:space="preserve">)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t xml:space="preserve">Measured outcome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t xml:space="preserve">Residual limit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rPr>
                <ns0:bCs/>
                <ns0:b/>
              </ns0:rPr>
              <ns0:t xml:space="preserve">C1</ns0:t>
            </ns0:r>
            <ns0:r>
              <ns0:t xml:space="preserve"> </ns0:t>
            </ns0:r>
            <ns0:r>
              <ns0:t xml:space="preserve">Dispatch only exact authority (request, identity, nonce, expiry)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rPr>
                <ns0:rStyle ns0:val="VerbatimChar"/>
              </ns0:rPr>
              <ns0:t xml:space="preserve">test_http_boundary.py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t xml:space="preserve">0/12 attacks, 5/5 benign (Table 2)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t xml:space="preserve">Gateway/host compromise not covered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rPr>
                <ns0:bCs/>
                <ns0:b/>
              </ns0:rPr>
              <ns0:t xml:space="preserve">C2</ns0:t>
            </ns0:r>
            <ns0:r>
              <ns0:t xml:space="preserve"> </ns0:t>
            </ns0:r>
            <ns0:r>
              <ns0:t xml:space="preserve">Deny alternate actor routes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rPr>
                <ns0:rStyle ns0:val="VerbatimChar"/>
              </ns0:rPr>
              <ns0:t xml:space="preserve">test_http_boundary.py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t xml:space="preserve">Endpoint-only 8/12 vs exact gateway 0/12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t xml:space="preserve">Deployment route/credential inventory NOT VERIFIED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rPr>
                <ns0:bCs/>
                <ns0:b/>
              </ns0:rPr>
              <ns0:t xml:space="preserve">C3</ns0:t>
            </ns0:r>
            <ns0:r>
              <ns0:t xml:space="preserve"> </ns0:t>
            </ns0:r>
            <ns0:r>
              <ns0:t xml:space="preserve">One effect per operation across retries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rPr>
                <ns0:rStyle ns0:val="VerbatimChar"/>
              </ns0:rPr>
              <ns0:t xml:space="preserve">test_runtime_recovery.py</ns0:t>
            </ns0:r>
            <ns0:r>
              <ns0:t xml:space="preserve">,</ns0:t>
            </ns0:r>
            <ns0:r>
              <ns0:t xml:space="preserve"> </ns0:t>
            </ns0:r>
            <ns0:r>
              <ns0:rPr>
                <ns0:rStyle ns0:val="VerbatimChar"/>
              </ns0:rPr>
              <ns0:t xml:space="preserve">test_local_sandbox.py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t xml:space="preserve">12/12 ordinary workflows per arm; malformed commit response loses completion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t xml:space="preserve">Needs trusted reconciliation; multi-host untested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rPr>
                <ns0:bCs/>
                <ns0:b/>
              </ns0:rPr>
              <ns0:t xml:space="preserve">C4</ns0:t>
            </ns0:r>
            <ns0:r>
              <ns0:t xml:space="preserve"> </ns0:t>
            </ns0:r>
            <ns0:r>
              <ns0:t xml:space="preserve">Independently acquired call/effect evidence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rPr>
                <ns0:rStyle ns0:val="VerbatimChar"/>
              </ns0:rPr>
              <ns0:t xml:space="preserve">test_evidence.py</ns0:t>
            </ns0:r>
            <ns0:r>
              <ns0:t xml:space="preserve">,</ns0:t>
            </ns0:r>
            <ns0:r>
              <ns0:t xml:space="preserve"> </ns0:t>
            </ns0:r>
            <ns0:r>
              <ns0:rPr>
                <ns0:rStyle ns0:val="VerbatimChar"/>
              </ns0:rPr>
              <ns0:t xml:space="preserve">test_observers.py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t xml:space="preserve">Backend 6/6 vs gate 2/6 vs intent 0/6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t xml:space="preserve">First-record forgery; compromised host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rPr>
                <ns0:bCs/>
                <ns0:b/>
              </ns0:rPr>
              <ns0:t xml:space="preserve">C5</ns0:t>
            </ns0:r>
            <ns0:r>
              <ns0:t xml:space="preserve"> </ns0:t>
            </ns0:r>
            <ns0:r>
              <ns0:t xml:space="preserve">Hold required missing previews; retain uncertain commits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rPr>
                <ns0:rStyle ns0:val="VerbatimChar"/>
              </ns0:rPr>
              <ns0:t xml:space="preserve">test_runtime_recovery.py</ns0:t>
            </ns0:r>
            <ns0:r>
              <ns0:t xml:space="preserve">,</ns0:t>
            </ns0:r>
            <ns0:r>
              <ns0:t xml:space="preserve"> </ns0:t>
            </ns0:r>
            <ns0:r>
              <ns0:rPr>
                <ns0:rStyle ns0:val="VerbatimChar"/>
              </ns0:rPr>
              <ns0:t xml:space="preserve">test_broker_workflow.py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t xml:space="preserve">Unsupported or timed-out previews hold; no automatic re-dispatch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t xml:space="preserve">Availability loss; escalation untested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rPr>
                <ns0:bCs/>
                <ns0:b/>
              </ns0:rPr>
              <ns0:t xml:space="preserve">C6</ns0:t>
            </ns0:r>
            <ns0:r>
              <ns0:t xml:space="preserve"> </ns0:t>
            </ns0:r>
            <ns0:r>
              <ns0:t xml:space="preserve">Check useful output; preserve every trial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rPr>
                <ns0:rStyle ns0:val="VerbatimChar"/>
              </ns0:rPr>
              <ns0:t xml:space="preserve">test_local_sandbox.py</ns0:t>
            </ns0:r>
            <ns0:r>
              <ns0:t xml:space="preserve">,</ns0:t>
            </ns0:r>
            <ns0:r>
              <ns0:t xml:space="preserve"> </ns0:t>
            </ns0:r>
            <ns0:r>
              <ns0:rPr>
                <ns0:rStyle ns0:val="VerbatimChar"/>
              </ns0:rPr>
              <ns0:t xml:space="preserve">test_adaptive_pilot.py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t xml:space="preserve">Duplicates counted as failures; unrun cells retained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t xml:space="preserve">No general workload estimate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rPr>
                <ns0:bCs/>
                <ns0:b/>
              </ns0:rPr>
              <ns0:t xml:space="preserve">Q1</ns0:t>
            </ns0:r>
            <ns0:r>
              <ns0:t xml:space="preserve"> </ns0:t>
            </ns0:r>
            <ns0:r>
              <ns0:t xml:space="preserve">Validate preview behavior before claiming safety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rPr>
                <ns0:rStyle ns0:val="VerbatimChar"/>
              </ns0:rPr>
              <ns0:t xml:space="preserve">test_local_sandbox.py</ns0:t>
            </ns0:r>
            <ns0:r>
              <ns0:t xml:space="preserve"> </ns0:t>
            </ns0:r>
            <ns0:r>
              <ns0:t xml:space="preserve">(</ns0:t>
            </ns0:r>
            <ns0:r>
              <ns0:rPr>
                <ns0:rStyle ns0:val="VerbatimChar"/>
              </ns0:rPr>
              <ns0:t xml:space="preserve">simulation_gap</ns0:t>
            </ns0:r>
            <ns0:r>
              <ns0:t xml:space="preserve">)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t xml:space="preserve">Execution-only write escapes static and preview arms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rPr>
                <ns0:bCs/>
                <ns0:b/>
              </ns0:rPr>
              <ns0:t xml:space="preserve">General preview-safety claim: FAIL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rPr>
                <ns0:bCs/>
                <ns0:b/>
              </ns0:rPr>
              <ns0:t xml:space="preserve">C7</ns0:t>
            </ns0:r>
            <ns0:r>
              <ns0:t xml:space="preserve"> </ns0:t>
            </ns0:r>
            <ns0:r>
              <ns0:t xml:space="preserve">Confine the committed effect at the execution boundary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rPr>
                <ns0:rStyle ns0:val="VerbatimChar"/>
              </ns0:rPr>
              <ns0:t xml:space="preserve">test_combined_gate.py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t xml:space="preserve">Effect gate prevents the execution-only write and all preview-visible faults, completes 12/12 normal cells (Table 5)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t xml:space="preserve">Static effect policy; no compromised-service or transport-fault coverage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rPr>
                <ns0:bCs/>
                <ns0:b/>
              </ns0:rPr>
              <ns0:t xml:space="preserve">C8</ns0:t>
            </ns0:r>
            <ns0:r>
              <ns0:t xml:space="preserve"> </ns0:t>
            </ns0:r>
            <ns0:r>
              <ns0:t xml:space="preserve">Confine outbound data flow to the declared output class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rPr>
                <ns0:rStyle ns0:val="VerbatimChar"/>
              </ns0:rPr>
              <ns0:t xml:space="preserve">test_dataflow_gate.py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t xml:space="preserve">Data-flow gate prevents the read exfiltration that the state gate, static and preview all leak, and returns the authorized value (Table 6)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t xml:space="preserve">Explicit payloads only; covert/implicit channels out of scope</ns0:t>
            </ns0:r>
          </ns0:p>
        </ns0:tc>
      </ns0:tr>
    </ns0:tbl>
    <ns0:p>
      <ns0:pPr>
        <ns0:pStyle ns0:val="BodyText"/>
      </ns0:pPr>
      <ns0:r>
        <ns0:t xml:space="preserve">C5 requires a preview hold only when release policy requires preview; uncertain</ns0:t>
      </ns0:r>
      <ns0:r>
        <ns0:t xml:space="preserve"> </ns0:t>
      </ns0:r>
      <ns0:r>
        <ns0:t xml:space="preserve">commits must always be reconciled. Q1 is not applicable without a preview safety</ns0:t>
      </ns0:r>
      <ns0:r>
        <ns0:t xml:space="preserve"> </ns0:t>
      </ns0:r>
      <ns0:r>
        <ns0:t xml:space="preserve">claim. The deployment evidence template records missing evidence, not compliance.</ns0:t>
      </ns0:r>
    </ns0:p>
    <ns0:p>
      <ns0:pPr>
        <ns0:pStyle ns0:val="BodyText"/>
      </ns0:pPr>
      <ns0:r>
        <ns0:rPr>
          <ns0:bCs/>
          <ns0:b/>
        </ns0:rPr>
        <ns0:t xml:space="preserve">Adopting lab must supply:</ns0:t>
      </ns0:r>
      <ns0:r>
        <ns0:t xml:space="preserve"> </ns0:t>
      </ns0:r>
      <ns0:r>
        <ns0:t xml:space="preserve">route and credential inventory for the actor</ns0:t>
      </ns0:r>
      <ns0:r>
        <ns0:t xml:space="preserve"> </ns0:t>
      </ns0:r>
      <ns0:r>
        <ns0:t xml:space="preserve">environment, versioned policy and enforcement software, evidence anchors stored</ns0:t>
      </ns0:r>
      <ns0:r>
        <ns0:t xml:space="preserve"> </ns0:t>
      </ns0:r>
      <ns0:r>
        <ns0:t xml:space="preserve">outside the actor’s host, and an owner for uncertain commits. Local package</ns0:t>
      </ns0:r>
      <ns0:r>
        <ns0:t xml:space="preserve"> </ns0:t>
      </ns0:r>
      <ns0:r>
        <ns0:t xml:space="preserve">verification cannot authenticate those.</ns0:t>
      </ns0:r>
    </ns0:p>
    <ns0:p>
      <ns0:pPr>
        <ns0:pStyle ns0:val="BodyText"/>
      </ns0:pPr>
      <ns0:r>
        <ns0:rPr>
          <ns0:bCs/>
          <ns0:b/>
        </ns0:rPr>
        <ns0:t xml:space="preserve">Worked decision and external exercise.</ns0:t>
      </ns0:r>
      <ns0:r>
        <ns0:t xml:space="preserve"> </ns0:t>
      </ns0:r>
      <ns0:r>
        <ns0:rPr>
          <ns0:rStyle ns0:val="VerbatimChar"/>
        </ns0:rPr>
        <ns0:t xml:space="preserve">report/worked-assessment.md</ns0:t>
      </ns0:r>
      <ns0:r>
        <ns0:t xml:space="preserve"> </ns0:t>
      </ns0:r>
      <ns0:r>
        <ns0:t xml:space="preserve">traces</ns0:t>
      </ns0:r>
      <ns0:r>
        <ns0:t xml:space="preserve"> </ns0:t>
      </ns0:r>
      <ns0:r>
        <ns0:t xml:space="preserve">four exact archived cases to decisions. An execution gate passes the state fixture</ns0:t>
      </ns0:r>
      <ns0:r>
        <ns0:t xml:space="preserve"> </ns0:t>
      </ns0:r>
      <ns0:r>
        <ns0:t xml:space="preserve">while its state-only variant fails output confinement; production route completeness</ns0:t>
      </ns0:r>
      <ns0:r>
        <ns0:t xml:space="preserve"> </ns0:t>
      </ns0:r>
      <ns0:r>
        <ns0:t xml:space="preserve">and off-host authenticity remain NOT VERIFIED.</ns0:t>
      </ns0:r>
      <ns0:r>
        <ns0:t xml:space="preserve"> </ns0:t>
      </ns0:r>
      <ns0:r>
        <ns0:rPr>
          <ns0:rStyle ns0:val="VerbatimChar"/>
        </ns0:rPr>
        <ns0:t xml:space="preserve">report/independent-review.md</ns0:t>
      </ns0:r>
      <ns0:r>
        <ns0:t xml:space="preserve"> </ns0:t>
      </ns0:r>
      <ns0:r>
        <ns0:t xml:space="preserve">and</ns0:t>
      </ns0:r>
      <ns0:r>
        <ns0:t xml:space="preserve"> </ns0:t>
      </ns0:r>
      <ns0:r>
        <ns0:rPr>
          <ns0:rStyle ns0:val="VerbatimChar"/>
        </ns0:rPr>
        <ns0:t xml:space="preserve">report/reviewer-assessment.json</ns0:t>
      </ns0:r>
      <ns0:r>
        <ns0:t xml:space="preserve"> </ns0:t>
      </ns0:r>
      <ns0:r>
        <ns0:t xml:space="preserve">provide a timed external exercise with fixed</ns0:t>
      </ns0:r>
      <ns0:r>
        <ns0:t xml:space="preserve"> </ns0:t>
      </ns0:r>
      <ns0:r>
        <ns0:t xml:space="preserve">scoring, missing-evidence questions and an adoption-burden form. An initial AI</ns0:t>
      </ns0:r>
      <ns0:r>
        <ns0:t xml:space="preserve"> </ns0:t>
      </ns0:r>
      <ns0:r>
        <ns0:t xml:space="preserve">walkthrough saw the answers. A separate fresh agent, given a packet excluding</ns0:t>
      </ns0:r>
      <ns0:r>
        <ns0:t xml:space="preserve"> </ns0:t>
      </ns0:r>
      <ns0:r>
        <ns0:t xml:space="preserve">reports, answers and prior reviews, reached all six scoped decisions without</ns0:t>
      </ns0:r>
      <ns0:r>
        <ns0:t xml:space="preserve"> </ns0:t>
      </ns0:r>
      <ns0:r>
        <ns0:t xml:space="preserve">implementation guidance. Both verifiers passed; its reported 73-second inspection</ns0:t>
      </ns0:r>
      <ns0:r>
        <ns0:t xml:space="preserve"> </ns0:t>
      </ns0:r>
      <ns0:r>
        <ns0:t xml:space="preserve">excludes initial setup and is not human effort. Raw outcomes and protocols remained</ns0:t>
      </ns0:r>
      <ns0:r>
        <ns0:t xml:space="preserve"> </ns0:t>
      </ns0:r>
      <ns0:r>
        <ns0:t xml:space="preserve">visible. Records are in</ns0:t>
      </ns0:r>
      <ns0:r>
        <ns0:t xml:space="preserve"> </ns0:t>
      </ns0:r>
      <ns0:r>
        <ns0:rPr>
          <ns0:rStyle ns0:val="VerbatimChar"/>
        </ns0:rPr>
        <ns0:t xml:space="preserve">report/reviews/withheld-agent-v1/</ns0:t>
      </ns0:r>
      <ns0:r>
        <ns0:t xml:space="preserve">; this is one AI usability</ns0:t>
      </ns0:r>
      <ns0:r>
        <ns0:t xml:space="preserve"> </ns0:t>
      </ns0:r>
      <ns0:r>
        <ns0:t xml:space="preserve">check, not human validation, new experimental replication or adoption evidence. On Linux,</ns0:t>
      </ns0:r>
      <ns0:r>
        <ns0:t xml:space="preserve"> </ns0:t>
      </ns0:r>
      <ns0:r>
        <ns0:rPr>
          <ns0:rStyle ns0:val="VerbatimChar"/>
        </ns0:rPr>
        <ns0:t xml:space="preserve">./verify.sh</ns0:t>
      </ns0:r>
      <ns0:r>
        <ns0:t xml:space="preserve"> </ns0:t>
      </ns0:r>
      <ns0:r>
        <ns0:t xml:space="preserve">checks the package; a green test suite</ns0:t>
      </ns0:r>
      <ns0:r>
        <ns0:t xml:space="preserve"> </ns0:t>
      </ns0:r>
      <ns0:r>
        <ns0:t xml:space="preserve">includes negative fixtures and is not a blanket compliance decision.</ns0:t>
      </ns0:r>
    </ns0:p>
    <ns0:bookmarkEnd ns0:id="46"/>
    <ns0:bookmarkStart ns0:id="47" ns0:name="Xbf9a36c4e818169d24d8facd3aecc76574c2011"/>
    <ns0:p>
      <ns0:pPr>
        <ns0:pStyle ns0:val="Heading1"/>
      </ns0:pPr>
      <ns0:r>
        <ns0:t xml:space="preserve">Appendix C. Additional Results and Model Pilots</ns0:t>
      </ns0:r>
    </ns0:p>
    <ns0:p>
      <ns0:pPr>
        <ns0:pStyle ns0:val="FirstParagraph"/>
      </ns0:pPr>
      <ns0:r>
        <ns0:rPr>
          <ns0:bCs/>
          <ns0:b/>
        </ns0:rPr>
        <ns0:t xml:space="preserve">Local 800-case matrix</ns0:t>
      </ns0:r>
      <ns0:r>
        <ns0:t xml:space="preserve"> </ns0:t>
      </ns0:r>
      <ns0:r>
        <ns0:t xml:space="preserve">(7 attack and 3 benign scenarios × 20). Attack successes</ns0:t>
      </ns0:r>
      <ns0:r>
        <ns0:t xml:space="preserve"> </ns0:t>
      </ns0:r>
      <ns0:r>
        <ns0:t xml:space="preserve">/ 140 and accepted legitimate calls / 60: intent-only 140 / 60; broker-only</ns0:t>
      </ns0:r>
      <ns0:r>
        <ns0:t xml:space="preserve"> </ns0:t>
      </ns0:r>
      <ns0:r>
        <ns0:t xml:space="preserve">100 / 40 (20 false quarantines); static server 0 / 40 (20 false rejections);</ns0:t>
      </ns0:r>
      <ns0:r>
        <ns0:t xml:space="preserve"> </ns0:t>
      </ns0:r>
      <ns0:r>
        <ns0:t xml:space="preserve">hold-all 0 / 40 (20 false quarantines). Server enforcement beats weaker baselines;</ns0:t>
      </ns0:r>
      <ns0:r>
        <ns0:t xml:space="preserve"> </ns0:t>
      </ns0:r>
      <ns0:r>
        <ns0:t xml:space="preserve">hold-all quarantine ties static denial.</ns0:t>
      </ns0:r>
    </ns0:p>
    <ns0:p>
      <ns0:pPr>
        <ns0:pStyle ns0:val="BodyText"/>
      </ns0:pPr>
      <ns0:r>
        <ns0:rPr>
          <ns0:bCs/>
          <ns0:b/>
        </ns0:rPr>
        <ns0:t xml:space="preserve">Model-attacker pilots</ns0:t>
      </ns0:r>
      <ns0:r>
        <ns0:t xml:space="preserve"> </ns0:t>
      </ns0:r>
      <ns0:r>
        <ns0:t xml:space="preserve">(never pooled; cells run = final cells completed / planned; estimated cost; calls include unresolved reservations):</ns0:t>
      </ns0:r>
    </ns0:p>
    <ns0:tbl>
      <ns0:tblPr>
        <ns0:tblStyle ns0:val="Table"/>
        <ns0:tblW ns0:type="pct" ns0:w="5000"/>
        <ns0:tblLook ns0:firstRow="1" ns0:lastRow="0" ns0:firstColumn="0" ns0:lastColumn="0" ns0:noHBand="0" ns0:noVBand="0" ns0:val="0020"/>
        <ns0:jc ns0:val="start"/>
      </ns0:tblPr>
      <ns0:tblGrid>
        <ns0:gridCol ns0:w="1616"/>
        <ns0:gridCol ns0:w="727"/>
        <ns0:gridCol ns0:w="808"/>
        <ns0:gridCol ns0:w="1050"/>
        <ns0:gridCol ns0:w="3717"/>
      </ns0:tblGrid>
      <ns0:tr>
        <ns0:trPr>
          <ns0:tblHeader ns0:val="true"/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Study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Calls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Cost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Cells run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t xml:space="preserve">Outcome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H27 hosted (GPT-5.4 mini)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10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$0.14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3 / 18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t xml:space="preserve">Hosted quota exhausted; no matched attack pair. Found a request-ID poisoning availability bug, later fixed (H28).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H30 local (GPT-5.4 mini)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10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$0.10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18 / 18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t xml:space="preserve">9/9 tasks per arm; 4 empty and 2 authorized-only candidates, so no substantive attacks.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H31 adaptive (GPT-5.4)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12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$1.16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0 / 18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t xml:space="preserve">9/12 outputs exhausted token budget on reasoning; search gate failed.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H34 repaired gate (GPT-5.4)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5 + 1*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See note*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0 / 16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t xml:space="preserve">Interrupted before coverage assessment; no sealed final candidates.</ns0:t>
            </ns0:r>
          </ns0:p>
        </ns0:tc>
      </ns0:tr>
    </ns0:tbl>
    <ns0:p>
      <ns0:pPr>
        <ns0:pStyle ns0:val="BodyText"/>
      </ns0:pPr>
      <ns0:r>
        <ns0:rPr>
          <ns0:iCs/>
          <ns0:i/>
        </ns0:rPr>
        <ns0:t xml:space="preserve">H34: five completed calls cost $0.370944; one unresolved call retains a $0.32 reservation.</ns0:t>
      </ns0:r>
    </ns0:p>
    <ns0:p>
      <ns0:pPr>
        <ns0:pStyle ns0:val="BodyText"/>
      </ns0:pPr>
      <ns0:r>
        <ns0:t xml:space="preserve">H34 retained ten development cells, five per arm, with all tasks completed and</ns0:t>
      </ns0:r>
      <ns0:r>
        <ns0:t xml:space="preserve"> </ns0:t>
      </ns0:r>
      <ns0:r>
        <ns0:t xml:space="preserve">no observed forbidden state effect, successful-output violation or hold. Call</ns0:t>
      </ns0:r>
      <ns0:r>
        <ns0:t xml:space="preserve"> </ns0:t>
      </ns0:r>
      <ns0:r>
        <ns0:rPr>
          <ns0:rStyle ns0:val="VerbatimChar"/>
        </ns0:rPr>
        <ns0:t xml:space="preserve">dev-5</ns0:t>
      </ns0:r>
      <ns0:r>
        <ns0:t xml:space="preserve"> </ns0:t>
      </ns0:r>
      <ns0:r>
        <ns0:t xml:space="preserve">has no retained response or usage; the interruption cause is unknown.</ns0:t>
      </ns0:r>
      <ns0:r>
        <ns0:t xml:space="preserve"> </ns0:t>
      </ns0:r>
      <ns0:r>
        <ns0:t xml:space="preserve">The frozen protocol forbids retrying uncertain calls, so the full $0.32 reservation</ns0:t>
      </ns0:r>
      <ns0:r>
        <ns0:t xml:space="preserve"> </ns0:t>
      </ns0:r>
      <ns0:r>
        <ns0:t xml:space="preserve">remains. No final resistance estimate follows. See</ns0:t>
      </ns0:r>
      <ns0:r>
        <ns0:t xml:space="preserve"> </ns0:t>
      </ns0:r>
      <ns0:r>
        <ns0:rPr>
          <ns0:rStyle ns0:val="VerbatimChar"/>
        </ns0:rPr>
        <ns0:t xml:space="preserve">report/effect-gate-pilot.md</ns0:t>
      </ns0:r>
      <ns0:r>
        <ns0:t xml:space="preserve">.</ns0:t>
      </ns0:r>
    </ns0:p>
    <ns0:p>
      <ns0:pPr>
        <ns0:pStyle ns0:val="BodyText"/>
      </ns0:pPr>
      <ns0:r>
        <ns0:t xml:space="preserve">The pilots show that request-only attack interfaces behind prebound identities give</ns0:t>
      </ns0:r>
      <ns0:r>
        <ns0:t xml:space="preserve"> </ns0:t>
      </ns0:r>
      <ns0:r>
        <ns0:t xml:space="preserve">a model little room to create the backend behavior mismatch that separates</ns0:t>
      </ns0:r>
      <ns0:r>
        <ns0:t xml:space="preserve"> </ns0:t>
      </ns0:r>
      <ns0:r>
        <ns0:t xml:space="preserve">quarantine from static enforcement. Future model evaluations should first</ns0:t>
      </ns0:r>
      <ns0:r>
        <ns0:t xml:space="preserve"> </ns0:t>
      </ns0:r>
      <ns0:r>
        <ns0:t xml:space="preserve">demonstrate usable candidates on separate development data.</ns0:t>
      </ns0:r>
    </ns0:p>
    <ns0:p>
      <ns0:pPr>
        <ns0:pStyle ns0:val="BodyText"/>
      </ns0:pPr>
      <ns0:r>
        <ns0:rPr>
          <ns0:bCs/>
          <ns0:b/>
        </ns0:rPr>
        <ns0:t xml:space="preserve">Hypothesis ledger.</ns0:t>
      </ns0:r>
      <ns0:r>
        <ns0:t xml:space="preserve"> </ns0:t>
      </ns0:r>
      <ns0:r>
        <ns0:t xml:space="preserve">H1–H34 with evidence paths and outcomes, including refuted</ns0:t>
      </ns0:r>
      <ns0:r>
        <ns0:t xml:space="preserve"> </ns0:t>
      </ns0:r>
      <ns0:r>
        <ns0:t xml:space="preserve">(H7, H12) and unsupported (H2) propositions, are in</ns0:t>
      </ns0:r>
      <ns0:r>
        <ns0:t xml:space="preserve"> </ns0:t>
      </ns0:r>
      <ns0:r>
        <ns0:rPr>
          <ns0:rStyle ns0:val="VerbatimChar"/>
        </ns0:rPr>
        <ns0:t xml:space="preserve">hypotheses.md</ns0:t>
      </ns0:r>
      <ns0:r>
        <ns0:t xml:space="preserve">.</ns0:t>
      </ns0:r>
    </ns0:p>
    <ns0:bookmarkEnd ns0:id="47"/>
    <ns0:bookmarkStart ns0:id="48" ns0:name="llm-usage-statement"/>
    <ns0:p>
      <ns0:pPr>
        <ns0:pStyle ns0:val="Heading1"/>
      </ns0:pPr>
      <ns0:r>
        <ns0:t xml:space="preserve">LLM Usage Statement</ns0:t>
      </ns0:r>
    </ns0:p>
    <ns0:p>
      <ns0:pPr>
        <ns0:pStyle ns0:val="FirstParagraph"/>
      </ns0:pPr>
      <ns0:r>
        <ns0:t xml:space="preserve">AI coding assistants, including OpenAI Codex, implemented and revised the harness</ns0:t>
      </ns0:r>
      <ns0:r>
        <ns0:t xml:space="preserve"> </ns0:t>
      </ns0:r>
      <ns0:r>
        <ns0:t xml:space="preserve">and tests, ran experiments and analyses, reconciled evidence, and drafted and</ns0:t>
      </ns0:r>
      <ns0:r>
        <ns0:t xml:space="preserve"> </ns0:t>
      </ns0:r>
      <ns0:r>
        <ns0:t xml:space="preserve">revised this report. Aditya Pratap Singh directed the project and requested</ns0:t>
      </ns0:r>
      <ns0:r>
        <ns0:t xml:space="preserve"> </ns0:t>
      </ns0:r>
      <ns0:r>
        <ns0:t xml:space="preserve">experiments, reviews and revisions. The author has not personally rewritten the</ns0:t>
      </ns0:r>
      <ns0:r>
        <ns0:t xml:space="preserve"> </ns0:t>
      </ns0:r>
      <ns0:r>
        <ns0:t xml:space="preserve">manuscript. In a guided review, the author explained the conceptual gap between</ns0:t>
      </ns0:r>
      <ns0:r>
        <ns0:t xml:space="preserve"> </ns0:t>
      </ns0:r>
      <ns0:r>
        <ns0:t xml:space="preserve">preview approval and the update that actually executes. This was a conceptual</ns0:t>
      </ns0:r>
      <ns0:r>
        <ns0:t xml:space="preserve"> </ns0:t>
      </ns0:r>
      <ns0:r>
        <ns0:t xml:space="preserve">review of the first claim, not an independent check of its numerical results;</ns0:t>
      </ns0:r>
      <ns0:r>
        <ns0:t xml:space="preserve"> </ns0:t>
      </ns0:r>
      <ns0:r>
        <ns0:t xml:space="preserve">For the remaining three central claims, the assistant drafted explanations in</ns0:t>
      </ns0:r>
      <ns0:r>
        <ns0:t xml:space="preserve"> </ns0:t>
      </ns0:r>
      <ns0:r>
        <ns0:t xml:space="preserve">the author’s voice at his request; these are not author-supplied answers or</ns0:t>
      </ns0:r>
      <ns0:r>
        <ns0:t xml:space="preserve"> </ns0:t>
      </ns0:r>
      <ns0:r>
        <ns0:t xml:space="preserve">evidence of completed personal review. Review of those claims remains pending.</ns0:t>
      </ns0:r>
      <ns0:r>
        <ns0:t xml:space="preserve"> </ns0:t>
      </ns0:r>
      <ns0:r>
        <ns0:t xml:space="preserve">We do not attribute the assistants’ statistical checks or code reviews to the author.</ns0:t>
      </ns0:r>
    </ns0:p>
    <ns0:p>
      <ns0:pPr>
        <ns0:pStyle ns0:val="BodyText"/>
      </ns0:pPr>
      <ns0:r>
        <ns0:t xml:space="preserve">OpenAI GPT-5.4 mini and GPT-5.4 were experimental subjects in the attacker pilots</ns0:t>
      </ns0:r>
      <ns0:r>
        <ns0:t xml:space="preserve"> </ns0:t>
      </ns0:r>
      <ns0:r>
        <ns0:t xml:space="preserve">(Appendix C); that usage is separate from the assistants used to develop the</ns0:t>
      </ns0:r>
      <ns0:r>
        <ns0:t xml:space="preserve"> </ns0:t>
      </ns0:r>
      <ns0:r>
        <ns0:t xml:space="preserve">project. Automated checks tie the consolidated report’s tables to retained</ns0:t>
      </ns0:r>
      <ns0:r>
        <ns0:t xml:space="preserve"> </ns0:t>
      </ns0:r>
      <ns0:r>
        <ns0:t xml:space="preserve">archives (</ns0:t>
      </ns0:r>
      <ns0:r>
        <ns0:rPr>
          <ns0:rStyle ns0:val="VerbatimChar"/>
        </ns0:rPr>
        <ns0:t xml:space="preserve">verify_results.py</ns0:t>
      </ns0:r>
      <ns0:r>
        <ns0:t xml:space="preserve">,</ns0:t>
      </ns0:r>
      <ns0:r>
        <ns0:t xml:space="preserve"> </ns0:t>
      </ns0:r>
      <ns0:r>
        <ns0:rPr>
          <ns0:rStyle ns0:val="VerbatimChar"/>
        </ns0:rPr>
        <ns0:t xml:space="preserve">tests/test_report.py</ns0:t>
      </ns0:r>
      <ns0:r>
        <ns0:t xml:space="preserve">), and the assistants checked</ns0:t>
      </ns0:r>
      <ns0:r>
        <ns0:t xml:space="preserve"> </ns0:t>
      </ns0:r>
      <ns0:r>
        <ns0:t xml:space="preserve">this report’s numbers locally against retained records. These checks do not</ns0:t>
      </ns0:r>
      <ns0:r>
        <ns0:t xml:space="preserve"> </ns0:t>
      </ns0:r>
      <ns0:r>
        <ns0:t xml:space="preserve">constitute independent replication or completed personal verification by the</ns0:t>
      </ns0:r>
      <ns0:r>
        <ns0:t xml:space="preserve"> </ns0:t>
      </ns0:r>
      <ns0:r>
        <ns0:t xml:space="preserve">author.</ns0:t>
      </ns0:r>
    </ns0:p>
    <ns0:p>
      <ns0:pPr>
        <ns0:pStyle ns0:val="BodyText"/>
      </ns0:pPr>
      <ns0:r>
        <ns0:t xml:space="preserve">One fresh-context Codex reviewer saw the worked answers. A second received a</ns0:t>
      </ns0:r>
      <ns0:r>
        <ns0:t xml:space="preserve"> </ns0:t>
      </ns0:r>
      <ns0:r>
        <ns0:t xml:space="preserve">packet with those answers and prior reviews withheld. Both exercises were AI</ns0:t>
      </ns0:r>
      <ns0:r>
        <ns0:t xml:space="preserve"> </ns0:t>
      </ns0:r>
      <ns0:r>
        <ns0:t xml:space="preserve">reviews, not independent human validation. Before submission, the author must</ns0:t>
      </ns0:r>
      <ns0:r>
        <ns0:t xml:space="preserve"> </ns0:t>
      </ns0:r>
      <ns0:r>
        <ns0:t xml:space="preserve">review the retained claims and confirm the assistant/tool inventory; this</ns0:t>
      </ns0:r>
      <ns0:r>
        <ns0:t xml:space="preserve"> </ns0:t>
      </ns0:r>
      <ns0:r>
        <ns0:t xml:space="preserve">statement should then describe the review actually completed. Human rewriting</ns0:t>
      </ns0:r>
      <ns0:r>
        <ns0:t xml:space="preserve"> </ns0:t>
      </ns0:r>
      <ns0:r>
        <ns0:t xml:space="preserve">is not asserted or required as a condition of this disclosure.</ns0:t>
      </ns0:r>
    </ns0:p>
    <ns0:bookmarkEnd ns0:id="48"/>
    <ns0:sectPr/>
  </ns0:body>
</ns0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Normal"/>
    <w:pPr>
      <w:keepNext w:val="1"/>
      <w:keepLines w:val="1"/>
      <w:spacing w:after="200" w:line="240" w:lineRule="auto"/>
      <w:jc w:val="center"/>
    </w:pPr>
    <w:rPr>
      <w:rFonts w:ascii="Old Standard TT" w:cs="Old Standard TT" w:eastAsia="Old Standard TT" w:hAnsi="Old Standard TT"/>
      <w:b w:val="1"/>
      <w:bCs w:val="1"/>
      <w:sz w:val="40"/>
      <w:szCs w:val="40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styleId="Heading2" w:type="paragraph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styleId="Heading3" w:type="paragraph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hyperlink" Id="rId41" Target="https://apartresearch.com/sprints/ai-incident-response-sprint-2026-09-11-to-2026-09-13" TargetMode="External" /><Relationship Type="http://schemas.openxmlformats.org/officeDocument/2006/relationships/hyperlink" Id="rId36" Target="https://arxiv.org/abs/2312.06942" TargetMode="External" /><Relationship Type="http://schemas.openxmlformats.org/officeDocument/2006/relationships/hyperlink" Id="rId37" Target="https://arxiv.org/abs/2406.13352" TargetMode="External" /><Relationship Type="http://schemas.openxmlformats.org/officeDocument/2006/relationships/hyperlink" Id="rId38" Target="https://arxiv.org/abs/2503.18813" TargetMode="External" /><Relationship Type="http://schemas.openxmlformats.org/officeDocument/2006/relationships/hyperlink" Id="rId42" Target="https://docs.argalabs.com/concepts/twin-reference#github" TargetMode="External" /><Relationship Type="http://schemas.openxmlformats.org/officeDocument/2006/relationships/hyperlink" Id="rId35" Target="https://doi.org/10.1145/54289.871709" TargetMode="External" /><Relationship Type="http://schemas.openxmlformats.org/officeDocument/2006/relationships/hyperlink" Id="rId40" Target="https://git-scm.com/docs/githooks/2.43.0#_pre_receive" TargetMode="External" /><Relationship Type="http://schemas.openxmlformats.org/officeDocument/2006/relationships/hyperlink" Id="rId31" Target="https://github.com/Aditya-PS-05/effect-bound-containment" TargetMode="External" /><Relationship Type="http://schemas.openxmlformats.org/officeDocument/2006/relationships/hyperlink" Id="rId43" Target="https://github.com/containers/bubblewrap" TargetMode="External" /><Relationship Type="http://schemas.openxmlformats.org/officeDocument/2006/relationships/hyperlink" Id="rId39" Target="https://github.com/pome-sh/digital-twins" TargetMode="External" /><Relationship Type="http://schemas.openxmlformats.org/officeDocument/2006/relationships/hyperlink" Id="rId34" Target="https://web.mit.edu/Saltzer/www/publications/protection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apartresearch.com/sprints/ai-incident-response-sprint-2026-09-11-to-2026-09-13" TargetMode="External" /><Relationship Type="http://schemas.openxmlformats.org/officeDocument/2006/relationships/hyperlink" Id="rId36" Target="https://arxiv.org/abs/2312.06942" TargetMode="External" /><Relationship Type="http://schemas.openxmlformats.org/officeDocument/2006/relationships/hyperlink" Id="rId37" Target="https://arxiv.org/abs/2406.13352" TargetMode="External" /><Relationship Type="http://schemas.openxmlformats.org/officeDocument/2006/relationships/hyperlink" Id="rId38" Target="https://arxiv.org/abs/2503.18813" TargetMode="External" /><Relationship Type="http://schemas.openxmlformats.org/officeDocument/2006/relationships/hyperlink" Id="rId42" Target="https://docs.argalabs.com/concepts/twin-reference#github" TargetMode="External" /><Relationship Type="http://schemas.openxmlformats.org/officeDocument/2006/relationships/hyperlink" Id="rId35" Target="https://doi.org/10.1145/54289.871709" TargetMode="External" /><Relationship Type="http://schemas.openxmlformats.org/officeDocument/2006/relationships/hyperlink" Id="rId40" Target="https://git-scm.com/docs/githooks/2.43.0#_pre_receive" TargetMode="External" /><Relationship Type="http://schemas.openxmlformats.org/officeDocument/2006/relationships/hyperlink" Id="rId31" Target="https://github.com/Aditya-PS-05/effect-bound-containment" TargetMode="External" /><Relationship Type="http://schemas.openxmlformats.org/officeDocument/2006/relationships/hyperlink" Id="rId43" Target="https://github.com/containers/bubblewrap" TargetMode="External" /><Relationship Type="http://schemas.openxmlformats.org/officeDocument/2006/relationships/hyperlink" Id="rId39" Target="https://github.com/pome-sh/digital-twins" TargetMode="External" /><Relationship Type="http://schemas.openxmlformats.org/officeDocument/2006/relationships/hyperlink" Id="rId34" Target="https://web.mit.edu/Saltzer/www/publications/protecti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Where Authorization Stops: Effect-Bound Containment, Independent Evidence and the Limits of Preview</dc:title>
  <dc:creator>Aditya Pratap Singh</dc:creator>
  <cp:keywords/>
  <dcterms:created xsi:type="dcterms:W3CDTF">2026-09-14T07:41:54Z</dcterms:created>
  <dcterms:modified xsi:type="dcterms:W3CDTF">2026-09-14T07:41:54Z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AI Incident Response Sprint, Apart Research (https://apartresearch.com/sprints/ai-incident-response-sprint-2026-09-11-to-2026-09-13), September 2026</vt:lpwstr>
  </property>
</Properties>
</file>