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6B7280"/>
          <w:sz w:val="24"/>
          <w:szCs w:val="24"/>
        </w:rPr>
        <w:t xml:space="preserve">DSA5208 Scalable Distributed Computing — Project 2</w:t>
      </w:r>
    </w:p>
    <w:p>
      <w:pPr>
        <w:spacing w:after="200"/>
      </w:pPr>
      <w:r>
        <w:rPr>
          <w:b/>
          <w:bCs/>
          <w:color w:val="1F3864"/>
          <w:sz w:val="48"/>
          <w:szCs w:val="48"/>
        </w:rPr>
        <w:t xml:space="preserve">Historical Rainfall across Singapore, 2017–2024</w:t>
      </w:r>
    </w:p>
    <w:p>
      <w:pPr>
        <w:spacing w:after="600"/>
      </w:pPr>
      <w:r>
        <w:rPr>
          <w:color w:val="1F2937"/>
          <w:sz w:val="30"/>
          <w:szCs w:val="30"/>
        </w:rPr>
        <w:t xml:space="preserve">Weather patterns and 30-minute rainfall prediction with Apache Spark</w:t>
      </w:r>
    </w:p>
    <w:p>
      <w:pPr>
        <w:keepNext/>
        <w:spacing w:after="80" w:before="200"/>
      </w:pPr>
      <w:r>
        <w:rPr>
          <w:b/>
          <w:bCs/>
          <w:sz w:val="18"/>
          <w:szCs w:val="18"/>
        </w:rPr>
        <w:t xml:space="preserve">Group members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0"/>
        <w:gridCol w:w="3438"/>
      </w:tblGrid>
      <w:tr>
        <w:trPr>
          <w:tblHeader/>
        </w:trPr>
        <w:tc>
          <w:tcPr>
            <w:tcW w:type="dxa" w:w="62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Name</w:t>
            </w:r>
          </w:p>
        </w:tc>
        <w:tc>
          <w:tcPr>
            <w:tcW w:type="dxa" w:w="34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Student ID</w:t>
            </w:r>
          </w:p>
        </w:tc>
      </w:tr>
      <w:tr>
        <w:tc>
          <w:tcPr>
            <w:tcW w:type="dxa" w:w="6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[Member 1 name]</w:t>
            </w:r>
          </w:p>
        </w:tc>
        <w:tc>
          <w:tcPr>
            <w:tcW w:type="dxa" w:w="3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[Student ID]</w:t>
            </w:r>
          </w:p>
        </w:tc>
      </w:tr>
      <w:tr>
        <w:tc>
          <w:tcPr>
            <w:tcW w:type="dxa" w:w="6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[Member 2 name]</w:t>
            </w:r>
          </w:p>
        </w:tc>
        <w:tc>
          <w:tcPr>
            <w:tcW w:type="dxa" w:w="3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[Student ID]</w:t>
            </w:r>
          </w:p>
        </w:tc>
      </w:tr>
      <w:tr>
        <w:tc>
          <w:tcPr>
            <w:tcW w:type="dxa" w:w="6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[Member 3 name]</w:t>
            </w:r>
          </w:p>
        </w:tc>
        <w:tc>
          <w:tcPr>
            <w:tcW w:type="dxa" w:w="3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[Student ID]</w:t>
            </w:r>
          </w:p>
        </w:tc>
      </w:tr>
    </w:tbl>
    <w:p>
      <w:pPr>
        <w:spacing w:after="120"/>
      </w:pPr>
    </w:p>
    <w:p>
      <w:pPr>
        <w:spacing w:after="120" w:before="300"/>
      </w:pPr>
      <w:r>
        <w:rPr>
          <w:b/>
          <w:bCs/>
        </w:rPr>
        <w:t xml:space="preserve">Submission contents:</w:t>
      </w:r>
      <w:r>
        <w:t xml:space="preserve"> source code (DSA5208_Project2.ipynb, a single notebook saved with all outputs) and README.md; the trained model (models/task2_exceedance/); this report. Figures and result tables are in outputs/.</w:t>
      </w:r>
    </w:p>
    <w:p>
      <w:pPr>
        <w:spacing w:after="120"/>
      </w:pPr>
      <w:r>
        <w:t xml:space="preserve">October 2026</w:t>
      </w:r>
    </w:p>
    <w:p>
      <w:r>
        <w:br w:type="page"/>
      </w:r>
    </w:p>
    <w:p>
      <w:pPr>
        <w:pStyle w:val="Heading1"/>
      </w:pPr>
      <w:r>
        <w:t xml:space="preserve">Summary</w:t>
      </w:r>
    </w:p>
    <w:p>
      <w:pPr>
        <w:spacing w:after="140" w:line="288"/>
      </w:pPr>
      <w:r>
        <w:t xml:space="preserve">We processed the eight annual files of the data.gov.sg </w:t>
      </w:r>
      <w:r>
        <w:rPr>
          <w:i/>
          <w:iCs/>
        </w:rPr>
        <w:t xml:space="preserve">Historical Rainfall across Singapore</w:t>
      </w:r>
      <w:r>
        <w:t xml:space="preserve"> collection (2017–2024; 7.5 GB, 48.5 M five-minute readings from 91 gauges) with Apache Spark, and built one notebook that runs the whole pipeline in about 13 minutes on a single machine.</w:t>
      </w:r>
    </w:p>
    <w:p>
      <w:pPr>
        <w:pStyle w:val="ListParagraph"/>
        <w:numPr>
          <w:ilvl w:val="0"/>
          <w:numId w:val="2"/>
        </w:numPr>
        <w:spacing w:after="80" w:line="276"/>
      </w:pPr>
      <w:r>
        <w:rPr>
          <w:b/>
          <w:bCs/>
        </w:rPr>
        <w:t xml:space="preserve">Data engineering.</w:t>
      </w:r>
      <w:r>
        <w:t xml:space="preserve"> CSV → typed Parquet (bronze) → cleaned readings (silver) → analysis tables and a 46 M-row feature table (gold). Cleaning keeps 99.6 % of records: it aligns the 2017 timestamps to the 5-minute grid, removes 86 duplicates and one impossible value, and removes faulty gauges that a range check cannot see (67 dead-gauge station-months and 4 spike days, including a 749 mm "day").</w:t>
      </w:r>
    </w:p>
    <w:p>
      <w:pPr>
        <w:pStyle w:val="ListParagraph"/>
        <w:numPr>
          <w:ilvl w:val="0"/>
          <w:numId w:val="2"/>
        </w:numPr>
        <w:spacing w:after="80" w:line="276"/>
      </w:pPr>
      <w:r>
        <w:rPr>
          <w:b/>
          <w:bCs/>
        </w:rPr>
        <w:t xml:space="preserve">Task 1.</w:t>
      </w:r>
      <w:r>
        <w:t xml:space="preserve"> Annual rainfall ranges from 1,787 mm (2019) to 2,900 mm (2021). Dry years have fewer rain events, not lighter rain. Rainfall has two wet seasons (November–January, April–May) and two diurnal regimes (a 10:00 peak in the south-west monsoon, a 15:00–16:00 peak otherwise), is highly concentrated in time, is 2.1× higher in the west than the east, and decorrelates within about 8.5 km. No annual series shows a statistically significant trend over the eight years, and the results are robust to the changing gauge network.</w:t>
      </w:r>
    </w:p>
    <w:p>
      <w:pPr>
        <w:pStyle w:val="ListParagraph"/>
        <w:numPr>
          <w:ilvl w:val="0"/>
          <w:numId w:val="2"/>
        </w:numPr>
        <w:spacing w:after="80" w:line="276"/>
      </w:pPr>
      <w:r>
        <w:rPr>
          <w:b/>
          <w:bCs/>
        </w:rPr>
        <w:t xml:space="preserve">Task 2.</w:t>
      </w:r>
      <w:r>
        <w:t xml:space="preserve"> One Spark MLlib logistic-regression pipeline, with the threshold as an input, estimates P(rain in the next 30 minutes &gt; h) for any station, time and h in 0.2–30 mm. On the untouched 2024 test year it reaches a macro-average PR-AUC of 0.446 and ROC-AUC of 0.919 (climatology: 0.034 and 0.690), removes 39 % of climatology's log loss, is well calibrated from 1 mm upwards and is monotone in the threshold.</w:t>
      </w:r>
    </w:p>
    <w:p>
      <w:pPr>
        <w:pStyle w:val="Heading1"/>
      </w:pPr>
      <w:r>
        <w:t xml:space="preserve">1. Introduction</w:t>
      </w:r>
    </w:p>
    <w:p>
      <w:pPr>
        <w:spacing w:after="140" w:line="288"/>
      </w:pPr>
      <w:r>
        <w:t xml:space="preserve">The project has two tasks. </w:t>
      </w:r>
      <w:r>
        <w:rPr>
          <w:b/>
          <w:bCs/>
        </w:rPr>
        <w:t xml:space="preserve">Task 1</w:t>
      </w:r>
      <w:r>
        <w:t xml:space="preserve"> explores the weather patterns in Singapore's five-minute rainfall record and how they change within a year and across 2017–2024. </w:t>
      </w:r>
      <w:r>
        <w:rPr>
          <w:b/>
          <w:bCs/>
        </w:rPr>
        <w:t xml:space="preserve">Task 2</w:t>
      </w:r>
      <w:r>
        <w:t xml:space="preserve"> builds a machine-learning model that estimates the probability that a monitoring station accumulates more than a given amount of rain in the next 30 minutes, taking the station, the prediction time and the threshold as inputs, and evaluates it with Spark MLlib.</w:t>
      </w:r>
    </w:p>
    <w:p>
      <w:pPr>
        <w:spacing w:after="140" w:line="288"/>
      </w:pPr>
      <w:r>
        <w:t xml:space="preserve">Section 2 describes the data and the computing environment. Section 3 covers ingestion, the data-quality audit, cleaning and pre-processing. Section 4 presents the Task 1 analysis and Section 5 the Task 2 model. Section 6 discusses additional work, observations and limitations, and Section 7 declares the use of AI. All numbers come from the submitted notebook, which is organised in the same order.</w:t>
      </w:r>
    </w:p>
    <w:p>
      <w:pPr>
        <w:pStyle w:val="Heading1"/>
      </w:pPr>
      <w:r>
        <w:t xml:space="preserve">2. Data and computing environment</w:t>
      </w:r>
    </w:p>
    <w:p>
      <w:pPr>
        <w:pStyle w:val="Heading2"/>
      </w:pPr>
      <w:r>
        <w:t xml:space="preserve">2.1 Data</w:t>
      </w:r>
    </w:p>
    <w:p>
      <w:pPr>
        <w:spacing w:after="140" w:line="288"/>
      </w:pPr>
      <w:r>
        <w:t xml:space="preserve">Each annual CSV has one row per station per five-minute interval with 12 columns: the observation timestamp, two update timestamps, station ID, name and device ID, longitude and latitude, the reading in mm, and the reading type and unit. The eight files total 7.5 GB and 48,538,713 rows from 91 distinct stations; between 54 and 80 stations report in any one year because the network expanded in 2020 and gauges come and go.</w:t>
      </w:r>
    </w:p>
    <w:p>
      <w:pPr>
        <w:pStyle w:val="Heading2"/>
      </w:pPr>
      <w:r>
        <w:t xml:space="preserve">2.2 Computing environment</w:t>
      </w:r>
    </w:p>
    <w:p>
      <w:pPr>
        <w:spacing w:after="140" w:line="288"/>
      </w:pPr>
      <w:r>
        <w:t xml:space="preserve">All processing uses Apache Spark DataFrames, window functions and MLlib in local mode on one machine; changing the Spark master is the only change needed to run the same notebook on a cluster (for example YARN on Google Cloud Dataproc). The pipeline was also developed on a second Apple Silicon laptop with 24 GB of RAM and the same 12 GB driver heap, so it does not depend on the larger machine.</w:t>
      </w:r>
    </w:p>
    <w:p>
      <w:pPr>
        <w:keepNext/>
        <w:spacing w:after="80" w:before="200"/>
      </w:pPr>
      <w:r>
        <w:rPr>
          <w:b/>
          <w:bCs/>
          <w:sz w:val="18"/>
          <w:szCs w:val="18"/>
        </w:rPr>
        <w:t xml:space="preserve">Table 1.</w:t>
      </w:r>
      <w:r>
        <w:rPr>
          <w:sz w:val="18"/>
          <w:szCs w:val="18"/>
        </w:rPr>
        <w:t xml:space="preserve"> Computing environment (recorded by the notebook in t00_environment.csv).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Item</w:t>
            </w:r>
          </w:p>
        </w:tc>
        <w:tc>
          <w:tcPr>
            <w:tcW w:type="dxa" w:w="74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Value</w:t>
            </w:r>
          </w:p>
        </w:tc>
      </w:tr>
      <w:tr>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Machine</w:t>
            </w:r>
          </w:p>
        </w:tc>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Apple MacBook Pro, Apple M4 Max, macOS 26.6.2</w:t>
            </w:r>
          </w:p>
        </w:tc>
      </w:tr>
      <w:tr>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CPU / memory</w:t>
            </w:r>
          </w:p>
        </w:tc>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16 cores (12 performance + 4 efficiency), 128 GB RAM</w:t>
            </w:r>
          </w:p>
        </w:tc>
      </w:tr>
      <w:tr>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Spark</w:t>
            </w:r>
          </w:p>
        </w:tc>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Apache Spark 3.5.5 (PySpark), master local[14], driver memory 12g, 96 shuffle partitions (64 for model training)</w:t>
            </w:r>
          </w:p>
        </w:tc>
      </w:tr>
      <w:tr>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Software</w:t>
            </w:r>
          </w:p>
        </w:tc>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Python 3.11.17, OpenJDK 17.0.18, pandas / NumPy / Matplotlib 3.0.6 / 1.26.4 / 3.11.2</w:t>
            </w:r>
          </w:p>
        </w:tc>
      </w:tr>
      <w:tr>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Storage</w:t>
            </w:r>
          </w:p>
        </w:tc>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Snappy-compressed Parquet partitioned by year: CSV 7.5 GB → bronze 49 MB → silver 414 MB</w:t>
            </w:r>
          </w:p>
        </w:tc>
      </w:tr>
      <w:tr>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Time zone</w:t>
            </w:r>
          </w:p>
        </w:tc>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Asia/Singapore for every timestamp</w:t>
            </w:r>
          </w:p>
        </w:tc>
      </w:tr>
    </w:tbl>
    <w:p>
      <w:pPr>
        <w:spacing w:after="120"/>
      </w:pPr>
    </w:p>
    <w:p>
      <w:pPr>
        <w:keepNext/>
        <w:spacing w:after="80" w:before="200"/>
      </w:pPr>
      <w:r>
        <w:rPr>
          <w:b/>
          <w:bCs/>
          <w:sz w:val="18"/>
          <w:szCs w:val="18"/>
        </w:rPr>
        <w:t xml:space="preserve">Table 2.</w:t>
      </w:r>
      <w:r>
        <w:rPr>
          <w:sz w:val="18"/>
          <w:szCs w:val="18"/>
        </w:rPr>
        <w:t xml:space="preserve"> Wall-clock time of the main stages (t40_stage_timings.csv). Figures and untimed steps bring the full run to about 13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38"/>
        <w:gridCol w:w="2200"/>
      </w:tblGrid>
      <w:tr>
        <w:trPr>
          <w:tblHeader/>
        </w:trPr>
        <w:tc>
          <w:tcPr>
            <w:tcW w:type="dxa" w:w="74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Stage</w:t>
            </w:r>
          </w:p>
        </w:tc>
        <w:tc>
          <w:tcPr>
            <w:tcW w:type="dxa" w:w="22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Seconds</w:t>
            </w:r>
          </w:p>
        </w:tc>
      </w:tr>
      <w:tr>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Ingestion: CSV → bronze Parquet</w:t>
            </w:r>
          </w:p>
        </w:tc>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18</w:t>
            </w:r>
          </w:p>
        </w:tc>
      </w:tr>
      <w:tr>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Data-quality audit</w:t>
            </w:r>
          </w:p>
        </w:tc>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w:t>
            </w:r>
          </w:p>
        </w:tc>
      </w:tr>
      <w:tr>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Cleaning → silver Parquet (4 steps)</w:t>
            </w:r>
          </w:p>
        </w:tc>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38</w:t>
            </w:r>
          </w:p>
        </w:tc>
      </w:tr>
      <w:tr>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Pre-processing (station-days, island series)</w:t>
            </w:r>
          </w:p>
        </w:tc>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w:t>
            </w:r>
          </w:p>
        </w:tc>
      </w:tr>
      <w:tr>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Task 1 analyses (Spark aggregations)</w:t>
            </w:r>
          </w:p>
        </w:tc>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34</w:t>
            </w:r>
          </w:p>
        </w:tc>
      </w:tr>
      <w:tr>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Task 2 feature table + audit</w:t>
            </w:r>
          </w:p>
        </w:tc>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114</w:t>
            </w:r>
          </w:p>
        </w:tc>
      </w:tr>
      <w:tr>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Leakage / label check</w:t>
            </w:r>
          </w:p>
        </w:tc>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24</w:t>
            </w:r>
          </w:p>
        </w:tc>
      </w:tr>
      <w:tr>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Training and evaluation sets</w:t>
            </w:r>
          </w:p>
        </w:tc>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54</w:t>
            </w:r>
          </w:p>
        </w:tc>
      </w:tr>
      <w:tr>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Baselines on 2023</w:t>
            </w:r>
          </w:p>
        </w:tc>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w:t>
            </w:r>
          </w:p>
        </w:tc>
      </w:tr>
      <w:tr>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Fit 4 logistic regressions</w:t>
            </w:r>
          </w:p>
        </w:tc>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41</w:t>
            </w:r>
          </w:p>
        </w:tc>
      </w:tr>
      <w:tr>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Fit 2 gradient-boosted tree models</w:t>
            </w:r>
          </w:p>
        </w:tc>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141</w:t>
            </w:r>
          </w:p>
        </w:tc>
      </w:tr>
      <w:tr>
        <w:tc>
          <w:tcPr>
            <w:tcW w:type="dxa" w:w="7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Final evaluation on 2023 / 2024</w:t>
            </w:r>
          </w:p>
        </w:tc>
        <w:tc>
          <w:tcPr>
            <w:tcW w:type="dxa" w:w="2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116</w:t>
            </w:r>
          </w:p>
        </w:tc>
      </w:tr>
      <w:tr>
        <w:tc>
          <w:tcPr>
            <w:tcW w:type="dxa" w:w="7438"/>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left"/>
            </w:pPr>
            <w:r>
              <w:rPr>
                <w:b/>
                <w:bCs/>
                <w:sz w:val="17"/>
                <w:szCs w:val="17"/>
              </w:rPr>
              <w:t xml:space="preserve">Total (timed stages)</w:t>
            </w:r>
          </w:p>
        </w:tc>
        <w:tc>
          <w:tcPr>
            <w:tcW w:type="dxa" w:w="220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592 s  (9.9 min)</w:t>
            </w:r>
          </w:p>
        </w:tc>
      </w:tr>
    </w:tbl>
    <w:p>
      <w:pPr>
        <w:spacing w:after="120"/>
      </w:pPr>
    </w:p>
    <w:p>
      <w:pPr>
        <w:pStyle w:val="Heading1"/>
      </w:pPr>
      <w:r>
        <w:t xml:space="preserve">3. Data engineering: ingestion, audit, cleaning and pre-processing</w:t>
      </w:r>
    </w:p>
    <w:p>
      <w:pPr>
        <w:pStyle w:val="Heading2"/>
      </w:pPr>
      <w:r>
        <w:t xml:space="preserve">3.1 Ingestion</w:t>
      </w:r>
    </w:p>
    <w:p>
      <w:pPr>
        <w:spacing w:after="140" w:line="288"/>
      </w:pPr>
      <w:r>
        <w:t xml:space="preserve">The CSVs are read once with an explicit 12-column schema (no schema-inference pass over 7.5 GB), timestamps are parsed as ISO-8601 with their +08:00 offset, and the rows are written unchanged to a </w:t>
      </w:r>
      <w:r>
        <w:rPr>
          <w:b/>
          <w:bCs/>
        </w:rPr>
        <w:t xml:space="preserve">bronze</w:t>
      </w:r>
      <w:r>
        <w:t xml:space="preserve"> Parquet layer partitioned by year. Every later step reads this columnar copy, so the CSVs are parsed only once.</w:t>
      </w:r>
    </w:p>
    <w:p>
      <w:pPr>
        <w:pStyle w:val="Heading2"/>
      </w:pPr>
      <w:r>
        <w:t xml:space="preserve">3.2 Data-quality audit</w:t>
      </w:r>
    </w:p>
    <w:p>
      <w:pPr>
        <w:keepNext/>
        <w:spacing w:after="80" w:before="200"/>
      </w:pPr>
      <w:r>
        <w:rPr>
          <w:b/>
          <w:bCs/>
          <w:sz w:val="18"/>
          <w:szCs w:val="18"/>
        </w:rPr>
        <w:t xml:space="preserve">Table 3.</w:t>
      </w:r>
      <w:r>
        <w:rPr>
          <w:sz w:val="18"/>
          <w:szCs w:val="18"/>
        </w:rPr>
        <w:t xml:space="preserve"> Profile of the 48.5 M raw records (t00_raw_profile.csv).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tblHeader/>
        </w:trPr>
        <w:tc>
          <w:tcPr>
            <w:tcW w:type="dxa" w:w="46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Check</w:t>
            </w:r>
          </w:p>
        </w:tc>
        <w:tc>
          <w:tcPr>
            <w:tcW w:type="dxa" w:w="50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Result</w:t>
            </w:r>
          </w:p>
        </w:tc>
      </w:tr>
      <w:tr>
        <w:tc>
          <w:tcPr>
            <w:tcW w:type="dxa" w:w="46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Unparseable timestamps / null station IDs / null readings</w:t>
            </w:r>
          </w:p>
        </w:tc>
        <w:tc>
          <w:tcPr>
            <w:tcW w:type="dxa" w:w="50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0 / 0 / 0</w:t>
            </w:r>
          </w:p>
        </w:tc>
      </w:tr>
      <w:tr>
        <w:tc>
          <w:tcPr>
            <w:tcW w:type="dxa" w:w="46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Negative readings</w:t>
            </w:r>
          </w:p>
        </w:tc>
        <w:tc>
          <w:tcPr>
            <w:tcW w:type="dxa" w:w="50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0</w:t>
            </w:r>
          </w:p>
        </w:tc>
      </w:tr>
      <w:tr>
        <w:tc>
          <w:tcPr>
            <w:tcW w:type="dxa" w:w="46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Readings above 30 mm in 5 minutes</w:t>
            </w:r>
          </w:p>
        </w:tc>
        <w:tc>
          <w:tcPr>
            <w:tcW w:type="dxa" w:w="50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1 (maximum 37.2 mm; Singapore's record 5-minute depth is about 20 mm)</w:t>
            </w:r>
          </w:p>
        </w:tc>
      </w:tr>
      <w:tr>
        <w:tc>
          <w:tcPr>
            <w:tcW w:type="dxa" w:w="46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Reading types / units</w:t>
            </w:r>
          </w:p>
        </w:tc>
        <w:tc>
          <w:tcPr>
            <w:tcW w:type="dxa" w:w="50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1 (TB1 Rainfall 5 Minute Total F) / 1 (mm)</w:t>
            </w:r>
          </w:p>
        </w:tc>
      </w:tr>
      <w:tr>
        <w:tc>
          <w:tcPr>
            <w:tcW w:type="dxa" w:w="46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Timestamps off the 5-minute grid</w:t>
            </w:r>
          </w:p>
        </w:tc>
        <w:tc>
          <w:tcPr>
            <w:tcW w:type="dxa" w:w="50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1,775,327, all in 2017 (stamped hh:m4:59)</w:t>
            </w:r>
          </w:p>
        </w:tc>
      </w:tr>
      <w:tr>
        <w:tc>
          <w:tcPr>
            <w:tcW w:type="dxa" w:w="46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Duplicate station-slots after rounding to the grid</w:t>
            </w:r>
          </w:p>
        </w:tc>
        <w:tc>
          <w:tcPr>
            <w:tcW w:type="dxa" w:w="50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86</w:t>
            </w:r>
          </w:p>
        </w:tc>
      </w:tr>
      <w:tr>
        <w:tc>
          <w:tcPr>
            <w:tcW w:type="dxa" w:w="46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Delay between timestamp and publication</w:t>
            </w:r>
          </w:p>
        </w:tc>
        <w:tc>
          <w:tcPr>
            <w:tcW w:type="dxa" w:w="50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median 5.5–10 minutes per year; minimum 2–5 minutes</w:t>
            </w:r>
          </w:p>
        </w:tc>
      </w:tr>
    </w:tbl>
    <w:p>
      <w:pPr>
        <w:spacing w:after="120"/>
      </w:pPr>
    </w:p>
    <w:p>
      <w:pPr>
        <w:spacing w:after="140" w:line="288"/>
      </w:pPr>
      <w:r>
        <w:t xml:space="preserve">The values are clean; the problems are the timestamp grid, completeness and, as Section 3.3 shows, a few faulty gauges. What a timestamp means is not documented: the publication delay suggests it marks the start of its five-minute interval, which Task 2 adopts as the conservative reading (Section 5.1).</w:t>
      </w:r>
    </w:p>
    <w:p>
      <w:pPr>
        <w:pStyle w:val="Heading2"/>
      </w:pPr>
      <w:r>
        <w:t xml:space="preserve">3.3 Cleaning (bronze → silver)</w:t>
      </w:r>
    </w:p>
    <w:p>
      <w:pPr>
        <w:keepNext/>
        <w:spacing w:after="80" w:before="200"/>
      </w:pPr>
      <w:r>
        <w:rPr>
          <w:b/>
          <w:bCs/>
          <w:sz w:val="18"/>
          <w:szCs w:val="18"/>
        </w:rPr>
        <w:t xml:space="preserve">Table 4.</w:t>
      </w:r>
      <w:r>
        <w:rPr>
          <w:sz w:val="18"/>
          <w:szCs w:val="18"/>
        </w:rPr>
        <w:t xml:space="preserve"> Cleaning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3938"/>
      </w:tblGrid>
      <w:tr>
        <w:trPr>
          <w:tblHeader/>
        </w:trPr>
        <w:tc>
          <w:tcPr>
            <w:tcW w:type="dxa" w:w="7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Rule</w:t>
            </w:r>
          </w:p>
        </w:tc>
        <w:tc>
          <w:tcPr>
            <w:tcW w:type="dxa" w:w="50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What</w:t>
            </w:r>
          </w:p>
        </w:tc>
        <w:tc>
          <w:tcPr>
            <w:tcW w:type="dxa" w:w="39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Why</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w:t>
            </w:r>
          </w:p>
        </w:tc>
        <w:tc>
          <w:tcPr>
            <w:tcW w:type="dxa" w:w="5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Keep the single reading type (mm)</w:t>
            </w:r>
          </w:p>
        </w:tc>
        <w:tc>
          <w:tcPr>
            <w:tcW w:type="dxa" w:w="3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one measurement and unit</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w:t>
            </w:r>
          </w:p>
        </w:tc>
        <w:tc>
          <w:tcPr>
            <w:tcW w:type="dxa" w:w="5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Snap timestamps to the nearest 5-minute grid point</w:t>
            </w:r>
          </w:p>
        </w:tc>
        <w:tc>
          <w:tcPr>
            <w:tcW w:type="dxa" w:w="3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2017 stamps are one second early and drift</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w:t>
            </w:r>
          </w:p>
        </w:tc>
        <w:tc>
          <w:tcPr>
            <w:tcW w:type="dxa" w:w="5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De-duplicate station-slots, keeping the latest update</w:t>
            </w:r>
          </w:p>
        </w:tc>
        <w:tc>
          <w:tcPr>
            <w:tcW w:type="dxa" w:w="3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records re-published after rounding</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w:t>
            </w:r>
          </w:p>
        </w:tc>
        <w:tc>
          <w:tcPr>
            <w:tcW w:type="dxa" w:w="5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Keep 0–30 mm per 5 minutes</w:t>
            </w:r>
          </w:p>
        </w:tc>
        <w:tc>
          <w:tcPr>
            <w:tcW w:type="dxa" w:w="3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removes one 37.2 mm instrument fault</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w:t>
            </w:r>
          </w:p>
        </w:tc>
        <w:tc>
          <w:tcPr>
            <w:tcW w:type="dxa" w:w="5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Station table with the modal coordinate per station</w:t>
            </w:r>
          </w:p>
        </w:tc>
        <w:tc>
          <w:tcPr>
            <w:tcW w:type="dxa" w:w="3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coordinates vary slightly across years</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w:t>
            </w:r>
          </w:p>
        </w:tc>
        <w:tc>
          <w:tcPr>
            <w:tcW w:type="dxa" w:w="5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Dead gauges: drop a station-month whose rain rate is &lt; 10 % of the network median when that median is ≥ 50 mm</w:t>
            </w:r>
          </w:p>
        </w:tc>
        <w:tc>
          <w:tcPr>
            <w:tcW w:type="dxa" w:w="3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a broken gauge reports 0.0 (e.g. S24B in January 2017)</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w:t>
            </w:r>
          </w:p>
        </w:tc>
        <w:tc>
          <w:tcPr>
            <w:tcW w:type="dxa" w:w="5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Spike days: drop a station-day of ≥ 100 mm that exceeds 4× the wettest gauge within 5 km (≥ 2 reporting)</w:t>
            </w:r>
          </w:p>
        </w:tc>
        <w:tc>
          <w:tcPr>
            <w:tcW w:type="dxa" w:w="3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faults that report too much rain</w:t>
            </w:r>
          </w:p>
        </w:tc>
      </w:tr>
    </w:tbl>
    <w:p>
      <w:pPr>
        <w:spacing w:after="120"/>
      </w:pPr>
    </w:p>
    <w:p>
      <w:pPr>
        <w:spacing w:after="140" w:line="288"/>
      </w:pPr>
      <w:r>
        <w:t xml:space="preserve">De-duplication picks the latest reading with a single max() over an (update time, value) struct, one shuffle instead of a sorted window over 48 M rows. The de-duplicated table is cached because every later rule, the station table, the fact table and the audit read it. Missing readings are </w:t>
      </w:r>
      <w:r>
        <w:rPr>
          <w:b/>
          <w:bCs/>
        </w:rPr>
        <w:t xml:space="preserve">not</w:t>
      </w:r>
      <w:r>
        <w:t xml:space="preserve"> filled with zeros: a missing reading is unknown, not dry.</w:t>
      </w:r>
    </w:p>
    <w:p>
      <w:pPr>
        <w:keepNext/>
        <w:spacing w:after="80" w:before="200"/>
      </w:pPr>
      <w:r>
        <w:rPr>
          <w:b/>
          <w:bCs/>
          <w:sz w:val="18"/>
          <w:szCs w:val="18"/>
        </w:rPr>
        <w:t xml:space="preserve">Table 5.</w:t>
      </w:r>
      <w:r>
        <w:rPr>
          <w:sz w:val="18"/>
          <w:szCs w:val="18"/>
        </w:rPr>
        <w:t xml:space="preserve"> Records removed and kept per year (t01_cleaning_audit.csv).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250"/>
        <w:gridCol w:w="1050"/>
        <w:gridCol w:w="850"/>
        <w:gridCol w:w="1100"/>
        <w:gridCol w:w="1000"/>
        <w:gridCol w:w="1250"/>
        <w:gridCol w:w="900"/>
        <w:gridCol w:w="1538"/>
      </w:tblGrid>
      <w:tr>
        <w:trPr>
          <w:tblHeader/>
        </w:trPr>
        <w:tc>
          <w:tcPr>
            <w:tcW w:type="dxa" w:w="7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Year</w:t>
            </w:r>
          </w:p>
        </w:tc>
        <w:tc>
          <w:tcPr>
            <w:tcW w:type="dxa" w:w="125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Raw</w:t>
            </w:r>
          </w:p>
        </w:tc>
        <w:tc>
          <w:tcPr>
            <w:tcW w:type="dxa" w:w="105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Duplicates</w:t>
            </w:r>
          </w:p>
        </w:tc>
        <w:tc>
          <w:tcPr>
            <w:tcW w:type="dxa" w:w="85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&gt; 30 mm</w:t>
            </w:r>
          </w:p>
        </w:tc>
        <w:tc>
          <w:tcPr>
            <w:tcW w:type="dxa" w:w="11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Dead gauge</w:t>
            </w:r>
          </w:p>
        </w:tc>
        <w:tc>
          <w:tcPr>
            <w:tcW w:type="dxa" w:w="10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Spike day</w:t>
            </w:r>
          </w:p>
        </w:tc>
        <w:tc>
          <w:tcPr>
            <w:tcW w:type="dxa" w:w="125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Clean</w:t>
            </w:r>
          </w:p>
        </w:tc>
        <w:tc>
          <w:tcPr>
            <w:tcW w:type="dxa" w:w="9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Gauges</w:t>
            </w:r>
          </w:p>
        </w:tc>
        <w:tc>
          <w:tcPr>
            <w:tcW w:type="dxa" w:w="15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Kept %</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2017</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5,256,106</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86</w:t>
            </w:r>
          </w:p>
        </w:tc>
        <w:tc>
          <w:tcPr>
            <w:tcW w:type="dxa" w:w="8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58,673</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5,197,347</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58</w:t>
            </w:r>
          </w:p>
        </w:tc>
        <w:tc>
          <w:tcPr>
            <w:tcW w:type="dxa" w:w="15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98.88</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2018</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4,594,246</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8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9,789</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4,584,457</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56</w:t>
            </w:r>
          </w:p>
        </w:tc>
        <w:tc>
          <w:tcPr>
            <w:tcW w:type="dxa" w:w="15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99.79</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2019</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5,026,862</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8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55,178</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4,971,684</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54</w:t>
            </w:r>
          </w:p>
        </w:tc>
        <w:tc>
          <w:tcPr>
            <w:tcW w:type="dxa" w:w="15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98.90</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2020</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6,334,473</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8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21,766</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6,312,707</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80</w:t>
            </w:r>
          </w:p>
        </w:tc>
        <w:tc>
          <w:tcPr>
            <w:tcW w:type="dxa" w:w="15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99.66</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2021</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7,044,646</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8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24,240</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576</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7,019,830</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74</w:t>
            </w:r>
          </w:p>
        </w:tc>
        <w:tc>
          <w:tcPr>
            <w:tcW w:type="dxa" w:w="15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99.65</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2022</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7,133,230</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8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12,970</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568</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7,119,691</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72</w:t>
            </w:r>
          </w:p>
        </w:tc>
        <w:tc>
          <w:tcPr>
            <w:tcW w:type="dxa" w:w="15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99.81</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2023</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6,742,890</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8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12,534</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6,730,356</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73</w:t>
            </w:r>
          </w:p>
        </w:tc>
        <w:tc>
          <w:tcPr>
            <w:tcW w:type="dxa" w:w="15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99.81</w:t>
            </w:r>
          </w:p>
        </w:tc>
      </w:tr>
      <w:tr>
        <w:tc>
          <w:tcPr>
            <w:tcW w:type="dxa" w:w="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2024</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6,406,260</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8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3,394</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6,402,866</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70</w:t>
            </w:r>
          </w:p>
        </w:tc>
        <w:tc>
          <w:tcPr>
            <w:tcW w:type="dxa" w:w="15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99.95</w:t>
            </w:r>
          </w:p>
        </w:tc>
      </w:tr>
      <w:tr>
        <w:tc>
          <w:tcPr>
            <w:tcW w:type="dxa" w:w="70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left"/>
            </w:pPr>
            <w:r>
              <w:rPr>
                <w:b/>
                <w:bCs/>
                <w:sz w:val="17"/>
                <w:szCs w:val="17"/>
              </w:rPr>
              <w:t xml:space="preserve">Total</w:t>
            </w:r>
          </w:p>
        </w:tc>
        <w:tc>
          <w:tcPr>
            <w:tcW w:type="dxa" w:w="125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48,538,713</w:t>
            </w:r>
          </w:p>
        </w:tc>
        <w:tc>
          <w:tcPr>
            <w:tcW w:type="dxa" w:w="105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86</w:t>
            </w:r>
          </w:p>
        </w:tc>
        <w:tc>
          <w:tcPr>
            <w:tcW w:type="dxa" w:w="85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1</w:t>
            </w:r>
          </w:p>
        </w:tc>
        <w:tc>
          <w:tcPr>
            <w:tcW w:type="dxa" w:w="110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198,544</w:t>
            </w:r>
          </w:p>
        </w:tc>
        <w:tc>
          <w:tcPr>
            <w:tcW w:type="dxa" w:w="100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1,144</w:t>
            </w:r>
          </w:p>
        </w:tc>
        <w:tc>
          <w:tcPr>
            <w:tcW w:type="dxa" w:w="125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48,338,938</w:t>
            </w:r>
          </w:p>
        </w:tc>
        <w:tc>
          <w:tcPr>
            <w:tcW w:type="dxa" w:w="90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91</w:t>
            </w:r>
          </w:p>
        </w:tc>
        <w:tc>
          <w:tcPr>
            <w:tcW w:type="dxa" w:w="1538"/>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99.59</w:t>
            </w:r>
          </w:p>
        </w:tc>
      </w:tr>
    </w:tbl>
    <w:p>
      <w:pPr>
        <w:spacing w:after="120"/>
      </w:pPr>
    </w:p>
    <w:p>
      <w:pPr>
        <w:keepNext/>
        <w:spacing w:after="80" w:before="200"/>
      </w:pPr>
      <w:r>
        <w:rPr>
          <w:b/>
          <w:bCs/>
          <w:sz w:val="18"/>
          <w:szCs w:val="18"/>
        </w:rPr>
        <w:t xml:space="preserve">Table 6.</w:t>
      </w:r>
      <w:r>
        <w:rPr>
          <w:sz w:val="18"/>
          <w:szCs w:val="18"/>
        </w:rPr>
        <w:t xml:space="preserve"> The four spike days removed by rule 7 (t01b_qc_spike_days.csv).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900"/>
        <w:gridCol w:w="3138"/>
        <w:gridCol w:w="1400"/>
      </w:tblGrid>
      <w:tr>
        <w:trPr>
          <w:tblHeader/>
        </w:trPr>
        <w:tc>
          <w:tcPr>
            <w:tcW w:type="dxa" w:w="14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Station</w:t>
            </w:r>
          </w:p>
        </w:tc>
        <w:tc>
          <w:tcPr>
            <w:tcW w:type="dxa" w:w="18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Date</w:t>
            </w:r>
          </w:p>
        </w:tc>
        <w:tc>
          <w:tcPr>
            <w:tcW w:type="dxa" w:w="19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Day total (mm)</w:t>
            </w:r>
          </w:p>
        </w:tc>
        <w:tc>
          <w:tcPr>
            <w:tcW w:type="dxa" w:w="31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Wettest gauge within 5 km (mm)</w:t>
            </w:r>
          </w:p>
        </w:tc>
        <w:tc>
          <w:tcPr>
            <w:tcW w:type="dxa" w:w="14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Neighbours</w:t>
            </w:r>
          </w:p>
        </w:tc>
      </w:tr>
      <w:tr>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S36</w:t>
            </w:r>
          </w:p>
        </w:tc>
        <w:tc>
          <w:tcPr>
            <w:tcW w:type="dxa" w:w="1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2021-01-20</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138</w:t>
            </w:r>
          </w:p>
        </w:tc>
        <w:tc>
          <w:tcPr>
            <w:tcW w:type="dxa" w:w="31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14</w:t>
            </w:r>
          </w:p>
        </w:tc>
      </w:tr>
      <w:tr>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S36</w:t>
            </w:r>
          </w:p>
        </w:tc>
        <w:tc>
          <w:tcPr>
            <w:tcW w:type="dxa" w:w="1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2021-04-01</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320</w:t>
            </w:r>
          </w:p>
        </w:tc>
        <w:tc>
          <w:tcPr>
            <w:tcW w:type="dxa" w:w="31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14</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14</w:t>
            </w:r>
          </w:p>
        </w:tc>
      </w:tr>
      <w:tr>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S107</w:t>
            </w:r>
          </w:p>
        </w:tc>
        <w:tc>
          <w:tcPr>
            <w:tcW w:type="dxa" w:w="1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2022-08-20</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262</w:t>
            </w:r>
          </w:p>
        </w:tc>
        <w:tc>
          <w:tcPr>
            <w:tcW w:type="dxa" w:w="31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32</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w:t>
            </w:r>
          </w:p>
        </w:tc>
      </w:tr>
      <w:tr>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S107</w:t>
            </w:r>
          </w:p>
        </w:tc>
        <w:tc>
          <w:tcPr>
            <w:tcW w:type="dxa" w:w="1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2022-08-21</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749</w:t>
            </w:r>
          </w:p>
        </w:tc>
        <w:tc>
          <w:tcPr>
            <w:tcW w:type="dxa" w:w="31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32</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w:t>
            </w:r>
          </w:p>
        </w:tc>
      </w:tr>
    </w:tbl>
    <w:p>
      <w:pPr>
        <w:spacing w:after="120"/>
      </w:pPr>
    </w:p>
    <w:p>
      <w:pPr>
        <w:spacing w:after="140" w:line="288"/>
      </w:pPr>
      <w:r>
        <w:t xml:space="preserve">The faulty-gauge rules affect only 0.4 % of the readings but matter for the results: the S107 fault would otherwise appear as a record 147 mm hour in 2022 and add about 11 mm to that year's island total, and the dead-gauge months would pull island means down.</w:t>
      </w:r>
    </w:p>
    <w:p>
      <w:pPr>
        <w:pStyle w:val="Heading2"/>
      </w:pPr>
      <w:r>
        <w:t xml:space="preserve">3.4 Pre-processing</w:t>
      </w:r>
    </w:p>
    <w:p>
      <w:pPr>
        <w:spacing w:after="140" w:line="288"/>
      </w:pPr>
      <w:r>
        <w:t xml:space="preserve">Because the network grows from about 55 gauges (2017–2019) to about 75 (2020–2023) and gauges drop out for days at a time, an average over rows would let the changing network masquerade as a change in climate. Island-wide quantities are therefore built from </w:t>
      </w:r>
      <w:r>
        <w:rPr>
          <w:b/>
          <w:bCs/>
        </w:rPr>
        <w:t xml:space="preserve">station-days</w:t>
      </w:r>
      <w:r>
        <w:t xml:space="preserve"> with explicit completeness rules (Figure 1):</w:t>
      </w:r>
    </w:p>
    <w:p>
      <w:pPr>
        <w:pStyle w:val="ListParagraph"/>
        <w:numPr>
          <w:ilvl w:val="0"/>
          <w:numId w:val="2"/>
        </w:numPr>
        <w:spacing w:after="80" w:line="276"/>
      </w:pPr>
      <w:r>
        <w:t xml:space="preserve">a station-day is usable with at least 231 of its 288 five-minute slots (80 %); an island-day is usable with at least 20 usable station-days;</w:t>
      </w:r>
    </w:p>
    <w:p>
      <w:pPr>
        <w:pStyle w:val="ListParagraph"/>
        <w:numPr>
          <w:ilvl w:val="0"/>
          <w:numId w:val="2"/>
        </w:numPr>
        <w:spacing w:after="80" w:line="276"/>
      </w:pPr>
      <w:r>
        <w:t xml:space="preserve">island rainfall is the unweighted mean of usable station-day totals; annual and monthly totals are reported both observed and </w:t>
      </w:r>
      <w:r>
        <w:rPr>
          <w:b/>
          <w:bCs/>
        </w:rPr>
        <w:t xml:space="preserve">gap-filled</w:t>
      </w:r>
      <w:r>
        <w:t xml:space="preserve">, where an unusable day takes the (month, day) climatology of the other years (63 calendar days have no data at all, 28 of them in August 2018);</w:t>
      </w:r>
    </w:p>
    <w:p>
      <w:pPr>
        <w:pStyle w:val="ListParagraph"/>
        <w:numPr>
          <w:ilvl w:val="0"/>
          <w:numId w:val="2"/>
        </w:numPr>
        <w:spacing w:after="80" w:line="276"/>
      </w:pPr>
      <w:r>
        <w:t xml:space="preserve">a </w:t>
      </w:r>
      <w:r>
        <w:rPr>
          <w:b/>
          <w:bCs/>
        </w:rPr>
        <w:t xml:space="preserve">fixed network</w:t>
      </w:r>
      <w:r>
        <w:t xml:space="preserve"> of the 21 gauges with at least 80 % coverage in all eight years is used to check that temporal results are not artefacts of the changing network;</w:t>
      </w:r>
    </w:p>
    <w:p>
      <w:pPr>
        <w:pStyle w:val="ListParagraph"/>
        <w:numPr>
          <w:ilvl w:val="0"/>
          <w:numId w:val="2"/>
        </w:numPr>
        <w:spacing w:after="80" w:line="276"/>
      </w:pPr>
      <w:r>
        <w:t xml:space="preserve">rolling accumulations are Spark window functions over each station's series with time-based ranges (rangeBetween on epoch seconds) and an explicit count of the slots present, so a gap invalidates a window instead of silently pulling in older readings.</w:t>
      </w:r>
    </w:p>
    <w:p>
      <w:pPr>
        <w:keepNext/>
        <w:spacing w:after="60" w:before="160"/>
        <w:jc w:val="center"/>
      </w:pPr>
      <w:r>
        <w:drawing>
          <wp:inline distT="0" distB="0" distL="0" distR="0">
            <wp:extent cx="6124575" cy="4972050"/>
            <wp:effectExtent t="0" r="0" b="0" l="0"/>
            <wp:docPr id="1" name="fig01_data_foundation.png" descr="Data foundation. (a) Gauges reporting per day and gauges passing the completeness rule; red lines mark days with no data anywhere. (b) Completeness of each station-year. (c) Station-years retained as a function of the completeness threshol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4972050"/>
                    </a:xfrm>
                    <a:prstGeom prst="rect">
                      <a:avLst/>
                    </a:prstGeom>
                  </pic:spPr>
                </pic:pic>
              </a:graphicData>
            </a:graphic>
          </wp:inline>
        </w:drawing>
      </w:r>
    </w:p>
    <w:p>
      <w:pPr>
        <w:spacing w:after="240"/>
      </w:pPr>
      <w:r>
        <w:rPr>
          <w:b/>
          <w:bCs/>
          <w:color w:val="1F2937"/>
          <w:sz w:val="18"/>
          <w:szCs w:val="18"/>
        </w:rPr>
        <w:t xml:space="preserve">Figure 1.</w:t>
      </w:r>
      <w:r>
        <w:rPr>
          <w:color w:val="1F2937"/>
          <w:sz w:val="18"/>
          <w:szCs w:val="18"/>
        </w:rPr>
        <w:t xml:space="preserve"> Data foundation. (a) Gauges reporting per day and gauges passing the completeness rule; red lines mark days with no data anywhere. (b) Completeness of each station-year. (c) Station-years retained as a function of the completeness threshold.</w:t>
      </w:r>
    </w:p>
    <w:p>
      <w:pPr>
        <w:pStyle w:val="Heading1"/>
      </w:pPr>
      <w:r>
        <w:t xml:space="preserve">4. Task 1: weather patterns within a year and across 2017–2024</w:t>
      </w:r>
    </w:p>
    <w:p>
      <w:pPr>
        <w:pStyle w:val="Heading2"/>
      </w:pPr>
      <w:r>
        <w:t xml:space="preserve">4.1 Approach</w:t>
      </w:r>
    </w:p>
    <w:p>
      <w:pPr>
        <w:spacing w:after="140" w:line="288"/>
      </w:pPr>
      <w:r>
        <w:t xml:space="preserve">Patterns were investigated with Spark aggregations of the silver readings at several scales: the island-wide daily series (annual and monthly totals, anomalies, wet-day frequency and intensity); half-hour × month means for the diurnal cycle; 5-minute intensity distributions and concentration curves; per-station climatologies over a common 2021–2024 window for the spatial pattern; a half-hour × station pivot for pairwise correlations; rain events built with lag and running-sum windows; and trailing 30- and 60-minute accumulations for extremes. Year-to-year changes were tested with an exact Mann–Kendall test and Sen's slope, and every headline result was re-derived on the fixed network.</w:t>
      </w:r>
    </w:p>
    <w:p>
      <w:pPr>
        <w:pStyle w:val="Heading2"/>
      </w:pPr>
      <w:r>
        <w:t xml:space="preserve">4.2 Year-to-year variability</w:t>
      </w:r>
    </w:p>
    <w:p>
      <w:pPr>
        <w:keepNext/>
        <w:spacing w:after="80" w:before="200"/>
      </w:pPr>
      <w:r>
        <w:rPr>
          <w:b/>
          <w:bCs/>
          <w:sz w:val="18"/>
          <w:szCs w:val="18"/>
        </w:rPr>
        <w:t xml:space="preserve">Table 7.</w:t>
      </w:r>
      <w:r>
        <w:rPr>
          <w:sz w:val="18"/>
          <w:szCs w:val="18"/>
        </w:rPr>
        <w:t xml:space="preserve"> Annual island rainfall (t07_annual_summary.csv, t19_event_summary_annual.csv). Wet days are scaled to a full year.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250"/>
        <w:gridCol w:w="1800"/>
        <w:gridCol w:w="1500"/>
        <w:gridCol w:w="1400"/>
        <w:gridCol w:w="1500"/>
        <w:gridCol w:w="1288"/>
      </w:tblGrid>
      <w:tr>
        <w:trPr>
          <w:tblHeader/>
        </w:trPr>
        <w:tc>
          <w:tcPr>
            <w:tcW w:type="dxa" w:w="9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Year</w:t>
            </w:r>
          </w:p>
        </w:tc>
        <w:tc>
          <w:tcPr>
            <w:tcW w:type="dxa" w:w="125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Days missing</w:t>
            </w:r>
          </w:p>
        </w:tc>
        <w:tc>
          <w:tcPr>
            <w:tcW w:type="dxa" w:w="18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Gap-filled total (mm)</w:t>
            </w:r>
          </w:p>
        </w:tc>
        <w:tc>
          <w:tcPr>
            <w:tcW w:type="dxa" w:w="15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Wet days (≥ 1 mm)</w:t>
            </w:r>
          </w:p>
        </w:tc>
        <w:tc>
          <w:tcPr>
            <w:tcW w:type="dxa" w:w="14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mm per wet day</w:t>
            </w:r>
          </w:p>
        </w:tc>
        <w:tc>
          <w:tcPr>
            <w:tcW w:type="dxa" w:w="15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Events per gauge</w:t>
            </w:r>
          </w:p>
        </w:tc>
        <w:tc>
          <w:tcPr>
            <w:tcW w:type="dxa" w:w="128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Gauges</w:t>
            </w:r>
          </w:p>
        </w:tc>
      </w:tr>
      <w:tr>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2017</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w:t>
            </w:r>
          </w:p>
        </w:tc>
        <w:tc>
          <w:tcPr>
            <w:tcW w:type="dxa" w:w="1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2,454</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239</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10.3</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403</w:t>
            </w:r>
          </w:p>
        </w:tc>
        <w:tc>
          <w:tcPr>
            <w:tcW w:type="dxa" w:w="128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58</w:t>
            </w:r>
          </w:p>
        </w:tc>
      </w:tr>
      <w:tr>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2018</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92</w:t>
            </w:r>
          </w:p>
        </w:tc>
        <w:tc>
          <w:tcPr>
            <w:tcW w:type="dxa" w:w="1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2,656</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245</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10.9</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374</w:t>
            </w:r>
          </w:p>
        </w:tc>
        <w:tc>
          <w:tcPr>
            <w:tcW w:type="dxa" w:w="128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56</w:t>
            </w:r>
          </w:p>
        </w:tc>
      </w:tr>
      <w:tr>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2019</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16</w:t>
            </w:r>
          </w:p>
        </w:tc>
        <w:tc>
          <w:tcPr>
            <w:tcW w:type="dxa" w:w="1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1,787</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172</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10.4</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266</w:t>
            </w:r>
          </w:p>
        </w:tc>
        <w:tc>
          <w:tcPr>
            <w:tcW w:type="dxa" w:w="128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54</w:t>
            </w:r>
          </w:p>
        </w:tc>
      </w:tr>
      <w:tr>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2020</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16</w:t>
            </w:r>
          </w:p>
        </w:tc>
        <w:tc>
          <w:tcPr>
            <w:tcW w:type="dxa" w:w="1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2,631</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230</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11.4</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365</w:t>
            </w:r>
          </w:p>
        </w:tc>
        <w:tc>
          <w:tcPr>
            <w:tcW w:type="dxa" w:w="128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80</w:t>
            </w:r>
          </w:p>
        </w:tc>
      </w:tr>
      <w:tr>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2021</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w:t>
            </w:r>
          </w:p>
        </w:tc>
        <w:tc>
          <w:tcPr>
            <w:tcW w:type="dxa" w:w="1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2,900</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214</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13.6</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381</w:t>
            </w:r>
          </w:p>
        </w:tc>
        <w:tc>
          <w:tcPr>
            <w:tcW w:type="dxa" w:w="128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74</w:t>
            </w:r>
          </w:p>
        </w:tc>
      </w:tr>
      <w:tr>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2022</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2,893</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241</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12.0</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437</w:t>
            </w:r>
          </w:p>
        </w:tc>
        <w:tc>
          <w:tcPr>
            <w:tcW w:type="dxa" w:w="128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72</w:t>
            </w:r>
          </w:p>
        </w:tc>
      </w:tr>
      <w:tr>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2023</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12</w:t>
            </w:r>
          </w:p>
        </w:tc>
        <w:tc>
          <w:tcPr>
            <w:tcW w:type="dxa" w:w="1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2,879</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228</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12.6</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412</w:t>
            </w:r>
          </w:p>
        </w:tc>
        <w:tc>
          <w:tcPr>
            <w:tcW w:type="dxa" w:w="128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73</w:t>
            </w:r>
          </w:p>
        </w:tc>
      </w:tr>
      <w:tr>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2024</w:t>
            </w:r>
          </w:p>
        </w:tc>
        <w:tc>
          <w:tcPr>
            <w:tcW w:type="dxa" w:w="12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w:t>
            </w:r>
          </w:p>
        </w:tc>
        <w:tc>
          <w:tcPr>
            <w:tcW w:type="dxa" w:w="1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2,708</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233</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11.6</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397</w:t>
            </w:r>
          </w:p>
        </w:tc>
        <w:tc>
          <w:tcPr>
            <w:tcW w:type="dxa" w:w="128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70</w:t>
            </w:r>
          </w:p>
        </w:tc>
      </w:tr>
    </w:tbl>
    <w:p>
      <w:pPr>
        <w:spacing w:after="120"/>
      </w:pPr>
    </w:p>
    <w:p>
      <w:pPr>
        <w:spacing w:after="140" w:line="288"/>
      </w:pPr>
      <w:r>
        <w:t xml:space="preserve">Annual rainfall ranges from </w:t>
      </w:r>
      <w:r>
        <w:rPr>
          <w:b/>
          <w:bCs/>
        </w:rPr>
        <w:t xml:space="preserve">1,787 mm in 2019 to 2,900 mm in 2021</w:t>
      </w:r>
      <w:r>
        <w:t xml:space="preserve">, a 62 % spread around a 2,613 mm mean, with 2022 a near-tie at 2,893 mm. Splitting the total into frequency and intensity (Figure 2) shows that </w:t>
      </w:r>
      <w:r>
        <w:rPr>
          <w:b/>
          <w:bCs/>
        </w:rPr>
        <w:t xml:space="preserve">2019 was dry because it rained less often</w:t>
      </w:r>
      <w:r>
        <w:t xml:space="preserve">: 172 wet days against a 233-day average for the other years and 266 rain events per gauge against about 400, while its 10.4 mm per wet day matches 2017's 10.3 mm. 2018 is missing 92 island-days (August 2018 is almost absent from the source), so only its gap-filled total is comparable. Monthly anomalies (Figure 4) persist for whole seasons: the 2019 dry spell lasts 12 consecutive below-average months.</w:t>
      </w:r>
    </w:p>
    <w:p>
      <w:pPr>
        <w:keepNext/>
        <w:spacing w:after="60" w:before="160"/>
        <w:jc w:val="center"/>
      </w:pPr>
      <w:r>
        <w:drawing>
          <wp:inline distT="0" distB="0" distL="0" distR="0">
            <wp:extent cx="6124575" cy="3086100"/>
            <wp:effectExtent t="0" r="0" b="0" l="0"/>
            <wp:docPr id="2" name="fig02_annual_totals.png" descr="Annual island rainfall (a), split into frequency (b, wet days per year) and intensity (c, mm per wet day)."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086100"/>
                    </a:xfrm>
                    <a:prstGeom prst="rect">
                      <a:avLst/>
                    </a:prstGeom>
                  </pic:spPr>
                </pic:pic>
              </a:graphicData>
            </a:graphic>
          </wp:inline>
        </w:drawing>
      </w:r>
    </w:p>
    <w:p>
      <w:pPr>
        <w:spacing w:after="240"/>
      </w:pPr>
      <w:r>
        <w:rPr>
          <w:b/>
          <w:bCs/>
          <w:color w:val="1F2937"/>
          <w:sz w:val="18"/>
          <w:szCs w:val="18"/>
        </w:rPr>
        <w:t xml:space="preserve">Figure 2.</w:t>
      </w:r>
      <w:r>
        <w:rPr>
          <w:color w:val="1F2937"/>
          <w:sz w:val="18"/>
          <w:szCs w:val="18"/>
        </w:rPr>
        <w:t xml:space="preserve"> Annual island rainfall (a), split into frequency (b, wet days per year) and intensity (c, mm per wet day).</w:t>
      </w:r>
    </w:p>
    <w:p>
      <w:pPr>
        <w:pStyle w:val="Heading2"/>
      </w:pPr>
      <w:r>
        <w:t xml:space="preserve">4.3 Within-year patterns: the seasonal cycle</w:t>
      </w:r>
    </w:p>
    <w:p>
      <w:pPr>
        <w:spacing w:after="140" w:line="288"/>
      </w:pPr>
      <w:r>
        <w:t xml:space="preserve">The 2017–2024 monthly climatology has </w:t>
      </w:r>
      <w:r>
        <w:rPr>
          <w:b/>
          <w:bCs/>
        </w:rPr>
        <w:t xml:space="preserve">two wet seasons</w:t>
      </w:r>
      <w:r>
        <w:t xml:space="preserve">: November (315 mm), December (261 mm) and January (247 mm) during the north-east monsoon, and April (248 mm) and May (217 mm) in the first inter-monsoon period. February (145 mm) and July (147 mm) are the driest months. The same calendar month varies by up to a factor of ten between years (February: 32 mm in 2021, 352 mm in 2023), so the calendar alone is a weak predictor of any individual month (Figure 3).</w:t>
      </w:r>
    </w:p>
    <w:p>
      <w:pPr>
        <w:keepNext/>
        <w:spacing w:after="60" w:before="160"/>
        <w:jc w:val="center"/>
      </w:pPr>
      <w:r>
        <w:drawing>
          <wp:inline distT="0" distB="0" distL="0" distR="0">
            <wp:extent cx="6124575" cy="3667125"/>
            <wp:effectExtent t="0" r="0" b="0" l="0"/>
            <wp:docPr id="3" name="fig03_seasonal_cycle.png" descr="Monthly island rainfall for every month of 2017–2024 (a) and the monthly climatology with its 2017–2024 range (b). Red outlines mark months with fewer than 90 % of days observ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667125"/>
                    </a:xfrm>
                    <a:prstGeom prst="rect">
                      <a:avLst/>
                    </a:prstGeom>
                  </pic:spPr>
                </pic:pic>
              </a:graphicData>
            </a:graphic>
          </wp:inline>
        </w:drawing>
      </w:r>
    </w:p>
    <w:p>
      <w:pPr>
        <w:spacing w:after="240"/>
      </w:pPr>
      <w:r>
        <w:rPr>
          <w:b/>
          <w:bCs/>
          <w:color w:val="1F2937"/>
          <w:sz w:val="18"/>
          <w:szCs w:val="18"/>
        </w:rPr>
        <w:t xml:space="preserve">Figure 3.</w:t>
      </w:r>
      <w:r>
        <w:rPr>
          <w:color w:val="1F2937"/>
          <w:sz w:val="18"/>
          <w:szCs w:val="18"/>
        </w:rPr>
        <w:t xml:space="preserve"> Monthly island rainfall for every month of 2017–2024 (a) and the monthly climatology with its 2017–2024 range (b). Red outlines mark months with fewer than 90 % of days observed.</w:t>
      </w:r>
    </w:p>
    <w:p>
      <w:pPr>
        <w:keepNext/>
        <w:spacing w:after="60" w:before="160"/>
        <w:jc w:val="center"/>
      </w:pPr>
      <w:r>
        <w:drawing>
          <wp:inline distT="0" distB="0" distL="0" distR="0">
            <wp:extent cx="6124575" cy="3829050"/>
            <wp:effectExtent t="0" r="0" b="0" l="0"/>
            <wp:docPr id="4" name="fig04_monthly_anomaly.png" descr="Monthly anomalies from each calendar month's 2017–2024 mean (a) and the 12-month running total (b)."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829050"/>
                    </a:xfrm>
                    <a:prstGeom prst="rect">
                      <a:avLst/>
                    </a:prstGeom>
                  </pic:spPr>
                </pic:pic>
              </a:graphicData>
            </a:graphic>
          </wp:inline>
        </w:drawing>
      </w:r>
    </w:p>
    <w:p>
      <w:pPr>
        <w:spacing w:after="240"/>
      </w:pPr>
      <w:r>
        <w:rPr>
          <w:b/>
          <w:bCs/>
          <w:color w:val="1F2937"/>
          <w:sz w:val="18"/>
          <w:szCs w:val="18"/>
        </w:rPr>
        <w:t xml:space="preserve">Figure 4.</w:t>
      </w:r>
      <w:r>
        <w:rPr>
          <w:color w:val="1F2937"/>
          <w:sz w:val="18"/>
          <w:szCs w:val="18"/>
        </w:rPr>
        <w:t xml:space="preserve"> Monthly anomalies from each calendar month's 2017–2024 mean (a) and the 12-month running total (b).</w:t>
      </w:r>
    </w:p>
    <w:p>
      <w:pPr>
        <w:pStyle w:val="Heading2"/>
      </w:pPr>
      <w:r>
        <w:t xml:space="preserve">4.4 Within-day patterns: two diurnal regimes</w:t>
      </w:r>
    </w:p>
    <w:p>
      <w:pPr>
        <w:spacing w:after="140" w:line="288"/>
      </w:pPr>
      <w:r>
        <w:t xml:space="preserve">From June to September (south-west monsoon) the daily maximum of the mean rainfall rate occurs at about </w:t>
      </w:r>
      <w:r>
        <w:rPr>
          <w:b/>
          <w:bCs/>
        </w:rPr>
        <w:t xml:space="preserve">10:00</w:t>
      </w:r>
      <w:r>
        <w:t xml:space="preserve">, whereas in every other season it is a sharp </w:t>
      </w:r>
      <w:r>
        <w:rPr>
          <w:b/>
          <w:bCs/>
        </w:rPr>
        <w:t xml:space="preserve">15:00–16:00</w:t>
      </w:r>
      <w:r>
        <w:t xml:space="preserve"> afternoon peak (Figure 5). The peak hour therefore swings by about six hours through the year. The morning peak is consistent with squall lines reaching Singapore around dawn and the afternoon peak with daytime convection; these mechanisms come from the literature and are not tested with this dataset. Event start times (Figure 9b) recover the same two regimes from an independent construction.</w:t>
      </w:r>
    </w:p>
    <w:p>
      <w:pPr>
        <w:keepNext/>
        <w:spacing w:after="60" w:before="160"/>
        <w:jc w:val="center"/>
      </w:pPr>
      <w:r>
        <w:drawing>
          <wp:inline distT="0" distB="0" distL="0" distR="0">
            <wp:extent cx="6124575" cy="4238625"/>
            <wp:effectExtent t="0" r="0" b="0" l="0"/>
            <wp:docPr id="5" name="fig05_diurnal_cycle.png" descr="Diurnal cycle: mean rainfall rate by half-hour and month (a) and by season (b)."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4238625"/>
                    </a:xfrm>
                    <a:prstGeom prst="rect">
                      <a:avLst/>
                    </a:prstGeom>
                  </pic:spPr>
                </pic:pic>
              </a:graphicData>
            </a:graphic>
          </wp:inline>
        </w:drawing>
      </w:r>
    </w:p>
    <w:p>
      <w:pPr>
        <w:spacing w:after="240"/>
      </w:pPr>
      <w:r>
        <w:rPr>
          <w:b/>
          <w:bCs/>
          <w:color w:val="1F2937"/>
          <w:sz w:val="18"/>
          <w:szCs w:val="18"/>
        </w:rPr>
        <w:t xml:space="preserve">Figure 5.</w:t>
      </w:r>
      <w:r>
        <w:rPr>
          <w:color w:val="1F2937"/>
          <w:sz w:val="18"/>
          <w:szCs w:val="18"/>
        </w:rPr>
        <w:t xml:space="preserve"> Diurnal cycle: mean rainfall rate by half-hour and month (a) and by season (b).</w:t>
      </w:r>
    </w:p>
    <w:p>
      <w:pPr>
        <w:pStyle w:val="Heading2"/>
      </w:pPr>
      <w:r>
        <w:t xml:space="preserve">4.5 Intensity and concentration</w:t>
      </w:r>
    </w:p>
    <w:p>
      <w:pPr>
        <w:spacing w:after="140" w:line="288"/>
      </w:pPr>
      <w:r>
        <w:t xml:space="preserve">Five-minute intensity is heavy-tailed, and rain is extremely concentrated in time: </w:t>
      </w:r>
      <w:r>
        <w:rPr>
          <w:b/>
          <w:bCs/>
        </w:rPr>
        <w:t xml:space="preserve">the wettest 10 % of wet five-minute slots deliver 49 % of a year's rain and the wettest 1 % deliver 10 %</w:t>
      </w:r>
      <w:r>
        <w:t xml:space="preserve"> (Figure 6). The concentration curve is nearly identical every year, the 2019 drought included, which confirms that dry years differ in how often it rains rather than in how hard. The typical rain event is short and light (median duration 20 minutes, median depth about 1 mm; Figure 9).</w:t>
      </w:r>
    </w:p>
    <w:p>
      <w:pPr>
        <w:keepNext/>
        <w:spacing w:after="60" w:before="160"/>
        <w:jc w:val="center"/>
      </w:pPr>
      <w:r>
        <w:drawing>
          <wp:inline distT="0" distB="0" distL="0" distR="0">
            <wp:extent cx="6124575" cy="3533775"/>
            <wp:effectExtent t="0" r="0" b="0" l="0"/>
            <wp:docPr id="6" name="fig06_intensity.png" descr="Exceedance probability of 5-minute rainfall depths by year (a) and the share of annual rainfall delivered by the wettest wet intervals (b)."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533775"/>
                    </a:xfrm>
                    <a:prstGeom prst="rect">
                      <a:avLst/>
                    </a:prstGeom>
                  </pic:spPr>
                </pic:pic>
              </a:graphicData>
            </a:graphic>
          </wp:inline>
        </w:drawing>
      </w:r>
    </w:p>
    <w:p>
      <w:pPr>
        <w:spacing w:after="240"/>
      </w:pPr>
      <w:r>
        <w:rPr>
          <w:b/>
          <w:bCs/>
          <w:color w:val="1F2937"/>
          <w:sz w:val="18"/>
          <w:szCs w:val="18"/>
        </w:rPr>
        <w:t xml:space="preserve">Figure 6.</w:t>
      </w:r>
      <w:r>
        <w:rPr>
          <w:color w:val="1F2937"/>
          <w:sz w:val="18"/>
          <w:szCs w:val="18"/>
        </w:rPr>
        <w:t xml:space="preserve"> Exceedance probability of 5-minute rainfall depths by year (a) and the share of annual rainfall delivered by the wettest wet intervals (b).</w:t>
      </w:r>
    </w:p>
    <w:p>
      <w:pPr>
        <w:pStyle w:val="Heading2"/>
      </w:pPr>
      <w:r>
        <w:t xml:space="preserve">4.6 Spatial pattern and spatial coherence</w:t>
      </w:r>
    </w:p>
    <w:p>
      <w:pPr>
        <w:spacing w:after="140" w:line="288"/>
      </w:pPr>
      <w:r>
        <w:t xml:space="preserve">Over the common 2021–2024 window (53 gauges with complete records) the wettest gauge averages </w:t>
      </w:r>
      <w:r>
        <w:rPr>
          <w:b/>
          <w:bCs/>
        </w:rPr>
        <w:t xml:space="preserve">3,548 mm a year and the driest 1,700 mm</w:t>
      </w:r>
      <w:r>
        <w:t xml:space="preserve">, a factor of 2.1 across an island about 50 km wide. Rainfall falls by about </w:t>
      </w:r>
      <w:r>
        <w:rPr>
          <w:b/>
          <w:bCs/>
        </w:rPr>
        <w:t xml:space="preserve">266 mm per 10 km travelled east</w:t>
      </w:r>
      <w:r>
        <w:t xml:space="preserve"> (r = −0.68): the wet core lies over the west and centre and the east is markedly drier (Figure 7). The field in Figure 7a is a linear interpolation between gauges, drawn only on Singapore's land area and not extrapolated beyond the gauges' convex hull.</w:t>
      </w:r>
    </w:p>
    <w:p>
      <w:pPr>
        <w:keepNext/>
        <w:spacing w:after="60" w:before="160"/>
        <w:jc w:val="center"/>
      </w:pPr>
      <w:r>
        <w:drawing>
          <wp:inline distT="0" distB="0" distL="0" distR="0">
            <wp:extent cx="6124575" cy="3838575"/>
            <wp:effectExtent t="0" r="0" b="0" l="0"/>
            <wp:docPr id="7" name="fig07_spatial_climatology.png" descr="Mean annual rainfall over 2021–2024 for the 53 gauges with complete records, interpolated between gauges and shown on Singapore's land area with the coastline (a), and its west–east gradient (b). Coastline: URA Master Plan 2014 via geoBoundaries (ODb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838575"/>
                    </a:xfrm>
                    <a:prstGeom prst="rect">
                      <a:avLst/>
                    </a:prstGeom>
                  </pic:spPr>
                </pic:pic>
              </a:graphicData>
            </a:graphic>
          </wp:inline>
        </w:drawing>
      </w:r>
    </w:p>
    <w:p>
      <w:pPr>
        <w:spacing w:after="240"/>
      </w:pPr>
      <w:r>
        <w:rPr>
          <w:b/>
          <w:bCs/>
          <w:color w:val="1F2937"/>
          <w:sz w:val="18"/>
          <w:szCs w:val="18"/>
        </w:rPr>
        <w:t xml:space="preserve">Figure 7.</w:t>
      </w:r>
      <w:r>
        <w:rPr>
          <w:color w:val="1F2937"/>
          <w:sz w:val="18"/>
          <w:szCs w:val="18"/>
        </w:rPr>
        <w:t xml:space="preserve"> Mean annual rainfall over 2021–2024 for the 53 gauges with complete records, interpolated between gauges and shown on Singapore's land area with the coastline (a), and its west–east gradient (b). Coastline: URA Master Plan 2014 via geoBoundaries (ODbL).</w:t>
      </w:r>
    </w:p>
    <w:p>
      <w:pPr>
        <w:spacing w:after="140" w:line="288"/>
      </w:pPr>
      <w:r>
        <w:t xml:space="preserve">Rain is also local: gauges less than 2 km apart agree closely on their 30-minute totals (ρ = 0.84) while gauges more than 20 km apart are nearly independent (ρ = 0.15), and </w:t>
      </w:r>
      <w:r>
        <w:rPr>
          <w:b/>
          <w:bCs/>
        </w:rPr>
        <w:t xml:space="preserve">the correlation falls to 1/e at about 8.5 km</w:t>
      </w:r>
      <w:r>
        <w:t xml:space="preserve"> (Figure 8), consistent with small convective cells rather than broad rain systems.</w:t>
      </w:r>
    </w:p>
    <w:p>
      <w:pPr>
        <w:keepNext/>
        <w:spacing w:after="60" w:before="160"/>
        <w:jc w:val="center"/>
      </w:pPr>
      <w:r>
        <w:drawing>
          <wp:inline distT="0" distB="0" distL="0" distR="0">
            <wp:extent cx="6124575" cy="3438525"/>
            <wp:effectExtent t="0" r="0" b="0" l="0"/>
            <wp:docPr id="8" name="fig08_spatial_coherence.png" descr="Correlation of concurrent 30-minute rainfall totals against distance for 2,145 gauge pairs (a) and by distance band (b)."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438525"/>
                    </a:xfrm>
                    <a:prstGeom prst="rect">
                      <a:avLst/>
                    </a:prstGeom>
                  </pic:spPr>
                </pic:pic>
              </a:graphicData>
            </a:graphic>
          </wp:inline>
        </w:drawing>
      </w:r>
    </w:p>
    <w:p>
      <w:pPr>
        <w:spacing w:after="240"/>
      </w:pPr>
      <w:r>
        <w:rPr>
          <w:b/>
          <w:bCs/>
          <w:color w:val="1F2937"/>
          <w:sz w:val="18"/>
          <w:szCs w:val="18"/>
        </w:rPr>
        <w:t xml:space="preserve">Figure 8.</w:t>
      </w:r>
      <w:r>
        <w:rPr>
          <w:color w:val="1F2937"/>
          <w:sz w:val="18"/>
          <w:szCs w:val="18"/>
        </w:rPr>
        <w:t xml:space="preserve"> Correlation of concurrent 30-minute rainfall totals against distance for 2,145 gauge pairs (a) and by distance band (b).</w:t>
      </w:r>
    </w:p>
    <w:p>
      <w:pPr>
        <w:keepNext/>
        <w:spacing w:after="60" w:before="160"/>
        <w:jc w:val="center"/>
      </w:pPr>
      <w:r>
        <w:drawing>
          <wp:inline distT="0" distB="0" distL="0" distR="0">
            <wp:extent cx="6124575" cy="3695700"/>
            <wp:effectExtent t="0" r="0" b="0" l="0"/>
            <wp:docPr id="9" name="fig09_events.png" descr="Rain events (wet runs separated by more than 30 dry minutes): duration against depth (a, 12 % sample), start hour by season (b) and events per gauge per year (c)."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695700"/>
                    </a:xfrm>
                    <a:prstGeom prst="rect">
                      <a:avLst/>
                    </a:prstGeom>
                  </pic:spPr>
                </pic:pic>
              </a:graphicData>
            </a:graphic>
          </wp:inline>
        </w:drawing>
      </w:r>
    </w:p>
    <w:p>
      <w:pPr>
        <w:spacing w:after="240"/>
      </w:pPr>
      <w:r>
        <w:rPr>
          <w:b/>
          <w:bCs/>
          <w:color w:val="1F2937"/>
          <w:sz w:val="18"/>
          <w:szCs w:val="18"/>
        </w:rPr>
        <w:t xml:space="preserve">Figure 9.</w:t>
      </w:r>
      <w:r>
        <w:rPr>
          <w:color w:val="1F2937"/>
          <w:sz w:val="18"/>
          <w:szCs w:val="18"/>
        </w:rPr>
        <w:t xml:space="preserve"> Rain events (wet runs separated by more than 30 dry minutes): duration against depth (a, 12 % sample), start hour by season (b) and events per gauge per year (c).</w:t>
      </w:r>
    </w:p>
    <w:p>
      <w:pPr>
        <w:pStyle w:val="Heading2"/>
      </w:pPr>
      <w:r>
        <w:t xml:space="preserve">4.7 Extremes, trends and robustness</w:t>
      </w:r>
    </w:p>
    <w:p>
      <w:pPr>
        <w:spacing w:after="140" w:line="288"/>
      </w:pPr>
      <w:r>
        <w:t xml:space="preserve">Heavy half-hours (30-minute totals of at least 5 mm) were about </w:t>
      </w:r>
      <w:r>
        <w:rPr>
          <w:b/>
          <w:bCs/>
        </w:rPr>
        <w:t xml:space="preserve">23 % more frequent in 2020–2024 than in 2017–2019</w:t>
      </w:r>
      <w:r>
        <w:t xml:space="preserve">, and 20 % more frequent on the fixed network, so the 2020 network expansion explains little of the rise; the 2019 drought in the low baseline explains more (Figure 10). Annual maximum 30- and 60-minute depths show no trend.</w:t>
      </w:r>
    </w:p>
    <w:p>
      <w:pPr>
        <w:keepNext/>
        <w:spacing w:after="60" w:before="160"/>
        <w:jc w:val="center"/>
      </w:pPr>
      <w:r>
        <w:drawing>
          <wp:inline distT="0" distB="0" distL="0" distR="0">
            <wp:extent cx="6124575" cy="3419475"/>
            <wp:effectExtent t="0" r="0" b="0" l="0"/>
            <wp:docPr id="10" name="fig10_extremes.png" descr="Annual maximum 30- and 60-minute depths (a), frequency of heavy half-hours indexed to 2017 on all gauges and on the fixed network (b), and the Task 2 target as a base rate by hour and season (c)."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419475"/>
                    </a:xfrm>
                    <a:prstGeom prst="rect">
                      <a:avLst/>
                    </a:prstGeom>
                  </pic:spPr>
                </pic:pic>
              </a:graphicData>
            </a:graphic>
          </wp:inline>
        </w:drawing>
      </w:r>
    </w:p>
    <w:p>
      <w:pPr>
        <w:spacing w:after="240"/>
      </w:pPr>
      <w:r>
        <w:rPr>
          <w:b/>
          <w:bCs/>
          <w:color w:val="1F2937"/>
          <w:sz w:val="18"/>
          <w:szCs w:val="18"/>
        </w:rPr>
        <w:t xml:space="preserve">Figure 10.</w:t>
      </w:r>
      <w:r>
        <w:rPr>
          <w:color w:val="1F2937"/>
          <w:sz w:val="18"/>
          <w:szCs w:val="18"/>
        </w:rPr>
        <w:t xml:space="preserve"> Annual maximum 30- and 60-minute depths (a), frequency of heavy half-hours indexed to 2017 on all gauges and on the fixed network (b), and the Task 2 target as a base rate by hour and season (c).</w:t>
      </w:r>
    </w:p>
    <w:p>
      <w:pPr>
        <w:keepNext/>
        <w:spacing w:after="80" w:before="200"/>
      </w:pPr>
      <w:r>
        <w:rPr>
          <w:b/>
          <w:bCs/>
          <w:sz w:val="18"/>
          <w:szCs w:val="18"/>
        </w:rPr>
        <w:t xml:space="preserve">Table 8.</w:t>
      </w:r>
      <w:r>
        <w:rPr>
          <w:sz w:val="18"/>
          <w:szCs w:val="18"/>
        </w:rPr>
        <w:t xml:space="preserve"> Mann–Kendall trend tests on the eight annual values (exact two-sided p over all 8! orderings; t39_trend_tests.csv).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1300"/>
        <w:gridCol w:w="1200"/>
        <w:gridCol w:w="2238"/>
      </w:tblGrid>
      <w:tr>
        <w:trPr>
          <w:tblHeader/>
        </w:trPr>
        <w:tc>
          <w:tcPr>
            <w:tcW w:type="dxa" w:w="49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Annual series</w:t>
            </w:r>
          </w:p>
        </w:tc>
        <w:tc>
          <w:tcPr>
            <w:tcW w:type="dxa" w:w="13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Kendall τ</w:t>
            </w:r>
          </w:p>
        </w:tc>
        <w:tc>
          <w:tcPr>
            <w:tcW w:type="dxa" w:w="12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p</w:t>
            </w:r>
          </w:p>
        </w:tc>
        <w:tc>
          <w:tcPr>
            <w:tcW w:type="dxa" w:w="22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Sen slope (% of mean per year)</w:t>
            </w:r>
          </w:p>
        </w:tc>
      </w:tr>
      <w:tr>
        <w:tc>
          <w:tcPr>
            <w:tcW w:type="dxa" w:w="4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annual rainfall, gap-filled (mm)</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+0.36</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0.275</w:t>
            </w:r>
          </w:p>
        </w:tc>
        <w:tc>
          <w:tcPr>
            <w:tcW w:type="dxa" w:w="2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+2.3 %</w:t>
            </w:r>
          </w:p>
        </w:tc>
      </w:tr>
      <w:tr>
        <w:tc>
          <w:tcPr>
            <w:tcW w:type="dxa" w:w="4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wet days per year (≥ 1 mm, scaled)</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-0.07</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0.905</w:t>
            </w:r>
          </w:p>
        </w:tc>
        <w:tc>
          <w:tcPr>
            <w:tcW w:type="dxa" w:w="2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-0.3 %</w:t>
            </w:r>
          </w:p>
        </w:tc>
      </w:tr>
      <w:tr>
        <w:tc>
          <w:tcPr>
            <w:tcW w:type="dxa" w:w="4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intensity (mm per wet day)</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+0.57</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0.061</w:t>
            </w:r>
          </w:p>
        </w:tc>
        <w:tc>
          <w:tcPr>
            <w:tcW w:type="dxa" w:w="2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+2.7 %</w:t>
            </w:r>
          </w:p>
        </w:tc>
      </w:tr>
      <w:tr>
        <w:tc>
          <w:tcPr>
            <w:tcW w:type="dxa" w:w="4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rain events per gauge</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+0.29</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0.399</w:t>
            </w:r>
          </w:p>
        </w:tc>
        <w:tc>
          <w:tcPr>
            <w:tcW w:type="dxa" w:w="2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+1.6 %</w:t>
            </w:r>
          </w:p>
        </w:tc>
      </w:tr>
      <w:tr>
        <w:tc>
          <w:tcPr>
            <w:tcW w:type="dxa" w:w="4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30-min totals ≥ 5 mm, rate (all gauges)</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+0.43</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0.179</w:t>
            </w:r>
          </w:p>
        </w:tc>
        <w:tc>
          <w:tcPr>
            <w:tcW w:type="dxa" w:w="2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+2.4 %</w:t>
            </w:r>
          </w:p>
        </w:tc>
      </w:tr>
      <w:tr>
        <w:tc>
          <w:tcPr>
            <w:tcW w:type="dxa" w:w="4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30-min totals ≥ 5 mm, rate (fixed network)</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+0.36</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0.275</w:t>
            </w:r>
          </w:p>
        </w:tc>
        <w:tc>
          <w:tcPr>
            <w:tcW w:type="dxa" w:w="2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+1.4 %</w:t>
            </w:r>
          </w:p>
        </w:tc>
      </w:tr>
      <w:tr>
        <w:tc>
          <w:tcPr>
            <w:tcW w:type="dxa" w:w="4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annual max 30-min depth (mm, any gauge)</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-0.36</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0.275</w:t>
            </w:r>
          </w:p>
        </w:tc>
        <w:tc>
          <w:tcPr>
            <w:tcW w:type="dxa" w:w="2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-1.2 %</w:t>
            </w:r>
          </w:p>
        </w:tc>
      </w:tr>
      <w:tr>
        <w:tc>
          <w:tcPr>
            <w:tcW w:type="dxa" w:w="4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annual max 60-min depth (mm, any gauge)</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+0.29</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0.399</w:t>
            </w:r>
          </w:p>
        </w:tc>
        <w:tc>
          <w:tcPr>
            <w:tcW w:type="dxa" w:w="2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+1.5 %</w:t>
            </w:r>
          </w:p>
        </w:tc>
      </w:tr>
    </w:tbl>
    <w:p>
      <w:pPr>
        <w:spacing w:after="120"/>
      </w:pPr>
    </w:p>
    <w:p>
      <w:pPr>
        <w:spacing w:after="140" w:line="288"/>
      </w:pPr>
      <w:r>
        <w:rPr>
          <w:b/>
          <w:bCs/>
        </w:rPr>
        <w:t xml:space="preserve">No annual series has a statistically significant trend over 2017–2024.</w:t>
      </w:r>
      <w:r>
        <w:t xml:space="preserve"> Rain per wet day comes closest (τ = 0.57, p = 0.06). With eight points the test has little power, so "not significant" means "not shown", not "no change"; the period is also too short to separate a trend from year-to-year climate variability.</w:t>
      </w:r>
    </w:p>
    <w:p>
      <w:pPr>
        <w:spacing w:after="140" w:line="288"/>
      </w:pPr>
      <w:r>
        <w:rPr>
          <w:b/>
          <w:bCs/>
        </w:rPr>
        <w:t xml:space="preserve">Robustness.</w:t>
      </w:r>
      <w:r>
        <w:t xml:space="preserve"> Re-deriving the annual and monthly products from the fixed 21-gauge network passes every pre-declared check (t24_sensitivity_summary.csv): annual totals correlate at r = 0.986, the driest year (2019) and the wettest and driest months are identical, and monthly anomalies agree in sign 97.9 % of the time. Only close calls change: 2022/2023 and 2020/2024 swap ranks, and 11 of the 12 months of the 2019 dry spell remain below average.</w:t>
      </w:r>
    </w:p>
    <w:p>
      <w:pPr>
        <w:pStyle w:val="Heading2"/>
      </w:pPr>
      <w:r>
        <w:t xml:space="preserve">4.8 Summary of Task 1 and implications for Task 2</w:t>
      </w:r>
    </w:p>
    <w:p>
      <w:pPr>
        <w:keepNext/>
        <w:spacing w:after="80" w:before="200"/>
      </w:pPr>
      <w:r>
        <w:rPr>
          <w:b/>
          <w:bCs/>
          <w:sz w:val="18"/>
          <w:szCs w:val="18"/>
        </w:rPr>
        <w:t xml:space="preserve">Table 9.</w:t>
      </w:r>
      <w:r>
        <w:rPr>
          <w:sz w:val="18"/>
          <w:szCs w:val="18"/>
        </w:rPr>
        <w:t xml:space="preserve"> Task 1 findings and how they shaped the Task 2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4638"/>
      </w:tblGrid>
      <w:tr>
        <w:trPr>
          <w:tblHeader/>
        </w:trPr>
        <w:tc>
          <w:tcPr>
            <w:tcW w:type="dxa" w:w="37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Finding</w:t>
            </w:r>
          </w:p>
        </w:tc>
        <w:tc>
          <w:tcPr>
            <w:tcW w:type="dxa" w:w="13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Evidence</w:t>
            </w:r>
          </w:p>
        </w:tc>
        <w:tc>
          <w:tcPr>
            <w:tcW w:type="dxa" w:w="46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Consequence for Task 2</w:t>
            </w:r>
          </w:p>
        </w:tc>
      </w:tr>
      <w:tr>
        <w:tc>
          <w:tcPr>
            <w:tcW w:type="dxa" w:w="3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Large year-to-year variability; dry years have fewer events</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Figs 2, 4, 9</w:t>
            </w:r>
          </w:p>
        </w:tc>
        <w:tc>
          <w:tcPr>
            <w:tcW w:type="dxa" w:w="46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use the recent rainfall state, not only the calendar</w:t>
            </w:r>
          </w:p>
        </w:tc>
      </w:tr>
      <w:tr>
        <w:tc>
          <w:tcPr>
            <w:tcW w:type="dxa" w:w="3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Two diurnal regimes switched by the monsoon</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Figs 5, 9</w:t>
            </w:r>
          </w:p>
        </w:tc>
        <w:tc>
          <w:tcPr>
            <w:tcW w:type="dxa" w:w="46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time of day and day of year as features</w:t>
            </w:r>
          </w:p>
        </w:tc>
      </w:tr>
      <w:tr>
        <w:tc>
          <w:tcPr>
            <w:tcW w:type="dxa" w:w="3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Heavy-tailed, concentrated intensity</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Fig 6</w:t>
            </w:r>
          </w:p>
        </w:tc>
        <w:tc>
          <w:tcPr>
            <w:tcW w:type="dxa" w:w="46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predict an exceedance probability rather than an amount</w:t>
            </w:r>
          </w:p>
        </w:tc>
      </w:tr>
      <w:tr>
        <w:tc>
          <w:tcPr>
            <w:tcW w:type="dxa" w:w="3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2.1× west–east gradient</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Fig 7</w:t>
            </w:r>
          </w:p>
        </w:tc>
        <w:tc>
          <w:tcPr>
            <w:tcW w:type="dxa" w:w="46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station location as a feature</w:t>
            </w:r>
          </w:p>
        </w:tc>
      </w:tr>
      <w:tr>
        <w:tc>
          <w:tcPr>
            <w:tcW w:type="dxa" w:w="3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Correlation falls to 1/e at ~8.5 km</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Fig 8</w:t>
            </w:r>
          </w:p>
        </w:tc>
        <w:tc>
          <w:tcPr>
            <w:tcW w:type="dxa" w:w="46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predict per station; use neighbouring gauges within 10 km only</w:t>
            </w:r>
          </w:p>
        </w:tc>
      </w:tr>
      <w:tr>
        <w:tc>
          <w:tcPr>
            <w:tcW w:type="dxa" w:w="3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P(next 30 min &gt; 5 mm) = 0.83 %, varying &gt; 10× with hour and season</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Fig 10c</w:t>
            </w:r>
          </w:p>
        </w:tc>
        <w:tc>
          <w:tcPr>
            <w:tcW w:type="dxa" w:w="46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imbalance-aware evaluation (PR-AUC, log loss, calibration)</w:t>
            </w:r>
          </w:p>
        </w:tc>
      </w:tr>
    </w:tbl>
    <w:p>
      <w:pPr>
        <w:spacing w:after="120"/>
      </w:pPr>
    </w:p>
    <w:p>
      <w:pPr>
        <w:pStyle w:val="Heading1"/>
      </w:pPr>
      <w:r>
        <w:t xml:space="preserve">5. Task 2: probability of more than h mm of rain in the next 30 minutes</w:t>
      </w:r>
    </w:p>
    <w:p>
      <w:pPr>
        <w:pStyle w:val="Heading2"/>
      </w:pPr>
      <w:r>
        <w:t xml:space="preserve">5.1 Problem formulation</w:t>
      </w:r>
    </w:p>
    <w:p>
      <w:pPr>
        <w:spacing w:after="140" w:line="288"/>
      </w:pPr>
      <w:r>
        <w:rPr>
          <w:b/>
          <w:bCs/>
        </w:rPr>
        <w:t xml:space="preserve">Inputs:</w:t>
      </w:r>
      <w:r>
        <w:t xml:space="preserve"> a station s, a prediction time t and a threshold h (mm). </w:t>
      </w:r>
      <w:r>
        <w:rPr>
          <w:b/>
          <w:bCs/>
        </w:rPr>
        <w:t xml:space="preserve">Output:</w:t>
      </w:r>
      <w:r>
        <w:t xml:space="preserve"> P(rain at s during [t, t + 30 min) &gt; h).</w:t>
      </w:r>
    </w:p>
    <w:p>
      <w:pPr>
        <w:pStyle w:val="ListParagraph"/>
        <w:numPr>
          <w:ilvl w:val="0"/>
          <w:numId w:val="2"/>
        </w:numPr>
        <w:spacing w:after="80" w:line="276"/>
      </w:pPr>
      <w:r>
        <w:rPr>
          <w:b/>
          <w:bCs/>
        </w:rPr>
        <w:t xml:space="preserve">Target.</w:t>
      </w:r>
      <w:r>
        <w:t xml:space="preserve"> A row stamped ts is taken to cover [ts, ts + 5 min), so for a prediction at t the latest usable reading is stamped ts = t − 5 min and the next 30 minutes are the six slots stamped ts + 5 … ts + 30 min. Their sum exists only if all six slots exist (an incomplete window is dropped, never treated as dry), and the label is sum &gt; h (strictly more than). This reading of the timestamp is conservative: if a stamp marked the end of its interval instead, the features would still end strictly before the target window.</w:t>
      </w:r>
    </w:p>
    <w:p>
      <w:pPr>
        <w:pStyle w:val="ListParagraph"/>
        <w:numPr>
          <w:ilvl w:val="0"/>
          <w:numId w:val="2"/>
        </w:numPr>
        <w:spacing w:after="80" w:line="276"/>
      </w:pPr>
      <w:r>
        <w:rPr>
          <w:b/>
          <w:bCs/>
        </w:rPr>
        <w:t xml:space="preserve">One model for every threshold.</w:t>
      </w:r>
      <w:r>
        <w:t xml:space="preserve"> The threshold is an input feature of a single binary classifier. Each training example (station, time) is paired with several thresholds, each with its own label, so the model learns how the probability falls as h rises and answers for any h in 0.2–30 mm.</w:t>
      </w:r>
    </w:p>
    <w:p>
      <w:pPr>
        <w:pStyle w:val="ListParagraph"/>
        <w:numPr>
          <w:ilvl w:val="0"/>
          <w:numId w:val="2"/>
        </w:numPr>
        <w:spacing w:after="80" w:line="276"/>
      </w:pPr>
      <w:r>
        <w:rPr>
          <w:b/>
          <w:bCs/>
        </w:rPr>
        <w:t xml:space="preserve">Information boundary.</w:t>
      </w:r>
      <w:r>
        <w:t xml:space="preserve"> Only information available at t is used: the station's coordinates, the clock, and rain stamped at or before ts at the station and at up to four neighbouring gauges within 10 km.</w:t>
      </w:r>
    </w:p>
    <w:p>
      <w:pPr>
        <w:pStyle w:val="ListParagraph"/>
        <w:numPr>
          <w:ilvl w:val="0"/>
          <w:numId w:val="2"/>
        </w:numPr>
        <w:spacing w:after="80" w:line="276"/>
      </w:pPr>
      <w:r>
        <w:rPr>
          <w:b/>
          <w:bCs/>
        </w:rPr>
        <w:t xml:space="preserve">Chronological split.</w:t>
      </w:r>
      <w:r>
        <w:t xml:space="preserve"> Train on 2017–2022, select the model on 2023, test once on 2024. A random split would leak, because neighbouring five-minute examples share five of their six future slots; examples whose window crosses a split boundary are dropped.</w:t>
      </w:r>
    </w:p>
    <w:p>
      <w:pPr>
        <w:keepNext/>
        <w:spacing w:after="80" w:before="200"/>
      </w:pPr>
      <w:r>
        <w:rPr>
          <w:b/>
          <w:bCs/>
          <w:sz w:val="18"/>
          <w:szCs w:val="18"/>
        </w:rPr>
        <w:t xml:space="preserve">Table 10.</w:t>
      </w:r>
      <w:r>
        <w:rPr>
          <w:sz w:val="18"/>
          <w:szCs w:val="18"/>
        </w:rPr>
        <w:t xml:space="preserve"> Prediction examples per split and event rates (t25_task2_row_audit.csv).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050"/>
        <w:gridCol w:w="1158"/>
        <w:gridCol w:w="1158"/>
        <w:gridCol w:w="1158"/>
        <w:gridCol w:w="1157"/>
        <w:gridCol w:w="1157"/>
      </w:tblGrid>
      <w:tr>
        <w:trPr>
          <w:tblHeader/>
        </w:trPr>
        <w:tc>
          <w:tcPr>
            <w:tcW w:type="dxa" w:w="13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Split</w:t>
            </w:r>
          </w:p>
        </w:tc>
        <w:tc>
          <w:tcPr>
            <w:tcW w:type="dxa" w:w="15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Examples</w:t>
            </w:r>
          </w:p>
        </w:tc>
        <w:tc>
          <w:tcPr>
            <w:tcW w:type="dxa" w:w="105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Stations</w:t>
            </w:r>
          </w:p>
        </w:tc>
        <w:tc>
          <w:tcPr>
            <w:tcW w:type="dxa" w:w="115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P(&gt; 0.2)</w:t>
            </w:r>
          </w:p>
        </w:tc>
        <w:tc>
          <w:tcPr>
            <w:tcW w:type="dxa" w:w="115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P(&gt; 1)</w:t>
            </w:r>
          </w:p>
        </w:tc>
        <w:tc>
          <w:tcPr>
            <w:tcW w:type="dxa" w:w="115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P(&gt; 5)</w:t>
            </w:r>
          </w:p>
        </w:tc>
        <w:tc>
          <w:tcPr>
            <w:tcW w:type="dxa" w:w="1157"/>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P(&gt; 10)</w:t>
            </w:r>
          </w:p>
        </w:tc>
        <w:tc>
          <w:tcPr>
            <w:tcW w:type="dxa" w:w="1157"/>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P(&gt; 20)</w:t>
            </w:r>
          </w:p>
        </w:tc>
      </w:tr>
      <w:tr>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train</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32,962,257</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87</w:t>
            </w:r>
          </w:p>
        </w:tc>
        <w:tc>
          <w:tcPr>
            <w:tcW w:type="dxa" w:w="115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4.43 %</w:t>
            </w:r>
          </w:p>
        </w:tc>
        <w:tc>
          <w:tcPr>
            <w:tcW w:type="dxa" w:w="115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2.35 %</w:t>
            </w:r>
          </w:p>
        </w:tc>
        <w:tc>
          <w:tcPr>
            <w:tcW w:type="dxa" w:w="115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0.82 %</w:t>
            </w:r>
          </w:p>
        </w:tc>
        <w:tc>
          <w:tcPr>
            <w:tcW w:type="dxa" w:w="1157"/>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0.39 %</w:t>
            </w:r>
          </w:p>
        </w:tc>
        <w:tc>
          <w:tcPr>
            <w:tcW w:type="dxa" w:w="1157"/>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0.11 %</w:t>
            </w:r>
          </w:p>
        </w:tc>
      </w:tr>
      <w:tr>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validation</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6,616,826</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73</w:t>
            </w:r>
          </w:p>
        </w:tc>
        <w:tc>
          <w:tcPr>
            <w:tcW w:type="dxa" w:w="115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5.08 %</w:t>
            </w:r>
          </w:p>
        </w:tc>
        <w:tc>
          <w:tcPr>
            <w:tcW w:type="dxa" w:w="115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2.63 %</w:t>
            </w:r>
          </w:p>
        </w:tc>
        <w:tc>
          <w:tcPr>
            <w:tcW w:type="dxa" w:w="115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0.88 %</w:t>
            </w:r>
          </w:p>
        </w:tc>
        <w:tc>
          <w:tcPr>
            <w:tcW w:type="dxa" w:w="1157"/>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0.41 %</w:t>
            </w:r>
          </w:p>
        </w:tc>
        <w:tc>
          <w:tcPr>
            <w:tcW w:type="dxa" w:w="1157"/>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0.11 %</w:t>
            </w:r>
          </w:p>
        </w:tc>
      </w:tr>
      <w:tr>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test</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6,277,148</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70</w:t>
            </w:r>
          </w:p>
        </w:tc>
        <w:tc>
          <w:tcPr>
            <w:tcW w:type="dxa" w:w="115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4.86 %</w:t>
            </w:r>
          </w:p>
        </w:tc>
        <w:tc>
          <w:tcPr>
            <w:tcW w:type="dxa" w:w="115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2.57 %</w:t>
            </w:r>
          </w:p>
        </w:tc>
        <w:tc>
          <w:tcPr>
            <w:tcW w:type="dxa" w:w="115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0.84 %</w:t>
            </w:r>
          </w:p>
        </w:tc>
        <w:tc>
          <w:tcPr>
            <w:tcW w:type="dxa" w:w="1157"/>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0.38 %</w:t>
            </w:r>
          </w:p>
        </w:tc>
        <w:tc>
          <w:tcPr>
            <w:tcW w:type="dxa" w:w="1157"/>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0.10 %</w:t>
            </w:r>
          </w:p>
        </w:tc>
      </w:tr>
    </w:tbl>
    <w:p>
      <w:pPr>
        <w:spacing w:after="120"/>
      </w:pPr>
    </w:p>
    <w:p>
      <w:pPr>
        <w:pStyle w:val="Heading2"/>
      </w:pPr>
      <w:r>
        <w:t xml:space="preserve">5.2 Feature engineering and selection</w:t>
      </w:r>
    </w:p>
    <w:p>
      <w:pPr>
        <w:spacing w:after="140" w:line="288"/>
      </w:pPr>
      <w:r>
        <w:t xml:space="preserve">The feature table has one row per station and five-minute slot (about 46 M rows), built with Spark window functions over each station's series and a broadcast join for neighbours. Candidate features were chosen from the Task 1 findings and kept only if they improved the 2023 validation scores (Section 5.5):</w:t>
      </w:r>
    </w:p>
    <w:p>
      <w:pPr>
        <w:keepNext/>
        <w:spacing w:after="80" w:before="200"/>
      </w:pPr>
      <w:r>
        <w:rPr>
          <w:b/>
          <w:bCs/>
          <w:sz w:val="18"/>
          <w:szCs w:val="18"/>
        </w:rPr>
        <w:t xml:space="preserve">Table 11.</w:t>
      </w:r>
      <w:r>
        <w:rPr>
          <w:sz w:val="18"/>
          <w:szCs w:val="18"/>
        </w:rPr>
        <w:t xml:space="preserve"> Features of the selected model (models/task2_exceedance/metadata.json lists the exact vector).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tblHeader/>
        </w:trPr>
        <w:tc>
          <w:tcPr>
            <w:tcW w:type="dxa" w:w="19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Group</w:t>
            </w:r>
          </w:p>
        </w:tc>
        <w:tc>
          <w:tcPr>
            <w:tcW w:type="dxa" w:w="45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Features</w:t>
            </w:r>
          </w:p>
        </w:tc>
        <w:tc>
          <w:tcPr>
            <w:tcW w:type="dxa" w:w="32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Motivation</w:t>
            </w:r>
          </w:p>
        </w:tc>
      </w:tr>
      <w:tr>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Location</w:t>
            </w:r>
          </w:p>
        </w:tc>
        <w:tc>
          <w:tcPr>
            <w:tcW w:type="dxa" w:w="4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latitude, longitude; station one-hot</w:t>
            </w:r>
          </w:p>
        </w:tc>
        <w:tc>
          <w:tcPr>
            <w:tcW w:type="dxa" w:w="3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2.1× west–east gradient (Fig 7)</w:t>
            </w:r>
          </w:p>
        </w:tc>
      </w:tr>
      <w:tr>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Calendar</w:t>
            </w:r>
          </w:p>
        </w:tc>
        <w:tc>
          <w:tcPr>
            <w:tcW w:type="dxa" w:w="4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sine/cosine of time of day and of day of year; season one-hot</w:t>
            </w:r>
          </w:p>
        </w:tc>
        <w:tc>
          <w:tcPr>
            <w:tcW w:type="dxa" w:w="3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two diurnal regimes, monsoon seasons (Fig 5)</w:t>
            </w:r>
          </w:p>
        </w:tc>
      </w:tr>
      <w:tr>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Station's recent rain</w:t>
            </w:r>
          </w:p>
        </w:tc>
        <w:tc>
          <w:tcPr>
            <w:tcW w:type="dxa" w:w="4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latest 5-min rain; last 15/30/60/180-min totals; 60-min peak and wet-slot count; wet flag</w:t>
            </w:r>
          </w:p>
        </w:tc>
        <w:tc>
          <w:tcPr>
            <w:tcW w:type="dxa" w:w="3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persistence; events last ~20 min (Figs 4, 9)</w:t>
            </w:r>
          </w:p>
        </w:tc>
      </w:tr>
      <w:tr>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Neighbouring gauges</w:t>
            </w:r>
          </w:p>
        </w:tc>
        <w:tc>
          <w:tcPr>
            <w:tcW w:type="dxa" w:w="4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up to 4 within 10 km: mean and max of last 30 min, mean of last 60 min, max of latest 5 min, availability flag</w:t>
            </w:r>
          </w:p>
        </w:tc>
        <w:tc>
          <w:tcPr>
            <w:tcW w:type="dxa" w:w="3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correlation length ~8.5 km (Fig 8)</w:t>
            </w:r>
          </w:p>
        </w:tc>
      </w:tr>
      <w:tr>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Threshold</w:t>
            </w:r>
          </w:p>
        </w:tc>
        <w:tc>
          <w:tcPr>
            <w:tcW w:type="dxa" w:w="4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log(1 + h) and its products with the recent-rain features</w:t>
            </w:r>
          </w:p>
        </w:tc>
        <w:tc>
          <w:tcPr>
            <w:tcW w:type="dxa" w:w="3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the task's input; lets the effect of h depend on the rain state</w:t>
            </w:r>
          </w:p>
        </w:tc>
      </w:tr>
    </w:tbl>
    <w:p>
      <w:pPr>
        <w:spacing w:after="120"/>
      </w:pPr>
    </w:p>
    <w:p>
      <w:pPr>
        <w:spacing w:after="140" w:line="288"/>
      </w:pPr>
      <w:r>
        <w:t xml:space="preserve">Rain amounts enter as log(1 + mm) to tame the heavy tail. Neighbour statistics are aggregated by joining the readings to a small broadcast table of station pairs (built from coordinates only, so it carries no target information) and grouping by target station and slot, so the 48 M-row table is never joined station-by-station; a missing neighbour is encoded with an explicit flag rather than as a dry neighbour. Rows are kept only if the full three-hour history and all six future slots exist. The year is deliberately </w:t>
      </w:r>
      <w:r>
        <w:rPr>
          <w:b/>
          <w:bCs/>
        </w:rPr>
        <w:t xml:space="preserve">not</w:t>
      </w:r>
      <w:r>
        <w:t xml:space="preserve"> a feature, so the model cannot learn year-specific levels that would not transfer to 2024.</w:t>
      </w:r>
    </w:p>
    <w:p>
      <w:pPr>
        <w:spacing w:after="140" w:line="288"/>
      </w:pPr>
      <w:r>
        <w:rPr>
          <w:b/>
          <w:bCs/>
        </w:rPr>
        <w:t xml:space="preserve">Leakage check.</w:t>
      </w:r>
      <w:r>
        <w:t xml:space="preserve"> An independent recomputation in pandas, from the cleaned readings, of the target and every trailing feature for 300 random rows matched the Spark values exactly, with the trailing features recomputed from data truncated at the anchor slot; a Spark join confirmed that none of the 309,735 anchors with a missing future slot entered the table.</w:t>
      </w:r>
    </w:p>
    <w:p>
      <w:pPr>
        <w:pStyle w:val="Heading2"/>
      </w:pPr>
      <w:r>
        <w:t xml:space="preserve">5.3 Training and evaluation data</w:t>
      </w:r>
    </w:p>
    <w:p>
      <w:pPr>
        <w:spacing w:after="140" w:line="288"/>
      </w:pPr>
      <w:r>
        <w:t xml:space="preserve">For each threshold h on the grid 0.2, 0.5, 1, 2, 3, 5, 7.5, 10, 15, 20 and 30 mm, a training example is kept if a deterministic hash of (station, time, h) falls below rate[h] = min(6 %, 8,000 / positives[h]). The rate depends only on the threshold, never on the label, so within each threshold the kept rows are an unbiased sample: the positive rate is unchanged (Table 12) and no re-weighting or recalibration is needed. The 2023 and 2024 evaluation sets are a fixed, hash-selected 20 % of prediction times, each paired with every threshold (14.5 M rows per year), so all models are scored on the same examples at the true class balance.</w:t>
      </w:r>
    </w:p>
    <w:p>
      <w:pPr>
        <w:keepNext/>
        <w:spacing w:after="80" w:before="200"/>
      </w:pPr>
      <w:r>
        <w:rPr>
          <w:b/>
          <w:bCs/>
          <w:sz w:val="18"/>
          <w:szCs w:val="18"/>
        </w:rPr>
        <w:t xml:space="preserve">Table 12.</w:t>
      </w:r>
      <w:r>
        <w:rPr>
          <w:sz w:val="18"/>
          <w:szCs w:val="18"/>
        </w:rPr>
        <w:t xml:space="preserve"> Training sample design (t27_task2_training_design.csv).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500"/>
        <w:gridCol w:w="1700"/>
        <w:gridCol w:w="1500"/>
        <w:gridCol w:w="1938"/>
      </w:tblGrid>
      <w:tr>
        <w:trPr>
          <w:tblHeader/>
        </w:trPr>
        <w:tc>
          <w:tcPr>
            <w:tcW w:type="dxa" w:w="11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h (mm)</w:t>
            </w:r>
          </w:p>
        </w:tc>
        <w:tc>
          <w:tcPr>
            <w:tcW w:type="dxa" w:w="19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Population event rate</w:t>
            </w:r>
          </w:p>
        </w:tc>
        <w:tc>
          <w:tcPr>
            <w:tcW w:type="dxa" w:w="15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Sampling rate</w:t>
            </w:r>
          </w:p>
        </w:tc>
        <w:tc>
          <w:tcPr>
            <w:tcW w:type="dxa" w:w="17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Rows</w:t>
            </w:r>
          </w:p>
        </w:tc>
        <w:tc>
          <w:tcPr>
            <w:tcW w:type="dxa" w:w="15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Positives</w:t>
            </w:r>
          </w:p>
        </w:tc>
        <w:tc>
          <w:tcPr>
            <w:tcW w:type="dxa" w:w="19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Sample event rate</w:t>
            </w:r>
          </w:p>
        </w:tc>
      </w:tr>
      <w:tr>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0.2</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4.43 %</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0.55 %</w:t>
            </w:r>
          </w:p>
        </w:tc>
        <w:tc>
          <w:tcPr>
            <w:tcW w:type="dxa" w:w="1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180,217</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7,927</w:t>
            </w:r>
          </w:p>
        </w:tc>
        <w:tc>
          <w:tcPr>
            <w:tcW w:type="dxa" w:w="1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4.40 %</w:t>
            </w:r>
          </w:p>
        </w:tc>
      </w:tr>
      <w:tr>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0.5</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3.38 %</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0.72 %</w:t>
            </w:r>
          </w:p>
        </w:tc>
        <w:tc>
          <w:tcPr>
            <w:tcW w:type="dxa" w:w="1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236,199</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7,972</w:t>
            </w:r>
          </w:p>
        </w:tc>
        <w:tc>
          <w:tcPr>
            <w:tcW w:type="dxa" w:w="1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3.38 %</w:t>
            </w:r>
          </w:p>
        </w:tc>
      </w:tr>
      <w:tr>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1</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2.35 %</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1.03 %</w:t>
            </w:r>
          </w:p>
        </w:tc>
        <w:tc>
          <w:tcPr>
            <w:tcW w:type="dxa" w:w="1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339,799</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7,826</w:t>
            </w:r>
          </w:p>
        </w:tc>
        <w:tc>
          <w:tcPr>
            <w:tcW w:type="dxa" w:w="1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2.30 %</w:t>
            </w:r>
          </w:p>
        </w:tc>
      </w:tr>
      <w:tr>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1.57 %</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1.55 %</w:t>
            </w:r>
          </w:p>
        </w:tc>
        <w:tc>
          <w:tcPr>
            <w:tcW w:type="dxa" w:w="1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509,909</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7,923</w:t>
            </w:r>
          </w:p>
        </w:tc>
        <w:tc>
          <w:tcPr>
            <w:tcW w:type="dxa" w:w="1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1.55 %</w:t>
            </w:r>
          </w:p>
        </w:tc>
      </w:tr>
      <w:tr>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3</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1.21 %</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2.01 %</w:t>
            </w:r>
          </w:p>
        </w:tc>
        <w:tc>
          <w:tcPr>
            <w:tcW w:type="dxa" w:w="1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663,159</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7,931</w:t>
            </w:r>
          </w:p>
        </w:tc>
        <w:tc>
          <w:tcPr>
            <w:tcW w:type="dxa" w:w="1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1.20 %</w:t>
            </w:r>
          </w:p>
        </w:tc>
      </w:tr>
      <w:tr>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5</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0.82 %</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2.96 %</w:t>
            </w:r>
          </w:p>
        </w:tc>
        <w:tc>
          <w:tcPr>
            <w:tcW w:type="dxa" w:w="1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974,468</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8,106</w:t>
            </w:r>
          </w:p>
        </w:tc>
        <w:tc>
          <w:tcPr>
            <w:tcW w:type="dxa" w:w="1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0.83 %</w:t>
            </w:r>
          </w:p>
        </w:tc>
      </w:tr>
      <w:tr>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7.5</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0.56 %</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4.32 %</w:t>
            </w:r>
          </w:p>
        </w:tc>
        <w:tc>
          <w:tcPr>
            <w:tcW w:type="dxa" w:w="1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1,425,776</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8,274</w:t>
            </w:r>
          </w:p>
        </w:tc>
        <w:tc>
          <w:tcPr>
            <w:tcW w:type="dxa" w:w="1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0.58 %</w:t>
            </w:r>
          </w:p>
        </w:tc>
      </w:tr>
      <w:tr>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10</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0.39 %</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6.00 %</w:t>
            </w:r>
          </w:p>
        </w:tc>
        <w:tc>
          <w:tcPr>
            <w:tcW w:type="dxa" w:w="1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1,975,312</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7,735</w:t>
            </w:r>
          </w:p>
        </w:tc>
        <w:tc>
          <w:tcPr>
            <w:tcW w:type="dxa" w:w="1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0.39 %</w:t>
            </w:r>
          </w:p>
        </w:tc>
      </w:tr>
      <w:tr>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15</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0.21 %</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6.00 %</w:t>
            </w:r>
          </w:p>
        </w:tc>
        <w:tc>
          <w:tcPr>
            <w:tcW w:type="dxa" w:w="1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1,978,686</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4,082</w:t>
            </w:r>
          </w:p>
        </w:tc>
        <w:tc>
          <w:tcPr>
            <w:tcW w:type="dxa" w:w="1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0.21 %</w:t>
            </w:r>
          </w:p>
        </w:tc>
      </w:tr>
      <w:tr>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0.11 %</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6.00 %</w:t>
            </w:r>
          </w:p>
        </w:tc>
        <w:tc>
          <w:tcPr>
            <w:tcW w:type="dxa" w:w="1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1,977,159</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2,179</w:t>
            </w:r>
          </w:p>
        </w:tc>
        <w:tc>
          <w:tcPr>
            <w:tcW w:type="dxa" w:w="1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0.11 %</w:t>
            </w:r>
          </w:p>
        </w:tc>
      </w:tr>
      <w:tr>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30</w:t>
            </w:r>
          </w:p>
        </w:tc>
        <w:tc>
          <w:tcPr>
            <w:tcW w:type="dxa" w:w="1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0.03 %</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6.00 %</w:t>
            </w:r>
          </w:p>
        </w:tc>
        <w:tc>
          <w:tcPr>
            <w:tcW w:type="dxa" w:w="1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1,978,113</w:t>
            </w:r>
          </w:p>
        </w:tc>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624</w:t>
            </w:r>
          </w:p>
        </w:tc>
        <w:tc>
          <w:tcPr>
            <w:tcW w:type="dxa" w:w="1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0.03 %</w:t>
            </w:r>
          </w:p>
        </w:tc>
      </w:tr>
    </w:tbl>
    <w:p>
      <w:pPr>
        <w:spacing w:after="120"/>
      </w:pPr>
    </w:p>
    <w:p>
      <w:pPr>
        <w:pStyle w:val="Heading2"/>
      </w:pPr>
      <w:r>
        <w:t xml:space="preserve">5.4 Models</w:t>
      </w:r>
    </w:p>
    <w:p>
      <w:pPr>
        <w:spacing w:after="140" w:line="288"/>
      </w:pPr>
      <w:r>
        <w:t xml:space="preserve">Every model must beat two </w:t>
      </w:r>
      <w:r>
        <w:rPr>
          <w:b/>
          <w:bCs/>
        </w:rPr>
        <w:t xml:space="preserve">baselines</w:t>
      </w:r>
      <w:r>
        <w:t xml:space="preserve"> estimated from the training years only: </w:t>
      </w:r>
      <w:r>
        <w:rPr>
          <w:b/>
          <w:bCs/>
        </w:rPr>
        <w:t xml:space="preserve">climatology</w:t>
      </w:r>
      <w:r>
        <w:t xml:space="preserve">, P(&gt; h) for each season × hour × threshold (smoothed towards the threshold's overall rate), and a single </w:t>
      </w:r>
      <w:r>
        <w:rPr>
          <w:b/>
          <w:bCs/>
        </w:rPr>
        <w:t xml:space="preserve">base rate</w:t>
      </w:r>
      <w:r>
        <w:t xml:space="preserve"> per threshold. The candidate models are Spark ML Pipelines (StringIndexer → OneHotEncoder → VectorAssembler → classifier):</w:t>
      </w:r>
    </w:p>
    <w:p>
      <w:pPr>
        <w:keepNext/>
        <w:spacing w:after="80" w:before="200"/>
      </w:pPr>
      <w:r>
        <w:rPr>
          <w:b/>
          <w:bCs/>
          <w:sz w:val="18"/>
          <w:szCs w:val="18"/>
        </w:rPr>
        <w:t xml:space="preserve">Table 13.</w:t>
      </w:r>
      <w:r>
        <w:rPr>
          <w:sz w:val="18"/>
          <w:szCs w:val="18"/>
        </w:rPr>
        <w:t xml:space="preserve"> Candidate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200"/>
        <w:gridCol w:w="3538"/>
      </w:tblGrid>
      <w:tr>
        <w:trPr>
          <w:tblHeader/>
        </w:trPr>
        <w:tc>
          <w:tcPr>
            <w:tcW w:type="dxa" w:w="29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Candidate</w:t>
            </w:r>
          </w:p>
        </w:tc>
        <w:tc>
          <w:tcPr>
            <w:tcW w:type="dxa" w:w="32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Classifier</w:t>
            </w:r>
          </w:p>
        </w:tc>
        <w:tc>
          <w:tcPr>
            <w:tcW w:type="dxa" w:w="35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Features</w:t>
            </w:r>
          </w:p>
        </w:tc>
      </w:tr>
      <w:tr>
        <w:tc>
          <w:tcPr>
            <w:tcW w:type="dxa" w:w="2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LR: own gauge only</w:t>
            </w:r>
          </w:p>
        </w:tc>
        <w:tc>
          <w:tcPr>
            <w:tcW w:type="dxa" w:w="3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LogisticRegression (L2 10⁻⁵)</w:t>
            </w:r>
          </w:p>
        </w:tc>
        <w:tc>
          <w:tcPr>
            <w:tcW w:type="dxa" w:w="35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location, calendar, station's recent rain, threshold</w:t>
            </w:r>
          </w:p>
        </w:tc>
      </w:tr>
      <w:tr>
        <w:tc>
          <w:tcPr>
            <w:tcW w:type="dxa" w:w="2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LR: + neighbouring gauges</w:t>
            </w:r>
          </w:p>
        </w:tc>
        <w:tc>
          <w:tcPr>
            <w:tcW w:type="dxa" w:w="3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LogisticRegression (L2 10⁻⁵)</w:t>
            </w:r>
          </w:p>
        </w:tc>
        <w:tc>
          <w:tcPr>
            <w:tcW w:type="dxa" w:w="35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 neighbour features</w:t>
            </w:r>
          </w:p>
        </w:tc>
      </w:tr>
      <w:tr>
        <w:tc>
          <w:tcPr>
            <w:tcW w:type="dxa" w:w="2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LR: + threshold interactions</w:t>
            </w:r>
          </w:p>
        </w:tc>
        <w:tc>
          <w:tcPr>
            <w:tcW w:type="dxa" w:w="3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LogisticRegression (L2 10⁻⁵)</w:t>
            </w:r>
          </w:p>
        </w:tc>
        <w:tc>
          <w:tcPr>
            <w:tcW w:type="dxa" w:w="35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 threshold × recent-rain products</w:t>
            </w:r>
          </w:p>
        </w:tc>
      </w:tr>
      <w:tr>
        <w:tc>
          <w:tcPr>
            <w:tcW w:type="dxa" w:w="2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LR: + interactions, stronger L2</w:t>
            </w:r>
          </w:p>
        </w:tc>
        <w:tc>
          <w:tcPr>
            <w:tcW w:type="dxa" w:w="3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LogisticRegression (L2 10⁻³)</w:t>
            </w:r>
          </w:p>
        </w:tc>
        <w:tc>
          <w:tcPr>
            <w:tcW w:type="dxa" w:w="35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as above</w:t>
            </w:r>
          </w:p>
        </w:tc>
      </w:tr>
      <w:tr>
        <w:tc>
          <w:tcPr>
            <w:tcW w:type="dxa" w:w="2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GBT, depth 5 / depth 7</w:t>
            </w:r>
          </w:p>
        </w:tc>
        <w:tc>
          <w:tcPr>
            <w:tcW w:type="dxa" w:w="3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GBTClassifier, 80 trees, 35 % subsample of the training rows</w:t>
            </w:r>
          </w:p>
        </w:tc>
        <w:tc>
          <w:tcPr>
            <w:tcW w:type="dxa" w:w="35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location, calendar, own and neighbour rain, threshold</w:t>
            </w:r>
          </w:p>
        </w:tc>
      </w:tr>
    </w:tbl>
    <w:p>
      <w:pPr>
        <w:spacing w:after="120"/>
      </w:pPr>
    </w:p>
    <w:p>
      <w:pPr>
        <w:spacing w:after="140" w:line="288"/>
      </w:pPr>
      <w:r>
        <w:rPr>
          <w:b/>
          <w:bCs/>
        </w:rPr>
        <w:t xml:space="preserve">Selection rule (fixed in advance):</w:t>
      </w:r>
      <w:r>
        <w:t xml:space="preserve"> the highest macro-average log-loss skill over the six headline thresholds (0.2, 1, 2, 5, 10, 20 mm) on 2023. Log loss is a proper scoring rule, so it rewards probabilities that are both sharp and calibrated. Metrics are computed from Spark aggregates of the predictions (counts in 600 probability bins), and the average precision and ROC-AUC were cross-checked against MLlib's BinaryClassificationEvaluator (at 5 mm on 2023: PR-AUC 0.4417 vs 0.4448; ROC-AUC 0.9269 vs 0.9268).</w:t>
      </w:r>
    </w:p>
    <w:p>
      <w:pPr>
        <w:pStyle w:val="Heading2"/>
      </w:pPr>
      <w:r>
        <w:t xml:space="preserve">5.5 Validation results and model selection</w:t>
      </w:r>
    </w:p>
    <w:p>
      <w:pPr>
        <w:keepNext/>
        <w:spacing w:after="80" w:before="200"/>
      </w:pPr>
      <w:r>
        <w:rPr>
          <w:b/>
          <w:bCs/>
          <w:sz w:val="18"/>
          <w:szCs w:val="18"/>
        </w:rPr>
        <w:t xml:space="preserve">Table 14.</w:t>
      </w:r>
      <w:r>
        <w:rPr>
          <w:sz w:val="18"/>
          <w:szCs w:val="18"/>
        </w:rPr>
        <w:t xml:space="preserve"> Macro averages over the six thresholds on the 2023 validation year (t29_task2_model_comparison_validation.csv). Skill = share of climatology's error removed.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950"/>
        <w:gridCol w:w="1000"/>
        <w:gridCol w:w="1050"/>
        <w:gridCol w:w="1200"/>
        <w:gridCol w:w="1300"/>
        <w:gridCol w:w="900"/>
      </w:tblGrid>
      <w:tr>
        <w:trPr>
          <w:tblHeader/>
        </w:trPr>
        <w:tc>
          <w:tcPr>
            <w:tcW w:type="dxa" w:w="32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Model</w:t>
            </w:r>
          </w:p>
        </w:tc>
        <w:tc>
          <w:tcPr>
            <w:tcW w:type="dxa" w:w="95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PR-AUC</w:t>
            </w:r>
          </w:p>
        </w:tc>
        <w:tc>
          <w:tcPr>
            <w:tcW w:type="dxa" w:w="10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ROC-AUC</w:t>
            </w:r>
          </w:p>
        </w:tc>
        <w:tc>
          <w:tcPr>
            <w:tcW w:type="dxa" w:w="105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Brier skill</w:t>
            </w:r>
          </w:p>
        </w:tc>
        <w:tc>
          <w:tcPr>
            <w:tcW w:type="dxa" w:w="12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Log-loss skill</w:t>
            </w:r>
          </w:p>
        </w:tc>
        <w:tc>
          <w:tcPr>
            <w:tcW w:type="dxa" w:w="13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Threshold violations</w:t>
            </w:r>
          </w:p>
        </w:tc>
        <w:tc>
          <w:tcPr>
            <w:tcW w:type="dxa" w:w="9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Fit (s)</w:t>
            </w:r>
          </w:p>
        </w:tc>
      </w:tr>
      <w:tr>
        <w:tc>
          <w:tcPr>
            <w:tcW w:type="dxa" w:w="3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Climatology (baseline)</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0.043</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0.720</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0.000</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0.000</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n/a</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p>
        </w:tc>
      </w:tr>
      <w:tr>
        <w:tc>
          <w:tcPr>
            <w:tcW w:type="dxa" w:w="3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Base rate per threshold (baseline)</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0.018</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0.500</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-0.011</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-0.059</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n/a</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p>
        </w:tc>
      </w:tr>
      <w:tr>
        <w:tc>
          <w:tcPr>
            <w:tcW w:type="dxa" w:w="3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LR: own gauge only</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0.403</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0.899</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0.244</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0.325</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0.00 %</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11</w:t>
            </w:r>
          </w:p>
        </w:tc>
      </w:tr>
      <w:tr>
        <w:tc>
          <w:tcPr>
            <w:tcW w:type="dxa" w:w="3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LR: + neighbouring gauges</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0.445</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0.929</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0.256</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0.373</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0.00 %</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10</w:t>
            </w:r>
          </w:p>
        </w:tc>
      </w:tr>
      <w:tr>
        <w:tc>
          <w:tcPr>
            <w:tcW w:type="dxa" w:w="3238"/>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left"/>
            </w:pPr>
            <w:r>
              <w:rPr>
                <w:b/>
                <w:bCs/>
                <w:sz w:val="17"/>
                <w:szCs w:val="17"/>
              </w:rPr>
              <w:t xml:space="preserve">LR: + threshold interactions (selected)</w:t>
            </w:r>
          </w:p>
        </w:tc>
        <w:tc>
          <w:tcPr>
            <w:tcW w:type="dxa" w:w="95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0.458</w:t>
            </w:r>
          </w:p>
        </w:tc>
        <w:tc>
          <w:tcPr>
            <w:tcW w:type="dxa" w:w="100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0.929</w:t>
            </w:r>
          </w:p>
        </w:tc>
        <w:tc>
          <w:tcPr>
            <w:tcW w:type="dxa" w:w="105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0.284</w:t>
            </w:r>
          </w:p>
        </w:tc>
        <w:tc>
          <w:tcPr>
            <w:tcW w:type="dxa" w:w="120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0.393</w:t>
            </w:r>
          </w:p>
        </w:tc>
        <w:tc>
          <w:tcPr>
            <w:tcW w:type="dxa" w:w="130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0.00 %</w:t>
            </w:r>
          </w:p>
        </w:tc>
        <w:tc>
          <w:tcPr>
            <w:tcW w:type="dxa" w:w="90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11</w:t>
            </w:r>
          </w:p>
        </w:tc>
      </w:tr>
      <w:tr>
        <w:tc>
          <w:tcPr>
            <w:tcW w:type="dxa" w:w="3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LR: + interactions, stronger L2</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0.463</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0.930</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0.283</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0.383</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0.00 %</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10</w:t>
            </w:r>
          </w:p>
        </w:tc>
      </w:tr>
      <w:tr>
        <w:tc>
          <w:tcPr>
            <w:tcW w:type="dxa" w:w="3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GBT, depth 5</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0.449</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0.925</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0.265</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0.029</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0.03 %</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57</w:t>
            </w:r>
          </w:p>
        </w:tc>
      </w:tr>
      <w:tr>
        <w:tc>
          <w:tcPr>
            <w:tcW w:type="dxa" w:w="3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GBT, depth 7</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0.449</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0.933</w:t>
            </w:r>
          </w:p>
        </w:tc>
        <w:tc>
          <w:tcPr>
            <w:tcW w:type="dxa" w:w="10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0.264</w:t>
            </w:r>
          </w:p>
        </w:tc>
        <w:tc>
          <w:tcPr>
            <w:tcW w:type="dxa" w:w="12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0.031</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0.16 %</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83</w:t>
            </w:r>
          </w:p>
        </w:tc>
      </w:tr>
    </w:tbl>
    <w:p>
      <w:pPr>
        <w:spacing w:after="120"/>
      </w:pPr>
    </w:p>
    <w:p>
      <w:pPr>
        <w:spacing w:after="140" w:line="288"/>
      </w:pPr>
      <w:r>
        <w:t xml:space="preserve">Each step of the logistic model adds skill: neighbouring gauges raise the macro PR-AUC from 0.40 to 0.44, and the threshold interactions raise the log-loss skill to </w:t>
      </w:r>
      <w:r>
        <w:rPr>
          <w:b/>
          <w:bCs/>
        </w:rPr>
        <w:t xml:space="preserve">0.393</w:t>
      </w:r>
      <w:r>
        <w:t xml:space="preserve">, the best of all candidates, so </w:t>
      </w:r>
      <w:r>
        <w:rPr>
          <w:b/>
          <w:bCs/>
        </w:rPr>
        <w:t xml:space="preserve">LR with neighbours and threshold interactions is selected</w:t>
      </w:r>
      <w:r>
        <w:t xml:space="preserve">. The stronger-regularised variant ranks marginally better but its probabilities are slightly worse. The gradient-boosted trees rank about as well (PR-AUC 0.45, ROC-AUC up to 0.93) but their probabilities are poor (log-loss skill 0.03) and not monotone in the threshold. The miscalibration is largely mechanical: Spark's GBTClassifier starts every prediction at probability 0.5 and moves by about the step size per tree, so 80 trees cannot reach the 0.1 % probabilities that the 20 mm threshold needs.</w:t>
      </w:r>
    </w:p>
    <w:p>
      <w:pPr>
        <w:pStyle w:val="Heading2"/>
      </w:pPr>
      <w:r>
        <w:t xml:space="preserve">5.6 Performance on the untouched 2024 test year</w:t>
      </w:r>
    </w:p>
    <w:p>
      <w:pPr>
        <w:keepNext/>
        <w:spacing w:after="80" w:before="200"/>
      </w:pPr>
      <w:r>
        <w:rPr>
          <w:b/>
          <w:bCs/>
          <w:sz w:val="18"/>
          <w:szCs w:val="18"/>
        </w:rPr>
        <w:t xml:space="preserve">Table 15.</w:t>
      </w:r>
      <w:r>
        <w:rPr>
          <w:sz w:val="18"/>
          <w:szCs w:val="18"/>
        </w:rPr>
        <w:t xml:space="preserve"> Selected model on 2024; precision, recall and F1 use the F1-optimal cut-off chosen on 2023 (t30_task2_final_metrics.csv).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100"/>
        <w:gridCol w:w="900"/>
        <w:gridCol w:w="950"/>
        <w:gridCol w:w="950"/>
        <w:gridCol w:w="1000"/>
        <w:gridCol w:w="1000"/>
        <w:gridCol w:w="938"/>
        <w:gridCol w:w="1000"/>
      </w:tblGrid>
      <w:tr>
        <w:trPr>
          <w:tblHeader/>
        </w:trPr>
        <w:tc>
          <w:tcPr>
            <w:tcW w:type="dxa" w:w="8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h (mm)</w:t>
            </w:r>
          </w:p>
        </w:tc>
        <w:tc>
          <w:tcPr>
            <w:tcW w:type="dxa" w:w="10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Event rate</w:t>
            </w:r>
          </w:p>
        </w:tc>
        <w:tc>
          <w:tcPr>
            <w:tcW w:type="dxa" w:w="11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Mean forecast</w:t>
            </w:r>
          </w:p>
        </w:tc>
        <w:tc>
          <w:tcPr>
            <w:tcW w:type="dxa" w:w="9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PR-AUC</w:t>
            </w:r>
          </w:p>
        </w:tc>
        <w:tc>
          <w:tcPr>
            <w:tcW w:type="dxa" w:w="95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ROC-AUC</w:t>
            </w:r>
          </w:p>
        </w:tc>
        <w:tc>
          <w:tcPr>
            <w:tcW w:type="dxa" w:w="95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Brier</w:t>
            </w:r>
          </w:p>
        </w:tc>
        <w:tc>
          <w:tcPr>
            <w:tcW w:type="dxa" w:w="10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Log loss</w:t>
            </w:r>
          </w:p>
        </w:tc>
        <w:tc>
          <w:tcPr>
            <w:tcW w:type="dxa" w:w="10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Precision</w:t>
            </w:r>
          </w:p>
        </w:tc>
        <w:tc>
          <w:tcPr>
            <w:tcW w:type="dxa" w:w="9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Recall</w:t>
            </w:r>
          </w:p>
        </w:tc>
        <w:tc>
          <w:tcPr>
            <w:tcW w:type="dxa" w:w="10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F1</w:t>
            </w:r>
          </w:p>
        </w:tc>
      </w:tr>
      <w:tr>
        <w:tc>
          <w:tcPr>
            <w:tcW w:type="dxa" w:w="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0.2</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4.89 %</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4.24 %</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0.638</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0.910</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0.0276</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0.1124</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0.672</w:t>
            </w:r>
          </w:p>
        </w:tc>
        <w:tc>
          <w:tcPr>
            <w:tcW w:type="dxa" w:w="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0.562</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0.612</w:t>
            </w:r>
          </w:p>
        </w:tc>
      </w:tr>
      <w:tr>
        <w:tc>
          <w:tcPr>
            <w:tcW w:type="dxa" w:w="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1</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2.59 %</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2.66 %</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0.585</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0.918</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0.0152</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0.0661</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0.648</w:t>
            </w:r>
          </w:p>
        </w:tc>
        <w:tc>
          <w:tcPr>
            <w:tcW w:type="dxa" w:w="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0.539</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0.588</w:t>
            </w:r>
          </w:p>
        </w:tc>
      </w:tr>
      <w:tr>
        <w:tc>
          <w:tcPr>
            <w:tcW w:type="dxa" w:w="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1.70 %</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1.78 %</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0.524</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0.915</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0.0109</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0.0489</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0.577</w:t>
            </w:r>
          </w:p>
        </w:tc>
        <w:tc>
          <w:tcPr>
            <w:tcW w:type="dxa" w:w="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0.511</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0.542</w:t>
            </w:r>
          </w:p>
        </w:tc>
      </w:tr>
      <w:tr>
        <w:tc>
          <w:tcPr>
            <w:tcW w:type="dxa" w:w="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5</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0.83 %</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0.82 %</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0.418</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0.912</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0.0061</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0.0287</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0.497</w:t>
            </w:r>
          </w:p>
        </w:tc>
        <w:tc>
          <w:tcPr>
            <w:tcW w:type="dxa" w:w="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0.441</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0.467</w:t>
            </w:r>
          </w:p>
        </w:tc>
      </w:tr>
      <w:tr>
        <w:tc>
          <w:tcPr>
            <w:tcW w:type="dxa" w:w="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10</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0.38 %</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0.36 %</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0.327</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0.917</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0.0030</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0.0150</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0.363</w:t>
            </w:r>
          </w:p>
        </w:tc>
        <w:tc>
          <w:tcPr>
            <w:tcW w:type="dxa" w:w="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0.435</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0.395</w:t>
            </w:r>
          </w:p>
        </w:tc>
      </w:tr>
      <w:tr>
        <w:tc>
          <w:tcPr>
            <w:tcW w:type="dxa" w:w="8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0.11 %</w:t>
            </w:r>
          </w:p>
        </w:tc>
        <w:tc>
          <w:tcPr>
            <w:tcW w:type="dxa" w:w="11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0.13 %</w:t>
            </w:r>
          </w:p>
        </w:tc>
        <w:tc>
          <w:tcPr>
            <w:tcW w:type="dxa" w:w="9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0.186</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0.941</w:t>
            </w:r>
          </w:p>
        </w:tc>
        <w:tc>
          <w:tcPr>
            <w:tcW w:type="dxa" w:w="95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0.0009</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0.0050</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0.243</w:t>
            </w:r>
          </w:p>
        </w:tc>
        <w:tc>
          <w:tcPr>
            <w:tcW w:type="dxa" w:w="9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0.320</w:t>
            </w:r>
          </w:p>
        </w:tc>
        <w:tc>
          <w:tcPr>
            <w:tcW w:type="dxa" w:w="10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0.276</w:t>
            </w:r>
          </w:p>
        </w:tc>
      </w:tr>
    </w:tbl>
    <w:p>
      <w:pPr>
        <w:spacing w:after="120"/>
      </w:pPr>
    </w:p>
    <w:p>
      <w:pPr>
        <w:keepNext/>
        <w:spacing w:after="80" w:before="200"/>
      </w:pPr>
      <w:r>
        <w:rPr>
          <w:b/>
          <w:bCs/>
          <w:sz w:val="18"/>
          <w:szCs w:val="18"/>
        </w:rPr>
        <w:t xml:space="preserve">Table 16.</w:t>
      </w:r>
      <w:r>
        <w:rPr>
          <w:sz w:val="18"/>
          <w:szCs w:val="18"/>
        </w:rPr>
        <w:t xml:space="preserve"> Macro averages over the six thresholds on 2024 (t34_task2_macro_summary.csv).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1300"/>
        <w:gridCol w:w="1300"/>
        <w:gridCol w:w="1400"/>
        <w:gridCol w:w="1400"/>
      </w:tblGrid>
      <w:tr>
        <w:trPr>
          <w:tblHeader/>
        </w:trPr>
        <w:tc>
          <w:tcPr>
            <w:tcW w:type="dxa" w:w="42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Model</w:t>
            </w:r>
          </w:p>
        </w:tc>
        <w:tc>
          <w:tcPr>
            <w:tcW w:type="dxa" w:w="13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PR-AUC</w:t>
            </w:r>
          </w:p>
        </w:tc>
        <w:tc>
          <w:tcPr>
            <w:tcW w:type="dxa" w:w="13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ROC-AUC</w:t>
            </w:r>
          </w:p>
        </w:tc>
        <w:tc>
          <w:tcPr>
            <w:tcW w:type="dxa" w:w="14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Brier skill</w:t>
            </w:r>
          </w:p>
        </w:tc>
        <w:tc>
          <w:tcPr>
            <w:tcW w:type="dxa" w:w="14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Log-loss skill</w:t>
            </w:r>
          </w:p>
        </w:tc>
      </w:tr>
      <w:tr>
        <w:tc>
          <w:tcPr>
            <w:tcW w:type="dxa" w:w="4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Base rate per threshold (baseline)</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0.017</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0.500</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-0.007</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-0.043</w:t>
            </w:r>
          </w:p>
        </w:tc>
      </w:tr>
      <w:tr>
        <w:tc>
          <w:tcPr>
            <w:tcW w:type="dxa" w:w="4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Climatology (baseline)</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0.034</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0.690</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0.000</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0.000</w:t>
            </w:r>
          </w:p>
        </w:tc>
      </w:tr>
      <w:tr>
        <w:tc>
          <w:tcPr>
            <w:tcW w:type="dxa" w:w="4238"/>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left"/>
            </w:pPr>
            <w:r>
              <w:rPr>
                <w:b/>
                <w:bCs/>
                <w:sz w:val="17"/>
                <w:szCs w:val="17"/>
              </w:rPr>
              <w:t xml:space="preserve">LR: + threshold interactions (selected)</w:t>
            </w:r>
          </w:p>
        </w:tc>
        <w:tc>
          <w:tcPr>
            <w:tcW w:type="dxa" w:w="130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0.446</w:t>
            </w:r>
          </w:p>
        </w:tc>
        <w:tc>
          <w:tcPr>
            <w:tcW w:type="dxa" w:w="130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0.919</w:t>
            </w:r>
          </w:p>
        </w:tc>
        <w:tc>
          <w:tcPr>
            <w:tcW w:type="dxa" w:w="140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0.283</w:t>
            </w:r>
          </w:p>
        </w:tc>
        <w:tc>
          <w:tcPr>
            <w:tcW w:type="dxa" w:w="1400"/>
            <w:tcBorders>
              <w:top w:val="single" w:color="C7CDD6" w:sz="4"/>
              <w:left w:val="single" w:color="C7CDD6" w:sz="4"/>
              <w:bottom w:val="single" w:color="C7CDD6" w:sz="4"/>
              <w:right w:val="single" w:color="C7CDD6" w:sz="4"/>
            </w:tcBorders>
            <w:shd w:fill="F5F7FA" w:color="auto" w:val="clear"/>
            <w:tcMar>
              <w:top w:type="dxa" w:w="50"/>
              <w:left w:type="dxa" w:w="90"/>
              <w:bottom w:type="dxa" w:w="50"/>
              <w:right w:type="dxa" w:w="90"/>
            </w:tcMar>
            <w:vAlign w:val="center"/>
          </w:tcPr>
          <w:p>
            <w:pPr>
              <w:jc w:val="center"/>
            </w:pPr>
            <w:r>
              <w:rPr>
                <w:b/>
                <w:bCs/>
                <w:sz w:val="17"/>
                <w:szCs w:val="17"/>
              </w:rPr>
              <w:t xml:space="preserve">0.392</w:t>
            </w:r>
          </w:p>
        </w:tc>
      </w:tr>
      <w:tr>
        <w:tc>
          <w:tcPr>
            <w:tcW w:type="dxa" w:w="42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GBT, depth 7</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0.446</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0.923</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0.260</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0.019</w:t>
            </w:r>
          </w:p>
        </w:tc>
      </w:tr>
    </w:tbl>
    <w:p>
      <w:pPr>
        <w:spacing w:after="120"/>
      </w:pPr>
    </w:p>
    <w:p>
      <w:pPr>
        <w:pStyle w:val="ListParagraph"/>
        <w:numPr>
          <w:ilvl w:val="0"/>
          <w:numId w:val="2"/>
        </w:numPr>
        <w:spacing w:after="80" w:line="276"/>
      </w:pPr>
      <w:r>
        <w:rPr>
          <w:b/>
          <w:bCs/>
        </w:rPr>
        <w:t xml:space="preserve">The selected model beats both baselines at every threshold</w:t>
      </w:r>
      <w:r>
        <w:t xml:space="preserve"> (Figure 11). Averaged over the thresholds it reaches PR-AUC 0.446 and ROC-AUC 0.919 against climatology's 0.034 and 0.690, and removes 39 % of climatology's log loss and 28 % of its Brier score. Test performance matches validation (macro PR-AUC 0.458 on 2023), so the model did not overfit the selection year.</w:t>
      </w:r>
    </w:p>
    <w:p>
      <w:pPr>
        <w:pStyle w:val="ListParagraph"/>
        <w:numPr>
          <w:ilvl w:val="0"/>
          <w:numId w:val="2"/>
        </w:numPr>
        <w:spacing w:after="80" w:line="276"/>
      </w:pPr>
      <w:r>
        <w:rPr>
          <w:b/>
          <w:bCs/>
        </w:rPr>
        <w:t xml:space="preserve">At 5 mm</w:t>
      </w:r>
      <w:r>
        <w:t xml:space="preserve"> (0.83 % of half-hours) the PR-AUC of 0.418 is about 50 times the event rate, with ROC-AUC 0.912; at the 2023 cut-off the model catches 44 % of the events with 50 % precision. Skill falls as events become rarer (PR-AUC 0.64 at 0.2 mm, 0.19 at 20 mm) while ROC-AUC stays above 0.9 throughout.</w:t>
      </w:r>
    </w:p>
    <w:p>
      <w:pPr>
        <w:pStyle w:val="ListParagraph"/>
        <w:numPr>
          <w:ilvl w:val="0"/>
          <w:numId w:val="2"/>
        </w:numPr>
        <w:spacing w:after="80" w:line="276"/>
      </w:pPr>
      <w:r>
        <w:rPr>
          <w:b/>
          <w:bCs/>
        </w:rPr>
        <w:t xml:space="preserve">Calibration</w:t>
      </w:r>
      <w:r>
        <w:t xml:space="preserve"> (Figure 12): the mean forecast is within 0.1 percentage points of the event rate at every threshold from 1 mm upwards, and the reliability curves stay close to the diagonal, slightly over-confident in the top bin (0.62 predicted vs 0.53 observed at 5 mm). At 0.2 mm the model under-forecasts the middle of the range (0.39 predicted vs 0.59 observed).</w:t>
      </w:r>
    </w:p>
    <w:p>
      <w:pPr>
        <w:pStyle w:val="ListParagraph"/>
        <w:numPr>
          <w:ilvl w:val="0"/>
          <w:numId w:val="2"/>
        </w:numPr>
        <w:spacing w:after="80" w:line="276"/>
      </w:pPr>
      <w:r>
        <w:rPr>
          <w:b/>
          <w:bCs/>
        </w:rPr>
        <w:t xml:space="preserve">Monotonicity:</w:t>
      </w:r>
      <w:r>
        <w:t xml:space="preserve"> the predicted probability never increases with the threshold (0 violations in 25.8 M adjacent threshold pairs in 2023 and 2024; Figure 15). This holds for every physically valid input, because the threshold coefficient (−1.23 on log(1 + h)) outweighs the two positive interaction terms whenever the 30-minute total does not exceed the 180-minute total and the neighbour maximum does not exceed four times the neighbour mean.</w:t>
      </w:r>
    </w:p>
    <w:p>
      <w:pPr>
        <w:pStyle w:val="ListParagraph"/>
        <w:numPr>
          <w:ilvl w:val="0"/>
          <w:numId w:val="2"/>
        </w:numPr>
        <w:spacing w:after="80" w:line="276"/>
      </w:pPr>
      <w:r>
        <w:rPr>
          <w:b/>
          <w:bCs/>
        </w:rPr>
        <w:t xml:space="preserve">The best GBT ranks about as well</w:t>
      </w:r>
      <w:r>
        <w:t xml:space="preserve"> (PR-AUC 0.446 vs 0.446, ROC-AUC 0.923 vs 0.919) but its log-loss skill is only 0.02; at 20 mm its mean forecast is 1.5 % against a 0.1 % event rate. For a task that asks for a probability, the calibrated logistic model is the better answer.</w:t>
      </w:r>
    </w:p>
    <w:p>
      <w:pPr>
        <w:keepNext/>
        <w:spacing w:after="60" w:before="160"/>
        <w:jc w:val="center"/>
      </w:pPr>
      <w:r>
        <w:drawing>
          <wp:inline distT="0" distB="0" distL="0" distR="0">
            <wp:extent cx="6124575" cy="2152650"/>
            <wp:effectExtent t="0" r="0" b="0" l="0"/>
            <wp:docPr id="11" name="fig11_task2_metrics_by_threshold.png" descr="2024 test metrics by threshold for the selected logistic model, the best GBT and the two baselin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2152650"/>
                    </a:xfrm>
                    <a:prstGeom prst="rect">
                      <a:avLst/>
                    </a:prstGeom>
                  </pic:spPr>
                </pic:pic>
              </a:graphicData>
            </a:graphic>
          </wp:inline>
        </w:drawing>
      </w:r>
    </w:p>
    <w:p>
      <w:pPr>
        <w:spacing w:after="240"/>
      </w:pPr>
      <w:r>
        <w:rPr>
          <w:b/>
          <w:bCs/>
          <w:color w:val="1F2937"/>
          <w:sz w:val="18"/>
          <w:szCs w:val="18"/>
        </w:rPr>
        <w:t xml:space="preserve">Figure 11.</w:t>
      </w:r>
      <w:r>
        <w:rPr>
          <w:color w:val="1F2937"/>
          <w:sz w:val="18"/>
          <w:szCs w:val="18"/>
        </w:rPr>
        <w:t xml:space="preserve"> 2024 test metrics by threshold for the selected logistic model, the best GBT and the two baselines.</w:t>
      </w:r>
    </w:p>
    <w:p>
      <w:pPr>
        <w:keepNext/>
        <w:spacing w:after="60" w:before="160"/>
        <w:jc w:val="center"/>
      </w:pPr>
      <w:r>
        <w:drawing>
          <wp:inline distT="0" distB="0" distL="0" distR="0">
            <wp:extent cx="6124575" cy="1695450"/>
            <wp:effectExtent t="0" r="0" b="0" l="0"/>
            <wp:docPr id="12" name="fig12_task2_calibration.png" descr="Reliability of the selected model's probabilities on 2024 at six thresholds (dashed: perfect calibratio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1695450"/>
                    </a:xfrm>
                    <a:prstGeom prst="rect">
                      <a:avLst/>
                    </a:prstGeom>
                  </pic:spPr>
                </pic:pic>
              </a:graphicData>
            </a:graphic>
          </wp:inline>
        </w:drawing>
      </w:r>
    </w:p>
    <w:p>
      <w:pPr>
        <w:spacing w:after="240"/>
      </w:pPr>
      <w:r>
        <w:rPr>
          <w:b/>
          <w:bCs/>
          <w:color w:val="1F2937"/>
          <w:sz w:val="18"/>
          <w:szCs w:val="18"/>
        </w:rPr>
        <w:t xml:space="preserve">Figure 12.</w:t>
      </w:r>
      <w:r>
        <w:rPr>
          <w:color w:val="1F2937"/>
          <w:sz w:val="18"/>
          <w:szCs w:val="18"/>
        </w:rPr>
        <w:t xml:space="preserve"> Reliability of the selected model's probabilities on 2024 at six thresholds (dashed: perfect calibration).</w:t>
      </w:r>
    </w:p>
    <w:p>
      <w:pPr>
        <w:keepNext/>
        <w:spacing w:after="60" w:before="160"/>
        <w:jc w:val="center"/>
      </w:pPr>
      <w:r>
        <w:drawing>
          <wp:inline distT="0" distB="0" distL="0" distR="0">
            <wp:extent cx="4410075" cy="3076575"/>
            <wp:effectExtent t="0" r="0" b="0" l="0"/>
            <wp:docPr id="13" name="fig13_task2_pr_curves.png" descr="Precision–recall curves of the selected model on 2024."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10075" cy="3076575"/>
                    </a:xfrm>
                    <a:prstGeom prst="rect">
                      <a:avLst/>
                    </a:prstGeom>
                  </pic:spPr>
                </pic:pic>
              </a:graphicData>
            </a:graphic>
          </wp:inline>
        </w:drawing>
      </w:r>
    </w:p>
    <w:p>
      <w:pPr>
        <w:spacing w:after="240"/>
      </w:pPr>
      <w:r>
        <w:rPr>
          <w:b/>
          <w:bCs/>
          <w:color w:val="1F2937"/>
          <w:sz w:val="18"/>
          <w:szCs w:val="18"/>
        </w:rPr>
        <w:t xml:space="preserve">Figure 13.</w:t>
      </w:r>
      <w:r>
        <w:rPr>
          <w:color w:val="1F2937"/>
          <w:sz w:val="18"/>
          <w:szCs w:val="18"/>
        </w:rPr>
        <w:t xml:space="preserve"> Precision–recall curves of the selected model on 2024.</w:t>
      </w:r>
    </w:p>
    <w:p>
      <w:pPr>
        <w:spacing w:after="140" w:line="288"/>
      </w:pPr>
      <w:r>
        <w:rPr>
          <w:b/>
          <w:bCs/>
        </w:rPr>
        <w:t xml:space="preserve">What drives the forecast</w:t>
      </w:r>
      <w:r>
        <w:t xml:space="preserve"> (Figure 14): after the threshold itself (−1.0 log-odds per standard deviation), the strongest effects are rain at the neighbouring gauges, the station's own rain in the last 5 minutes and the last 3 hours, and the time of day (higher probabilities in the daytime, as in Figure 5). The negative threshold × 3-hour-rain interaction means recent rain raises the chance of light rain more than of heavy rain. Skill is similar across the three regions and four seasons (Table 17). It is lowest for prediction times between 12:00 and 15:00 (PR-AUC 0.38, ROC-AUC 0.86), consistent with afternoon convective storms that begin with little warning in the gauge record, and ROC-AUC is lowest in the south-west monsoon (0.89).</w:t>
      </w:r>
    </w:p>
    <w:p>
      <w:pPr>
        <w:keepNext/>
        <w:spacing w:after="60" w:before="160"/>
        <w:jc w:val="center"/>
      </w:pPr>
      <w:r>
        <w:drawing>
          <wp:inline distT="0" distB="0" distL="0" distR="0">
            <wp:extent cx="6124575" cy="2514600"/>
            <wp:effectExtent t="0" r="0" b="0" l="0"/>
            <wp:docPr id="14" name="fig14_task2_models_and_effects.png" descr="Macro-average PR-AUC on 2024 by model (a) and the largest standardized effects in the selected logistic model (b)."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2514600"/>
                    </a:xfrm>
                    <a:prstGeom prst="rect">
                      <a:avLst/>
                    </a:prstGeom>
                  </pic:spPr>
                </pic:pic>
              </a:graphicData>
            </a:graphic>
          </wp:inline>
        </w:drawing>
      </w:r>
    </w:p>
    <w:p>
      <w:pPr>
        <w:spacing w:after="240"/>
      </w:pPr>
      <w:r>
        <w:rPr>
          <w:b/>
          <w:bCs/>
          <w:color w:val="1F2937"/>
          <w:sz w:val="18"/>
          <w:szCs w:val="18"/>
        </w:rPr>
        <w:t xml:space="preserve">Figure 14.</w:t>
      </w:r>
      <w:r>
        <w:rPr>
          <w:color w:val="1F2937"/>
          <w:sz w:val="18"/>
          <w:szCs w:val="18"/>
        </w:rPr>
        <w:t xml:space="preserve"> Macro-average PR-AUC on 2024 by model (a) and the largest standardized effects in the selected logistic model (b).</w:t>
      </w:r>
    </w:p>
    <w:p>
      <w:pPr>
        <w:keepNext/>
        <w:spacing w:after="80" w:before="200"/>
      </w:pPr>
      <w:r>
        <w:rPr>
          <w:b/>
          <w:bCs/>
          <w:sz w:val="18"/>
          <w:szCs w:val="18"/>
        </w:rPr>
        <w:t xml:space="preserve">Table 17.</w:t>
      </w:r>
      <w:r>
        <w:rPr>
          <w:sz w:val="18"/>
          <w:szCs w:val="18"/>
        </w:rPr>
        <w:t xml:space="preserve"> Selected model at 5 mm on 2024 by season, hour of the prediction time and region (t33_task2_subgroups.csv).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300"/>
        <w:gridCol w:w="1400"/>
        <w:gridCol w:w="1300"/>
        <w:gridCol w:w="1438"/>
      </w:tblGrid>
      <w:tr>
        <w:trPr>
          <w:tblHeader/>
        </w:trPr>
        <w:tc>
          <w:tcPr>
            <w:tcW w:type="dxa" w:w="15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Dimension</w:t>
            </w:r>
          </w:p>
        </w:tc>
        <w:tc>
          <w:tcPr>
            <w:tcW w:type="dxa" w:w="27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left"/>
            </w:pPr>
            <w:r>
              <w:rPr>
                <w:b/>
                <w:bCs/>
                <w:sz w:val="17"/>
                <w:szCs w:val="17"/>
              </w:rPr>
              <w:t xml:space="preserve">Group</w:t>
            </w:r>
          </w:p>
        </w:tc>
        <w:tc>
          <w:tcPr>
            <w:tcW w:type="dxa" w:w="13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Events</w:t>
            </w:r>
          </w:p>
        </w:tc>
        <w:tc>
          <w:tcPr>
            <w:tcW w:type="dxa" w:w="14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Event rate</w:t>
            </w:r>
          </w:p>
        </w:tc>
        <w:tc>
          <w:tcPr>
            <w:tcW w:type="dxa" w:w="1300"/>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PR-AUC</w:t>
            </w:r>
          </w:p>
        </w:tc>
        <w:tc>
          <w:tcPr>
            <w:tcW w:type="dxa" w:w="1438"/>
            <w:tcBorders>
              <w:top w:val="single" w:color="C7CDD6" w:sz="4"/>
              <w:left w:val="single" w:color="C7CDD6" w:sz="4"/>
              <w:bottom w:val="single" w:color="C7CDD6" w:sz="4"/>
              <w:right w:val="single" w:color="C7CDD6" w:sz="4"/>
            </w:tcBorders>
            <w:shd w:fill="E8EDF4" w:color="auto" w:val="clear"/>
            <w:tcMar>
              <w:top w:type="dxa" w:w="50"/>
              <w:left w:type="dxa" w:w="90"/>
              <w:bottom w:type="dxa" w:w="50"/>
              <w:right w:type="dxa" w:w="90"/>
            </w:tcMar>
            <w:vAlign w:val="center"/>
          </w:tcPr>
          <w:p>
            <w:pPr>
              <w:jc w:val="center"/>
            </w:pPr>
            <w:r>
              <w:rPr>
                <w:b/>
                <w:bCs/>
                <w:sz w:val="17"/>
                <w:szCs w:val="17"/>
              </w:rPr>
              <w:t xml:space="preserve">ROC-AUC</w:t>
            </w:r>
          </w:p>
        </w:tc>
      </w:tr>
      <w:tr>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season</w:t>
            </w:r>
          </w:p>
        </w:tc>
        <w:tc>
          <w:tcPr>
            <w:tcW w:type="dxa" w:w="2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Inter-monsoon (Apr-May)</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1,924</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0.90 %</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0.432</w:t>
            </w:r>
          </w:p>
        </w:tc>
        <w:tc>
          <w:tcPr>
            <w:tcW w:type="dxa" w:w="1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0.912</w:t>
            </w:r>
          </w:p>
        </w:tc>
      </w:tr>
      <w:tr>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season</w:t>
            </w:r>
          </w:p>
        </w:tc>
        <w:tc>
          <w:tcPr>
            <w:tcW w:type="dxa" w:w="2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Inter-monsoon (Oct-Nov)</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2,280</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1.12 %</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0.461</w:t>
            </w:r>
          </w:p>
        </w:tc>
        <w:tc>
          <w:tcPr>
            <w:tcW w:type="dxa" w:w="1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0.912</w:t>
            </w:r>
          </w:p>
        </w:tc>
      </w:tr>
      <w:tr>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season</w:t>
            </w:r>
          </w:p>
        </w:tc>
        <w:tc>
          <w:tcPr>
            <w:tcW w:type="dxa" w:w="2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NE Monsoon (Dec-Mar)</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3,400</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0.80 %</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0.398</w:t>
            </w:r>
          </w:p>
        </w:tc>
        <w:tc>
          <w:tcPr>
            <w:tcW w:type="dxa" w:w="1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0.928</w:t>
            </w:r>
          </w:p>
        </w:tc>
      </w:tr>
      <w:tr>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season</w:t>
            </w:r>
          </w:p>
        </w:tc>
        <w:tc>
          <w:tcPr>
            <w:tcW w:type="dxa" w:w="2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SW Monsoon (Jun-Sep)</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2,841</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0.69 %</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0.396</w:t>
            </w:r>
          </w:p>
        </w:tc>
        <w:tc>
          <w:tcPr>
            <w:tcW w:type="dxa" w:w="1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0.887</w:t>
            </w:r>
          </w:p>
        </w:tc>
      </w:tr>
      <w:tr>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hour (SGT)</w:t>
            </w:r>
          </w:p>
        </w:tc>
        <w:tc>
          <w:tcPr>
            <w:tcW w:type="dxa" w:w="2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00-03</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802</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0.38 %</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0.472</w:t>
            </w:r>
          </w:p>
        </w:tc>
        <w:tc>
          <w:tcPr>
            <w:tcW w:type="dxa" w:w="1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0.874</w:t>
            </w:r>
          </w:p>
        </w:tc>
      </w:tr>
      <w:tr>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hour (SGT)</w:t>
            </w:r>
          </w:p>
        </w:tc>
        <w:tc>
          <w:tcPr>
            <w:tcW w:type="dxa" w:w="2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04-07</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1,382</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0.66 %</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0.465</w:t>
            </w:r>
          </w:p>
        </w:tc>
        <w:tc>
          <w:tcPr>
            <w:tcW w:type="dxa" w:w="1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0.924</w:t>
            </w:r>
          </w:p>
        </w:tc>
      </w:tr>
      <w:tr>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hour (SGT)</w:t>
            </w:r>
          </w:p>
        </w:tc>
        <w:tc>
          <w:tcPr>
            <w:tcW w:type="dxa" w:w="2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08-11</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2,173</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1.04 %</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0.425</w:t>
            </w:r>
          </w:p>
        </w:tc>
        <w:tc>
          <w:tcPr>
            <w:tcW w:type="dxa" w:w="1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0.907</w:t>
            </w:r>
          </w:p>
        </w:tc>
      </w:tr>
      <w:tr>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hour (SGT)</w:t>
            </w:r>
          </w:p>
        </w:tc>
        <w:tc>
          <w:tcPr>
            <w:tcW w:type="dxa" w:w="2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12-15</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3,123</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1.49 %</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0.375</w:t>
            </w:r>
          </w:p>
        </w:tc>
        <w:tc>
          <w:tcPr>
            <w:tcW w:type="dxa" w:w="1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0.858</w:t>
            </w:r>
          </w:p>
        </w:tc>
      </w:tr>
      <w:tr>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hour (SGT)</w:t>
            </w:r>
          </w:p>
        </w:tc>
        <w:tc>
          <w:tcPr>
            <w:tcW w:type="dxa" w:w="2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16-19</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2,411</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1.15 %</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0.434</w:t>
            </w:r>
          </w:p>
        </w:tc>
        <w:tc>
          <w:tcPr>
            <w:tcW w:type="dxa" w:w="1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0.904</w:t>
            </w:r>
          </w:p>
        </w:tc>
      </w:tr>
      <w:tr>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hour (SGT)</w:t>
            </w:r>
          </w:p>
        </w:tc>
        <w:tc>
          <w:tcPr>
            <w:tcW w:type="dxa" w:w="2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20-23</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554</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0.26 %</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0.503</w:t>
            </w:r>
          </w:p>
        </w:tc>
        <w:tc>
          <w:tcPr>
            <w:tcW w:type="dxa" w:w="1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0.901</w:t>
            </w:r>
          </w:p>
        </w:tc>
      </w:tr>
      <w:tr>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region</w:t>
            </w:r>
          </w:p>
        </w:tc>
        <w:tc>
          <w:tcPr>
            <w:tcW w:type="dxa" w:w="2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Central</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3,642</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0.83 %</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0.409</w:t>
            </w:r>
          </w:p>
        </w:tc>
        <w:tc>
          <w:tcPr>
            <w:tcW w:type="dxa" w:w="1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0.909</w:t>
            </w:r>
          </w:p>
        </w:tc>
      </w:tr>
      <w:tr>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region</w:t>
            </w:r>
          </w:p>
        </w:tc>
        <w:tc>
          <w:tcPr>
            <w:tcW w:type="dxa" w:w="2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East</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2,999</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0.76 %</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0.409</w:t>
            </w:r>
          </w:p>
        </w:tc>
        <w:tc>
          <w:tcPr>
            <w:tcW w:type="dxa" w:w="1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0.917</w:t>
            </w:r>
          </w:p>
        </w:tc>
      </w:tr>
      <w:tr>
        <w:tc>
          <w:tcPr>
            <w:tcW w:type="dxa" w:w="15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region</w:t>
            </w:r>
          </w:p>
        </w:tc>
        <w:tc>
          <w:tcPr>
            <w:tcW w:type="dxa" w:w="27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left"/>
            </w:pPr>
            <w:r>
              <w:rPr>
                <w:b w:val="false"/>
                <w:bCs w:val="false"/>
                <w:sz w:val="17"/>
                <w:szCs w:val="17"/>
              </w:rPr>
              <w:t xml:space="preserve">West</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3,804</w:t>
            </w:r>
          </w:p>
        </w:tc>
        <w:tc>
          <w:tcPr>
            <w:tcW w:type="dxa" w:w="14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0.91 %</w:t>
            </w:r>
          </w:p>
        </w:tc>
        <w:tc>
          <w:tcPr>
            <w:tcW w:type="dxa" w:w="1300"/>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0.435</w:t>
            </w:r>
          </w:p>
        </w:tc>
        <w:tc>
          <w:tcPr>
            <w:tcW w:type="dxa" w:w="1438"/>
            <w:tcBorders>
              <w:top w:val="single" w:color="C7CDD6" w:sz="4"/>
              <w:left w:val="single" w:color="C7CDD6" w:sz="4"/>
              <w:bottom w:val="single" w:color="C7CDD6" w:sz="4"/>
              <w:right w:val="single" w:color="C7CDD6" w:sz="4"/>
            </w:tcBorders>
            <w:tcMar>
              <w:top w:type="dxa" w:w="50"/>
              <w:left w:type="dxa" w:w="90"/>
              <w:bottom w:type="dxa" w:w="50"/>
              <w:right w:type="dxa" w:w="90"/>
            </w:tcMar>
            <w:vAlign w:val="center"/>
          </w:tcPr>
          <w:p>
            <w:pPr>
              <w:jc w:val="center"/>
            </w:pPr>
            <w:r>
              <w:rPr>
                <w:b w:val="false"/>
                <w:bCs w:val="false"/>
                <w:sz w:val="17"/>
                <w:szCs w:val="17"/>
              </w:rPr>
              <w:t xml:space="preserve">0.911</w:t>
            </w:r>
          </w:p>
        </w:tc>
      </w:tr>
    </w:tbl>
    <w:p>
      <w:pPr>
        <w:spacing w:after="120"/>
      </w:pPr>
    </w:p>
    <w:p>
      <w:pPr>
        <w:keepNext/>
        <w:spacing w:after="60" w:before="160"/>
        <w:jc w:val="center"/>
      </w:pPr>
      <w:r>
        <w:drawing>
          <wp:inline distT="0" distB="0" distL="0" distR="0">
            <wp:extent cx="4410075" cy="2781300"/>
            <wp:effectExtent t="0" r="0" b="0" l="0"/>
            <wp:docPr id="15" name="fig15_task2_threshold_sweep.png" descr="Predicted P(rain &gt; h) against h for one station at four recent-rain states (2024 afternoon prediction tim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10075" cy="2781300"/>
                    </a:xfrm>
                    <a:prstGeom prst="rect">
                      <a:avLst/>
                    </a:prstGeom>
                  </pic:spPr>
                </pic:pic>
              </a:graphicData>
            </a:graphic>
          </wp:inline>
        </w:drawing>
      </w:r>
    </w:p>
    <w:p>
      <w:pPr>
        <w:spacing w:after="240"/>
      </w:pPr>
      <w:r>
        <w:rPr>
          <w:b/>
          <w:bCs/>
          <w:color w:val="1F2937"/>
          <w:sz w:val="18"/>
          <w:szCs w:val="18"/>
        </w:rPr>
        <w:t xml:space="preserve">Figure 15.</w:t>
      </w:r>
      <w:r>
        <w:rPr>
          <w:color w:val="1F2937"/>
          <w:sz w:val="18"/>
          <w:szCs w:val="18"/>
        </w:rPr>
        <w:t xml:space="preserve"> Predicted P(rain &gt; h) against h for one station at four recent-rain states (2024 afternoon prediction times).</w:t>
      </w:r>
    </w:p>
    <w:p>
      <w:pPr>
        <w:pStyle w:val="Heading2"/>
      </w:pPr>
      <w:r>
        <w:t xml:space="preserve">5.7 The trained model and how to use it</w:t>
      </w:r>
    </w:p>
    <w:p>
      <w:pPr>
        <w:spacing w:after="140" w:line="288"/>
      </w:pPr>
      <w:r>
        <w:t xml:space="preserve">The selected pipeline (indexers, encoders, assembler and logistic regression, about 128 KB) is saved with Spark's PipelineModel.save in models/task2_exceedance/, together with a metadata.json that records the feature list, threshold grid, 2023 cut-offs and conventions. Section 12 of the notebook reloads it and defines predict(station, time, threshold), which rebuilds the features for the requested time from the cleaned readings with the same functions used for training, reading only data at or before the prediction time. For example, predict("S77", "2024-10-01 15:00", 5) returns 0.004 after 0.2 mm in the previous half-hour. Unknown stations, times without three hours of complete history and thresholds outside 0.2–30 mm are refused with an explanation.</w:t>
      </w:r>
    </w:p>
    <w:p>
      <w:pPr>
        <w:pStyle w:val="Heading1"/>
      </w:pPr>
      <w:r>
        <w:t xml:space="preserve">6. Additional work, observations and limitations</w:t>
      </w:r>
    </w:p>
    <w:p>
      <w:pPr>
        <w:pStyle w:val="Heading2"/>
      </w:pPr>
      <w:r>
        <w:t xml:space="preserve">6.1 Two independent pipelines</w:t>
      </w:r>
    </w:p>
    <w:p>
      <w:pPr>
        <w:spacing w:after="140" w:line="288"/>
      </w:pPr>
      <w:r>
        <w:t xml:space="preserve">The group developed two pipelines in parallel: a script-based pipeline and a notebook-based pipeline with stricter cleaning, trend tests and a cross-validated comparison of logistic regression, random forests and GBTs. They were compared before submission. Only the script pipeline's Task 2 model had been trained and evaluated on the full data, so it was selected; the notebook pipeline's gauge-fault rules (dead gauges, spike days) and its Mann–Kendall trend tests were ported into it, all results were regenerated, and the final code was consolidated into one notebook in a data-engineering order (ingestion → audit → cleaning → pre-processing → analysis → features → baselines → models → evaluation). The consolidated notebook reproduces the script pipeline's results exactly for Task 1, both baselines and the selected model.</w:t>
      </w:r>
    </w:p>
    <w:p>
      <w:pPr>
        <w:pStyle w:val="Heading2"/>
      </w:pPr>
      <w:r>
        <w:t xml:space="preserve">6.2 Observations</w:t>
      </w:r>
    </w:p>
    <w:p>
      <w:pPr>
        <w:pStyle w:val="ListParagraph"/>
        <w:numPr>
          <w:ilvl w:val="0"/>
          <w:numId w:val="2"/>
        </w:numPr>
        <w:spacing w:after="80" w:line="276"/>
      </w:pPr>
      <w:r>
        <w:rPr>
          <w:b/>
          <w:bCs/>
        </w:rPr>
        <w:t xml:space="preserve">Faulty gauges are the main data-quality risk.</w:t>
      </w:r>
      <w:r>
        <w:t xml:space="preserve"> Value-range checks found one bad reading in 48.5 M, but neighbour-consistency checks found a 749 mm "day" and dead gauges reporting zeros through wet months. Without them, Task 1 would have reported a false 2022 rainfall record.</w:t>
      </w:r>
    </w:p>
    <w:p>
      <w:pPr>
        <w:pStyle w:val="ListParagraph"/>
        <w:numPr>
          <w:ilvl w:val="0"/>
          <w:numId w:val="2"/>
        </w:numPr>
        <w:spacing w:after="80" w:line="276"/>
      </w:pPr>
      <w:r>
        <w:rPr>
          <w:b/>
          <w:bCs/>
        </w:rPr>
        <w:t xml:space="preserve">The meaning of a timestamp is undocumented.</w:t>
      </w:r>
      <w:r>
        <w:t xml:space="preserve"> We chose the interpretation under which no future information can reach the model, at worst labelling the prediction time five minutes late.</w:t>
      </w:r>
    </w:p>
    <w:p>
      <w:pPr>
        <w:pStyle w:val="ListParagraph"/>
        <w:numPr>
          <w:ilvl w:val="0"/>
          <w:numId w:val="2"/>
        </w:numPr>
        <w:spacing w:after="80" w:line="276"/>
      </w:pPr>
      <w:r>
        <w:rPr>
          <w:b/>
          <w:bCs/>
        </w:rPr>
        <w:t xml:space="preserve">Reproducibility.</w:t>
      </w:r>
      <w:r>
        <w:t xml:space="preserve"> The logistic pipeline is deterministic: the consolidated notebook reproduces the earlier script runs to within 10⁻¹² for Task 1, the baselines and the selected model. Spark's GBT is not, because its per-partition row subsampling depends on how the data are partitioned, so its 2024 macro PR-AUC varied between 0.446 and 0.451 over four runs. Hash-based sampling (rather than random sampling) keeps the training and evaluation sets themselves identical across runs.</w:t>
      </w:r>
    </w:p>
    <w:p>
      <w:pPr>
        <w:pStyle w:val="ListParagraph"/>
        <w:numPr>
          <w:ilvl w:val="0"/>
          <w:numId w:val="2"/>
        </w:numPr>
        <w:spacing w:after="80" w:line="276"/>
      </w:pPr>
      <w:r>
        <w:rPr>
          <w:b/>
          <w:bCs/>
        </w:rPr>
        <w:t xml:space="preserve">Spark's GBT needs recalibration for rare events.</w:t>
      </w:r>
      <w:r>
        <w:t xml:space="preserve"> With probabilities as small as 0.1 %, an uncalibrated boosted model is badly calibrated even when it ranks well; a logistic model with well-chosen interactions was both competitive and calibrated.</w:t>
      </w:r>
    </w:p>
    <w:p>
      <w:pPr>
        <w:pStyle w:val="ListParagraph"/>
        <w:numPr>
          <w:ilvl w:val="0"/>
          <w:numId w:val="2"/>
        </w:numPr>
        <w:spacing w:after="80" w:line="276"/>
      </w:pPr>
      <w:r>
        <w:rPr>
          <w:b/>
          <w:bCs/>
        </w:rPr>
        <w:t xml:space="preserve">Scalability.</w:t>
      </w:r>
      <w:r>
        <w:t xml:space="preserve"> Parsing the CSVs once into Parquet, caching the de-duplicated table, broadcast joins for station pairs and time-based window functions keep the whole pipeline at about 13 minutes on one machine; the most expensive stages are the 46 M-row feature table and the GBT fits.</w:t>
      </w:r>
    </w:p>
    <w:p>
      <w:pPr>
        <w:pStyle w:val="ListParagraph"/>
        <w:numPr>
          <w:ilvl w:val="0"/>
          <w:numId w:val="2"/>
        </w:numPr>
        <w:spacing w:after="80" w:line="276"/>
      </w:pPr>
      <w:r>
        <w:rPr>
          <w:b/>
          <w:bCs/>
        </w:rPr>
        <w:t xml:space="preserve">Storage layout matters for columnar compression.</w:t>
      </w:r>
      <w:r>
        <w:t xml:space="preserve"> The bronze copy, which keeps the CSVs' time order, compresses 7.5 GB of CSV to 49 MB, while the cleaned silver layer, shuffled when it is partitioned by year, takes 414 MB for fewer rows. Sorting each partition by station and time before writing would shrink it and speed up every later scan.</w:t>
      </w:r>
    </w:p>
    <w:p>
      <w:pPr>
        <w:pStyle w:val="Heading2"/>
      </w:pPr>
      <w:r>
        <w:t xml:space="preserve">6.3 Limitations and future work</w:t>
      </w:r>
    </w:p>
    <w:p>
      <w:pPr>
        <w:pStyle w:val="ListParagraph"/>
        <w:numPr>
          <w:ilvl w:val="0"/>
          <w:numId w:val="2"/>
        </w:numPr>
        <w:spacing w:after="80" w:line="276"/>
      </w:pPr>
      <w:r>
        <w:t xml:space="preserve">One test year (2024); eight years are too short to separate trends from climate variability.</w:t>
      </w:r>
    </w:p>
    <w:p>
      <w:pPr>
        <w:pStyle w:val="ListParagraph"/>
        <w:numPr>
          <w:ilvl w:val="0"/>
          <w:numId w:val="2"/>
        </w:numPr>
        <w:spacing w:after="80" w:line="276"/>
      </w:pPr>
      <w:r>
        <w:t xml:space="preserve">Heavy thresholds are thinly sampled (624 training positives at 30 mm), so probabilities above 20 mm are less certain.</w:t>
      </w:r>
    </w:p>
    <w:p>
      <w:pPr>
        <w:pStyle w:val="ListParagraph"/>
        <w:numPr>
          <w:ilvl w:val="0"/>
          <w:numId w:val="2"/>
        </w:numPr>
        <w:spacing w:after="80" w:line="276"/>
      </w:pPr>
      <w:r>
        <w:t xml:space="preserve">The model sees only gauge data; radar, satellite or wind fields would capture approaching storms that have not yet reached any gauge.</w:t>
      </w:r>
    </w:p>
    <w:p>
      <w:pPr>
        <w:pStyle w:val="ListParagraph"/>
        <w:numPr>
          <w:ilvl w:val="0"/>
          <w:numId w:val="2"/>
        </w:numPr>
        <w:spacing w:after="80" w:line="276"/>
      </w:pPr>
      <w:r>
        <w:t xml:space="preserve">The GBT was compared without recalibration; Platt scaling or isotonic regression on part of 2023 could make its competitive ranking usable.</w:t>
      </w:r>
    </w:p>
    <w:p>
      <w:pPr>
        <w:pStyle w:val="ListParagraph"/>
        <w:numPr>
          <w:ilvl w:val="0"/>
          <w:numId w:val="2"/>
        </w:numPr>
        <w:spacing w:after="80" w:line="276"/>
      </w:pPr>
      <w:r>
        <w:t xml:space="preserve">Spark ran in local mode; the code is cluster-ready but was not benchmarked on a multi-node cluster.</w:t>
      </w:r>
    </w:p>
    <w:p>
      <w:pPr>
        <w:pStyle w:val="Heading1"/>
      </w:pPr>
      <w:r>
        <w:t xml:space="preserve">7. Declaration of AI usage</w:t>
      </w:r>
    </w:p>
    <w:p>
      <w:pPr>
        <w:spacing w:after="140" w:line="288"/>
      </w:pPr>
      <w:r>
        <w:t xml:space="preserve">Generative AI (Claude models by Anthropic) was used in this project as follows:</w:t>
      </w:r>
    </w:p>
    <w:p>
      <w:pPr>
        <w:pStyle w:val="ListParagraph"/>
        <w:numPr>
          <w:ilvl w:val="0"/>
          <w:numId w:val="2"/>
        </w:numPr>
        <w:spacing w:after="80" w:line="276"/>
      </w:pPr>
      <w:r>
        <w:rPr>
          <w:b/>
          <w:bCs/>
        </w:rPr>
        <w:t xml:space="preserve">Code:</w:t>
      </w:r>
      <w:r>
        <w:t xml:space="preserve"> as a coding assistant for the PySpark pipeline (ingestion, cleaning, aggregations, window-function feature engineering, MLlib pipelines and evaluation), the figure code and debugging.</w:t>
      </w:r>
    </w:p>
    <w:p>
      <w:pPr>
        <w:pStyle w:val="ListParagraph"/>
        <w:numPr>
          <w:ilvl w:val="0"/>
          <w:numId w:val="2"/>
        </w:numPr>
        <w:spacing w:after="80" w:line="276"/>
      </w:pPr>
      <w:r>
        <w:rPr>
          <w:b/>
          <w:bCs/>
        </w:rPr>
        <w:t xml:space="preserve">Design discussion:</w:t>
      </w:r>
      <w:r>
        <w:t xml:space="preserve"> modelling choices such as the threshold-as-input formulation, label-independent sampling, the leakage checks and the evaluation metrics were discussed with the assistant.</w:t>
      </w:r>
    </w:p>
    <w:p>
      <w:pPr>
        <w:pStyle w:val="ListParagraph"/>
        <w:numPr>
          <w:ilvl w:val="0"/>
          <w:numId w:val="2"/>
        </w:numPr>
        <w:spacing w:after="80" w:line="276"/>
      </w:pPr>
      <w:r>
        <w:rPr>
          <w:b/>
          <w:bCs/>
        </w:rPr>
        <w:t xml:space="preserve">Review and consolidation:</w:t>
      </w:r>
      <w:r>
        <w:t xml:space="preserve"> to compare the group's two pipelines, find defects (for example the input-file naming, faulty gauges and unsupported claims), port the stricter quality-control rules and trend tests, and consolidate the code into a single notebook.</w:t>
      </w:r>
    </w:p>
    <w:p>
      <w:pPr>
        <w:pStyle w:val="ListParagraph"/>
        <w:numPr>
          <w:ilvl w:val="0"/>
          <w:numId w:val="2"/>
        </w:numPr>
        <w:spacing w:after="80" w:line="276"/>
      </w:pPr>
      <w:r>
        <w:rPr>
          <w:b/>
          <w:bCs/>
        </w:rPr>
        <w:t xml:space="preserve">Writing:</w:t>
      </w:r>
      <w:r>
        <w:t xml:space="preserve"> to draft the README and this report from the pipeline's outputs.</w:t>
      </w:r>
    </w:p>
    <w:p>
      <w:pPr>
        <w:spacing w:after="140" w:line="288"/>
      </w:pPr>
      <w:r>
        <w:t xml:space="preserve">All numbers in this report are produced by the submitted notebook. The group reviewed the code, the results and the text, and takes responsibility for the submission.</w:t>
      </w:r>
    </w:p>
    <w:p>
      <w:pPr>
        <w:pStyle w:val="Heading1"/>
      </w:pPr>
      <w:r>
        <w:t xml:space="preserve">References</w:t>
      </w:r>
    </w:p>
    <w:p>
      <w:pPr>
        <w:pStyle w:val="ListParagraph"/>
        <w:numPr>
          <w:ilvl w:val="0"/>
          <w:numId w:val="3"/>
        </w:numPr>
        <w:spacing w:after="80" w:line="276"/>
      </w:pPr>
      <w:r>
        <w:t xml:space="preserve">Data.gov.sg. Historical Rainfall across Singapore (collection 2279). https://data.gov.sg/collections/2279/view</w:t>
      </w:r>
    </w:p>
    <w:p>
      <w:pPr>
        <w:pStyle w:val="ListParagraph"/>
        <w:numPr>
          <w:ilvl w:val="0"/>
          <w:numId w:val="3"/>
        </w:numPr>
        <w:spacing w:after="80" w:line="276"/>
      </w:pPr>
      <w:r>
        <w:t xml:space="preserve">Runfola, D. et al. (2020). geoBoundaries: A global database of political administrative boundaries. PLOS ONE 15(4): e0231866. (Singapore ADM0 boundary derived from the URA Master Plan 2014 Subzone Boundary, ODbL 1.0.)</w:t>
      </w:r>
    </w:p>
    <w:p>
      <w:pPr>
        <w:pStyle w:val="ListParagraph"/>
        <w:numPr>
          <w:ilvl w:val="0"/>
          <w:numId w:val="3"/>
        </w:numPr>
        <w:spacing w:after="80" w:line="276"/>
      </w:pPr>
      <w:r>
        <w:t xml:space="preserve">Apache Software Foundation. Spark 3.5.5 Machine Learning Library (MLlib) Guide. https://spark.apache.org/docs/3.5.5/ml-guide.html</w:t>
      </w:r>
    </w:p>
    <w:p>
      <w:pPr>
        <w:pStyle w:val="ListParagraph"/>
        <w:numPr>
          <w:ilvl w:val="0"/>
          <w:numId w:val="3"/>
        </w:numPr>
        <w:spacing w:after="80" w:line="276"/>
      </w:pPr>
      <w:r>
        <w:t xml:space="preserve">Mann, H. B. (1945). Nonparametric tests against trend. Econometrica 13(3), 245–259.</w:t>
      </w:r>
    </w:p>
    <w:p>
      <w:pPr>
        <w:pStyle w:val="ListParagraph"/>
        <w:numPr>
          <w:ilvl w:val="0"/>
          <w:numId w:val="3"/>
        </w:numPr>
        <w:spacing w:after="80" w:line="276"/>
      </w:pPr>
      <w:r>
        <w:t xml:space="preserve">Kendall, M. G. (1975). Rank Correlation Methods, 4th ed. Charles Griffin, London.</w:t>
      </w:r>
    </w:p>
    <w:p>
      <w:pPr>
        <w:pStyle w:val="ListParagraph"/>
        <w:numPr>
          <w:ilvl w:val="0"/>
          <w:numId w:val="3"/>
        </w:numPr>
        <w:spacing w:after="80" w:line="276"/>
      </w:pPr>
      <w:r>
        <w:t xml:space="preserve">Sen, P. K. (1968). Estimates of the regression coefficient based on Kendall's tau. Journal of the American Statistical Association 63(324), 1379–1389.</w:t>
      </w:r>
    </w:p>
    <w:p>
      <w:pPr>
        <w:pStyle w:val="ListParagraph"/>
        <w:numPr>
          <w:ilvl w:val="0"/>
          <w:numId w:val="3"/>
        </w:numPr>
        <w:spacing w:after="80" w:line="276"/>
      </w:pPr>
      <w:r>
        <w:t xml:space="preserve">Brier, G. W. (1950). Verification of forecasts expressed in terms of probability. Monthly Weather Review 78(1), 1–3.</w:t>
      </w:r>
    </w:p>
    <w:p>
      <w:pPr>
        <w:pStyle w:val="Heading1"/>
      </w:pPr>
      <w:r>
        <w:t xml:space="preserve">Appendix: reproducing the results</w:t>
      </w:r>
    </w:p>
    <w:p>
      <w:pPr>
        <w:pStyle w:val="ListParagraph"/>
        <w:numPr>
          <w:ilvl w:val="0"/>
          <w:numId w:val="4"/>
        </w:numPr>
        <w:spacing w:after="80" w:line="276"/>
      </w:pPr>
      <w:r>
        <w:t xml:space="preserve">Create the environment: conda env create -f environment.yml (Python 3.11, PySpark 3.5, OpenJDK 17).</w:t>
      </w:r>
    </w:p>
    <w:p>
      <w:pPr>
        <w:pStyle w:val="ListParagraph"/>
        <w:numPr>
          <w:ilvl w:val="0"/>
          <w:numId w:val="4"/>
        </w:numPr>
        <w:spacing w:after="80" w:line="276"/>
      </w:pPr>
      <w:r>
        <w:t xml:space="preserve">Download the eight annual CSVs (2017–2024) from data.gov.sg into data/.</w:t>
      </w:r>
    </w:p>
    <w:p>
      <w:pPr>
        <w:pStyle w:val="ListParagraph"/>
        <w:numPr>
          <w:ilvl w:val="0"/>
          <w:numId w:val="4"/>
        </w:numPr>
        <w:spacing w:after="80" w:line="276"/>
      </w:pPr>
      <w:r>
        <w:t xml:space="preserve">Run DSA5208_Project2.ipynb top to bottom with the dsa5208 kernel, or headless with jupyter nbconvert --to notebook --execute --inplace DSA5208_Project2.ipynb. The run writes data_parquet/ (bronze, silver, gold), outputs/figures/, outputs/tables/ and models/task2_exceedance/.</w:t>
      </w:r>
    </w:p>
    <w:p>
      <w:pPr>
        <w:pStyle w:val="ListParagraph"/>
        <w:numPr>
          <w:ilvl w:val="0"/>
          <w:numId w:val="4"/>
        </w:numPr>
        <w:spacing w:after="80" w:line="276"/>
      </w:pPr>
      <w:r>
        <w:t xml:space="preserve">To use the saved model without retraining, run Section 0, the cells marked "# definitions" and Section 12 of the notebook (see README).</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DSA5208 Project 2 · Historical Rainfall across Singapore, 2017–2024</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20" w:before="260"/>
      <w:outlineLvl w:val="1"/>
    </w:pPr>
    <w:rPr>
      <w:rFonts w:ascii="Calibri" w:cs="Calibri" w:eastAsia="Calibri" w:hAnsi="Calibri"/>
      <w:b/>
      <w:bCs/>
      <w:color w:val="1F3864"/>
      <w:sz w:val="24"/>
      <w:szCs w:val="24"/>
    </w:rPr>
  </w:style>
  <w:style w:type="paragraph" w:styleId="Heading3">
    <w:name w:val="Heading 3"/>
    <w:basedOn w:val="Normal"/>
    <w:next w:val="Normal"/>
    <w:qFormat/>
    <w:pPr>
      <w:keepNext/>
      <w:spacing w:after="100" w:before="200"/>
      <w:outlineLvl w:val="2"/>
    </w:pPr>
    <w:rPr>
      <w:rFonts w:ascii="Calibri" w:cs="Calibri" w:eastAsia="Calibri" w:hAnsi="Calibri"/>
      <w:b/>
      <w:bCs/>
      <w:color w:val="1F2937"/>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4a6f72ce61b8df18739b940a0974cf5709581ee4.png"/><Relationship Id="rId12" Type="http://schemas.openxmlformats.org/officeDocument/2006/relationships/image" Target="media/43c8e50e754ce65336208f13666889d207a828be.png"/><Relationship Id="rId13" Type="http://schemas.openxmlformats.org/officeDocument/2006/relationships/image" Target="media/a1893c808b01825e06e7f72a2e6c9f3b0063491b.png"/><Relationship Id="rId14" Type="http://schemas.openxmlformats.org/officeDocument/2006/relationships/image" Target="media/126a14789c2850caa24e1257f24f51dfc4dbc947.png"/><Relationship Id="rId15" Type="http://schemas.openxmlformats.org/officeDocument/2006/relationships/image" Target="media/6a6d6dd398275717fcaf128d0b8f5ca30b79c6b1.png"/><Relationship Id="rId16" Type="http://schemas.openxmlformats.org/officeDocument/2006/relationships/image" Target="media/35efd17db78cffa0bdc4b218e1173adfbbac80ed.png"/><Relationship Id="rId17" Type="http://schemas.openxmlformats.org/officeDocument/2006/relationships/image" Target="media/532f245154a159e4d758dfe5788252828ae89ec5.png"/><Relationship Id="rId18" Type="http://schemas.openxmlformats.org/officeDocument/2006/relationships/image" Target="media/cf8a6431090db88c0284986986e90301d7fac5c6.png"/><Relationship Id="rId19" Type="http://schemas.openxmlformats.org/officeDocument/2006/relationships/image" Target="media/8499509d6de3ff131adf965c3bcfc4495dc4f063.png"/><Relationship Id="rId20" Type="http://schemas.openxmlformats.org/officeDocument/2006/relationships/image" Target="media/0a6e0582d3571784235e9e2fe50852017bfbada4.png"/><Relationship Id="rId21" Type="http://schemas.openxmlformats.org/officeDocument/2006/relationships/image" Target="media/b5fe383c8bcd69ec53bb5c0382d1ccfdbe2563ad.png"/><Relationship Id="rId22" Type="http://schemas.openxmlformats.org/officeDocument/2006/relationships/image" Target="media/92c156d55a90433dc4639b5c3a962d59bc608aeb.png"/><Relationship Id="rId23" Type="http://schemas.openxmlformats.org/officeDocument/2006/relationships/image" Target="media/ff05b19113deb8a1b01d2129023a0aa24cb6686e.png"/><Relationship Id="rId24" Type="http://schemas.openxmlformats.org/officeDocument/2006/relationships/image" Target="media/cb1989193a535b011f227207833789b8e374b92d.png"/><Relationship Id="rId25" Type="http://schemas.openxmlformats.org/officeDocument/2006/relationships/image" Target="media/8465b990839a8187088887b8d558635fd070075e.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Rainfall across Singapore, 2017–2024</dc:title>
  <dc:creator>DSA5208 Project 2 group</dc:creator>
  <dc:description>DSA5208 Project 2 report</dc:description>
  <cp:lastModifiedBy>Un-named</cp:lastModifiedBy>
  <cp:revision>1</cp:revision>
  <dcterms:created xsi:type="dcterms:W3CDTF">2026-10-11T07:18:50.151Z</dcterms:created>
  <dcterms:modified xsi:type="dcterms:W3CDTF">2026-10-11T07:18:50.152Z</dcterms:modified>
</cp:coreProperties>
</file>

<file path=docProps/custom.xml><?xml version="1.0" encoding="utf-8"?>
<Properties xmlns="http://schemas.openxmlformats.org/officeDocument/2006/custom-properties" xmlns:vt="http://schemas.openxmlformats.org/officeDocument/2006/docPropsVTypes"/>
</file>