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 48.5 million records from 91 stations —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0.465</w:t>
            </w:r>
            <w:r>
              <w:rPr>
                <w:sz w:val="19"/>
                <w:szCs w:val="19"/>
              </w:rPr>
              <w:t xml:space="preserve"> at the 5 mm threshold (55× the event rate) with ROC-AUC </w:t>
            </w:r>
            <w:r>
              <w:rPr>
                <w:b/>
                <w:bCs/>
                <w:sz w:val="19"/>
                <w:szCs w:val="19"/>
              </w:rPr>
              <w:t xml:space="preserve">0.968</w:t>
            </w:r>
            <w:r>
              <w:rPr>
                <w:sz w:val="19"/>
                <w:szCs w:val="19"/>
              </w:rPr>
              <w:t xml:space="preserve">, beats the logistic baseline at every threshold on identical rows, and gives calibrated probabilities. The notebook also shows how the Spark job scales with the number of cores.</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PR-AUC, ROC-AUC and log loss at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is almost useless for this task; a model that can see the neighbourhood is 55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Everything runs with Apache Spark in local mode on one laptop. Changing the Spark master URL is the only change needed to run the same notebook on a cluster (for example YARN on Google Cloud Dataproc).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11.5 MB; Stage 1 logistic baseline 13 KB</w:t>
            </w:r>
          </w:p>
        </w:tc>
      </w:tr>
    </w:tbl>
    <w:p>
      <w:pPr>
        <w:spacing w:after="200" w:before="60"/>
        <w:jc w:val="center"/>
      </w:pPr>
      <w:r>
        <w:rPr>
          <w:i/>
          <w:iCs/>
          <w:color w:val="7A8094"/>
          <w:sz w:val="16"/>
          <w:szCs w:val="16"/>
        </w:rPr>
        <w:t xml:space="preserve">Table 4. Computing environment, recorded by the notebook (t00_environment.csv).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0.7</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7.8</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43.2</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79.0</w:t>
            </w:r>
          </w:p>
        </w:tc>
      </w:tr>
    </w:tbl>
    <w:p>
      <w:pPr>
        <w:spacing w:after="200" w:before="60"/>
        <w:jc w:val="center"/>
      </w:pPr>
      <w:r>
        <w:rPr>
          <w:i/>
          <w:iCs/>
          <w:color w:val="7A8094"/>
          <w:sz w:val="16"/>
          <w:szCs w:val="16"/>
        </w:rPr>
        <w:t xml:space="preserve">Table 5. Wall-clock time of the notebook's stages on this machine (t40_stage_timings.csv).</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Neither is caught by a range check;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future information can reach the features.</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 one shuffle instead of a sorted window over 48 million rows. The physical plan confirms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Physical Plan ==</w:t>
            </w:r>
          </w:p>
          <w:p>
            <w:pPr>
              <w:spacing w:after="0"/>
            </w:pPr>
            <w:r>
              <w:rPr>
                <w:rFonts w:ascii="Courier New" w:cs="Courier New" w:eastAsia="Courier New" w:hAnsi="Courier New"/>
                <w:color w:val="1D7874"/>
                <w:sz w:val="16"/>
                <w:szCs w:val="16"/>
              </w:rPr>
              <w:t xml:space="preserve">HashAggregate(keys=[station_id, ts], functions=[max(struct(upd, rain_mm)), count(1), first(station_name), ...])</w:t>
            </w:r>
          </w:p>
          <w:p>
            <w:pPr>
              <w:spacing w:after="0"/>
            </w:pPr>
            <w:r>
              <w:rPr>
                <w:rFonts w:ascii="Courier New" w:cs="Courier New" w:eastAsia="Courier New" w:hAnsi="Courier New"/>
                <w:color w:val="1D7874"/>
                <w:sz w:val="16"/>
                <w:szCs w:val="16"/>
              </w:rPr>
              <w:t xml:space="preserve">+- Exchange hashpartitioning(station_id, ts, 96)</w:t>
            </w:r>
          </w:p>
          <w:p>
            <w:pPr>
              <w:spacing w:after="0"/>
            </w:pPr>
            <w:r>
              <w:rPr>
                <w:rFonts w:ascii="Courier New" w:cs="Courier New" w:eastAsia="Courier New" w:hAnsi="Courier New"/>
                <w:color w:val="1D7874"/>
                <w:sz w:val="16"/>
                <w:szCs w:val="16"/>
              </w:rPr>
              <w:t xml:space="preserve">   +- HashAggregate(keys=[station_id, ts], functions=[partial_max(...), partial_count(1), ...])</w:t>
            </w:r>
          </w:p>
          <w:p>
            <w:pPr>
              <w:spacing w:after="0"/>
            </w:pPr>
            <w:r>
              <w:rPr>
                <w:rFonts w:ascii="Courier New" w:cs="Courier New" w:eastAsia="Courier New" w:hAnsi="Courier New"/>
                <w:color w:val="1D7874"/>
                <w:sz w:val="16"/>
                <w:szCs w:val="16"/>
              </w:rPr>
              <w:t xml:space="preserve">      +- Project [...timestamp_seconds(round(unix_timestamp(ts_raw) / 300) * 300) AS ts...]</w:t>
            </w:r>
          </w:p>
          <w:p>
            <w:pPr>
              <w:spacing w:after="0"/>
            </w:pPr>
            <w:r>
              <w:rPr>
                <w:rFonts w:ascii="Courier New" w:cs="Courier New" w:eastAsia="Courier New" w:hAnsi="Courier New"/>
                <w:color w:val="1D7874"/>
                <w:sz w:val="16"/>
                <w:szCs w:val="16"/>
              </w:rPr>
              <w:t xml:space="preserve">         +- FileScan parquet bronze/ [filtered on reading_type]</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 172 wet days against 233 in the other years — while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505450" cy="278130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05450" cy="278130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 </w:t>
      </w:r>
      <w:r>
        <w:rPr>
          <w:b/>
          <w:bCs/>
        </w:rPr>
        <w:t xml:space="preserve">Nov (315 mm), Dec (261 mm), Apr (248 mm)</w:t>
      </w:r>
      <w:r>
        <w:t xml:space="preserve"> — and the driest months are </w:t>
      </w:r>
      <w:r>
        <w:rPr>
          <w:b/>
          <w:bCs/>
        </w:rPr>
        <w:t xml:space="preserve">Jul (147 mm), Feb (145 mm)</w:t>
      </w:r>
      <w:r>
        <w:t xml:space="preserve">.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16:00–15:00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5505450" cy="3810000"/>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5450" cy="3810000"/>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9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5505450" cy="34480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34480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+24 %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Robustness check.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only information available at the prediction time t is used —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 a look-ahead that the check exposed).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 5 km, ≤ 10 km and 5–20 km to the </w:t>
            </w:r>
            <w:r>
              <w:rPr>
                <w:b/>
                <w:bCs/>
                <w:color w:val="3C3C3C"/>
                <w:sz w:val="16"/>
                <w:szCs w:val="16"/>
              </w:rPr>
              <w:t xml:space="preserve">west</w:t>
            </w:r>
            <w:r>
              <w:rPr>
                <w:b w:val="false"/>
                <w:bCs w:val="false"/>
                <w:color w:val="3C3C3C"/>
                <w:sz w:val="16"/>
                <w:szCs w:val="16"/>
              </w:rPr>
              <w:t xml:space="preserve"> —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w:t>
            </w:r>
          </w:p>
        </w:tc>
      </w:tr>
    </w:tbl>
    <w:p>
      <w:pPr>
        <w:spacing w:after="160"/>
      </w:pPr>
    </w:p>
    <w:p>
      <w:pPr>
        <w:pStyle w:val="Heading2"/>
      </w:pPr>
      <w:r>
        <w:t xml:space="preserve">7.2 Training sets</w:t>
      </w:r>
    </w:p>
    <w:p>
      <w:pPr>
        <w:spacing w:after="120" w:line="276"/>
        <w:jc w:val="both"/>
      </w:pPr>
      <w:r>
        <w:t xml:space="preserve">Both stages train on samples whose selection </w:t>
      </w:r>
      <w:r>
        <w:rPr>
          <w:b/>
          <w:bCs/>
        </w:rPr>
        <w:t xml:space="preserve">does not depend on the label</w:t>
      </w:r>
      <w:r>
        <w:t xml:space="preserve">, so the probabilities stay calibrated without re-weighting tricks. Stage 1 keeps a row for threshold h if a hash of (station, time, h) falls below a rate that depends only on h (about 8,000 positives per threshold); the positive rate of the sample equals the population rate at every threshold. Stage 2 keeps every row with rain in the last 3 hours or the next 30 minutes and 3 % of the quiet rows with weight 33, which MLlib uses through weightCol; each row is paired with three thresholds drawn log-uniformly from 0.2–60 mm.</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 the reason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0.0394 ± 0.0023</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0.0322 ± 0.0019</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0.0405 ± 0.0018</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0.0427, k=16: 0.0452, k=8: 0.0585);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0.0298 → 0.0292); for the GBT it reduced the held-out log loss from 0.0385 to 0.0315. Finally, because a tree model does not guarantee P(&gt; 10 mm) ≤ P(&gt; 5 mm), the probabilities of each station-time are made non-increasing across thresholds with a running minimum, which changed at most 0.026 % of the 2024 predictions. The Stage 1 logistic model is monotone by construction (0 violations in 25,771,260 adjacent pairs).</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and scored on </w:t>
      </w:r>
      <w:r>
        <w:rPr>
          <w:b/>
          <w:bCs/>
        </w:rPr>
        <w:t xml:space="preserve">every station and five-minute time of 2024</w:t>
      </w:r>
      <w:r>
        <w:t xml:space="preserve"> (6,277,148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0.0396</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0.385</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0.53</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0.294</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0.49</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0.350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0.981</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0.100</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0.465</w:t>
      </w:r>
      <w:r>
        <w:t xml:space="preserve">, 55 times the event rate, with ROC-AUC 0.968, and removes 29 % of the climatology error; at its 2023 cut-off it catches 46 % of the events with 49 % precision. Skill falls as events get rarer (PR-AUC 0.721 at 0.5 mm, 0.182 at 20 mm) while ROC-AUC stays above 0.96 throughout. The probabilities are reliable where it matters: below 10 %, where almost all forecasts lie, the observed frequency matches the forecast within 0.1 points, and the expected calibration error at 5 mm is 0.0015.</w:t>
      </w:r>
    </w:p>
    <w:p>
      <w:pPr>
        <w:keepNext/>
        <w:spacing w:after="40" w:before="120"/>
        <w:jc w:val="center"/>
      </w:pPr>
      <w:r>
        <w:drawing>
          <wp:inline distT="0" distB="0" distL="0" distR="0">
            <wp:extent cx="5810250" cy="2667000"/>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667000"/>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0.0472</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-0.001</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0.254</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0.294</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5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0.0520</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0.0396</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0.351</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0.0128</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0.192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5810250" cy="2419350"/>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19350"/>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Scalability: the same Spark job on 2 to 16 cores</w:t>
      </w:r>
    </w:p>
    <w:p>
      <w:pPr>
        <w:spacing w:after="120" w:line="276"/>
        <w:jc w:val="both"/>
      </w:pPr>
      <w:r>
        <w:t xml:space="preserve">To see how the work divides across cores, the heart of the cleaning stage — read the 48.5 million bronze rows, snap the timestamps, de-duplicate (one shuffle), aggregate to station-days (a second shuffle) — was run in a fresh Spark session with local[2], local[4], local[8] and local[16]. 16 cores run it </w:t>
      </w:r>
      <w:r>
        <w:rPr>
          <w:b/>
          <w:bCs/>
        </w:rPr>
        <w:t xml:space="preserve">4.6× faster than 2</w:t>
      </w:r>
      <w:r>
        <w:t xml:space="preserve"> (26 s → 6 s), a parallel efficiency of 57 %. The gain flattens at high core counts because the two shuffles and the single SSD are shared, and because 4 of the 16 cores are efficiency cores — the usual Amdahl picture, and the reason a cluster with its own disks per node scales better than one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200"/>
        <w:gridCol w:w="1600"/>
        <w:gridCol w:w="2238"/>
      </w:tblGrid>
      <w:tr>
        <w:trPr>
          <w:tblHeader/>
        </w:trPr>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2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26.4</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1.94×</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97 %</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7.9</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3.34×</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84 %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4.55×</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57 %</w:t>
            </w:r>
          </w:p>
        </w:tc>
      </w:tr>
    </w:tbl>
    <w:p>
      <w:pPr>
        <w:spacing w:after="200" w:before="60"/>
        <w:jc w:val="center"/>
      </w:pPr>
      <w:r>
        <w:rPr>
          <w:i/>
          <w:iCs/>
          <w:color w:val="7A8094"/>
          <w:sz w:val="16"/>
          <w:szCs w:val="16"/>
        </w:rPr>
        <w:t xml:space="preserve">Table 15. Wall time and speed-up of the cleaning job against the number of cores (t42_scaling.csv).</w:t>
      </w:r>
    </w:p>
    <w:p>
      <w:pPr>
        <w:keepNext/>
        <w:spacing w:after="40" w:before="120"/>
        <w:jc w:val="center"/>
      </w:pPr>
      <w:r>
        <w:drawing>
          <wp:inline distT="0" distB="0" distL="0" distR="0">
            <wp:extent cx="5200650" cy="2609850"/>
            <wp:effectExtent t="0" r="0" b="0" l="0"/>
            <wp:docPr id="7" name="fig23_scaling.png" descr="Wall time (a) and speed-up (b) of the cleaning job on 2, 4, 8 and 16 cores."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00650" cy="2609850"/>
                    </a:xfrm>
                    <a:prstGeom prst="rect">
                      <a:avLst/>
                    </a:prstGeom>
                  </pic:spPr>
                </pic:pic>
              </a:graphicData>
            </a:graphic>
          </wp:inline>
        </w:drawing>
      </w:r>
    </w:p>
    <w:p>
      <w:pPr>
        <w:spacing w:after="200"/>
        <w:jc w:val="center"/>
      </w:pPr>
      <w:r>
        <w:rPr>
          <w:i/>
          <w:iCs/>
          <w:color w:val="7A8094"/>
          <w:sz w:val="16"/>
          <w:szCs w:val="16"/>
        </w:rPr>
        <w:t xml:space="preserve">Fig 6 – Wall time (a) and speed-up (b) of the cleaning job on 2, 4, 8 and 16 cores.</w:t>
      </w:r>
    </w:p>
    <w:p>
      <w:pPr>
        <w:pStyle w:val="Heading2"/>
      </w:pPr>
      <w:r>
        <w:t xml:space="preserve">8.5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0.200</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0.158</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0.143</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0.068</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0.066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0.044</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0.037</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0.035</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0.034</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16.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+7.9 %, removing the </w:t>
      </w:r>
      <w:r>
        <w:rPr>
          <w:b/>
          <w:bCs/>
        </w:rPr>
        <w:t xml:space="preserve">neighbours</w:t>
      </w:r>
      <w:r>
        <w:t xml:space="preserve"> by +2.5 % and the </w:t>
      </w:r>
      <w:r>
        <w:rPr>
          <w:b/>
          <w:bCs/>
        </w:rPr>
        <w:t xml:space="preserve">island-wide</w:t>
      </w:r>
      <w:r>
        <w:t xml:space="preserve"> signal by +1.0 %, whereas removing time costs +0.3 % and removing latitude/longitude nothing (the station index already carries location). Model A, with no rain observation at all, is +87.0 %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0.11) and strongest at 23:00 (0.49):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0.182;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How Spark was used to make this scale</w:t>
      </w:r>
    </w:p>
    <w:p>
      <w:pPr>
        <w:pStyle w:val="ListParagraph"/>
        <w:numPr>
          <w:ilvl w:val="0"/>
          <w:numId w:val="2"/>
        </w:numPr>
        <w:spacing w:after="60" w:line="264"/>
      </w:pPr>
      <w:r>
        <w:rPr>
          <w:b/>
          <w:bCs/>
        </w:rPr>
        <w:t xml:space="preserve">Parse once, read many times:</w:t>
      </w:r>
      <w:r>
        <w:t xml:space="preserve"> the CSVs are read once with an explicit schema into year-partitioned Parquet; every later step reads the compact columnar copy (49 MB instead of 7.5 GB).</w:t>
      </w:r>
    </w:p>
    <w:p>
      <w:pPr>
        <w:pStyle w:val="ListParagraph"/>
        <w:numPr>
          <w:ilvl w:val="0"/>
          <w:numId w:val="2"/>
        </w:numPr>
        <w:spacing w:after="60" w:line="264"/>
      </w:pPr>
      <w:r>
        <w:rPr>
          <w:b/>
          <w:bCs/>
        </w:rPr>
        <w:t xml:space="preserve">One shuffle where a sort would do two:</w:t>
      </w:r>
      <w:r>
        <w:t xml:space="preserve"> de-duplication with a struct-max aggregate; station-days and island-days as grouped aggregates; time-range window functions for every rolling feature.</w:t>
      </w:r>
    </w:p>
    <w:p>
      <w:pPr>
        <w:pStyle w:val="ListParagraph"/>
        <w:numPr>
          <w:ilvl w:val="0"/>
          <w:numId w:val="2"/>
        </w:numPr>
        <w:spacing w:after="60" w:line="264"/>
      </w:pPr>
      <w:r>
        <w:rPr>
          <w:b/>
          <w:bCs/>
        </w:rPr>
        <w:t xml:space="preserve">Broadcast the small side:</w:t>
      </w:r>
      <w:r>
        <w:t xml:space="preserve"> the station-pair tables (neighbours, rings, spike checks) are broadcast and joined to the readings, so the large table is shuffled only by (station, slot).</w:t>
      </w:r>
    </w:p>
    <w:p>
      <w:pPr>
        <w:pStyle w:val="ListParagraph"/>
        <w:numPr>
          <w:ilvl w:val="0"/>
          <w:numId w:val="2"/>
        </w:numPr>
        <w:spacing w:after="60" w:line="264"/>
      </w:pPr>
      <w:r>
        <w:rPr>
          <w:b/>
          <w:bCs/>
        </w:rPr>
        <w:t xml:space="preserve">Cache what is reused, release what is not:</w:t>
      </w:r>
      <w:r>
        <w:t xml:space="preserve"> the de-duplicated table, the silver readings and the training sample are persisted while several steps read them and released before the next stage.</w:t>
      </w:r>
    </w:p>
    <w:p>
      <w:pPr>
        <w:pStyle w:val="ListParagraph"/>
        <w:numPr>
          <w:ilvl w:val="0"/>
          <w:numId w:val="2"/>
        </w:numPr>
        <w:spacing w:after="60" w:line="264"/>
      </w:pPr>
      <w:r>
        <w:rPr>
          <w:b/>
          <w:bCs/>
        </w:rPr>
        <w:t xml:space="preserve">Deterministic sampling:</w:t>
      </w:r>
      <w:r>
        <w:t xml:space="preserve"> hash-based sampling gives identical training and evaluation sets on every run and on any cluster, without a global sort.</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 mode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Spark ran on one machine; the code is cluster-ready but was not benchmarked on a multi-node cluster.</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17. Data and model limitations.</w:t>
      </w:r>
    </w:p>
    <w:p>
      <w:pPr>
        <w:spacing w:after="120" w:line="276"/>
        <w:jc w:val="both"/>
      </w:pPr>
      <w:r>
        <w:rPr>
          <w:b/>
          <w:bCs/>
        </w:rPr>
        <w:t xml:space="preserve">Future work:</w:t>
      </w:r>
      <w:r>
        <w:t xml:space="preserve"> add radar or satellite inputs; tune beyond the grid edges; evaluate on a Dataproc cluster to measure multi-node scaling; and recalibrate the model each season as the gauge network changes.</w:t>
      </w:r>
    </w:p>
    <w:p>
      <w:pPr>
        <w:pStyle w:val="Heading1"/>
      </w:pPr>
      <w:r>
        <w:t xml:space="preserve">11. Conclusion</w:t>
      </w:r>
    </w:p>
    <w:p>
      <w:pPr>
        <w:spacing w:after="120" w:line="276"/>
        <w:jc w:val="both"/>
      </w:pPr>
      <w:r>
        <w:t xml:space="preserve">Starting from 7.5 GB of raw five-minute readings, a disciplined Spark pipeline — explicit schema, Parquet layers, neighbour-based gauge-fault detection and completeness rules —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0.465 at 5 mm on the untouched 2024 year, beats the interpretable logistic baseline at every threshold on identical rows, and gives probabilities one can act on.</w:t>
      </w:r>
    </w:p>
    <w:p>
      <w:pPr>
        <w:spacing w:after="120" w:line="276"/>
        <w:jc w:val="both"/>
      </w:pPr>
      <w:r>
        <w:t xml:space="preserve">The key takeaway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53701734e84aa5839e49d65c209350a78824b612.png"/><Relationship Id="rId16" Type="http://schemas.openxmlformats.org/officeDocument/2006/relationships/image" Target="media/47605723604e61572722a2fceecf8f4a7439e0fa.png"/><Relationship Id="rId17" Type="http://schemas.openxmlformats.org/officeDocument/2006/relationships/image" Target="media/61eaeab338194bb590d2dd70edb0840ee1d73e1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2026-10-13T03:39:29.866Z</dcterms:created>
  <dcterms:modified xsi:type="dcterms:W3CDTF">2026-10-13T03:39:29.867Z</dcterms:modified>
</cp:coreProperties>
</file>

<file path=docProps/custom.xml><?xml version="1.0" encoding="utf-8"?>
<Properties xmlns="http://schemas.openxmlformats.org/officeDocument/2006/custom-properties" xmlns:vt="http://schemas.openxmlformats.org/officeDocument/2006/docPropsVTypes"/>
</file>