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rFonts w:ascii="Consolas" w:hAnsi="Consolas"/>
          <w:i/>
          <w:color w:val="606A78"/>
          <w:sz w:val="20"/>
        </w:rPr>
        <w:t>[[PENDING]]</w:t>
      </w:r>
      <w:r>
        <w:rPr>
          <w:i/>
          <w:color w:val="606A78"/>
        </w:rPr>
        <w:t xml:space="preserve"> rather than estimated. Nothing here is an aspiration written in the present</w:t>
      </w:r>
    </w:p>
    <w:p>
      <w:pPr>
        <w:ind w:left="360"/>
      </w:pPr>
      <w:r>
        <w:rPr>
          <w:i/>
          <w:color w:val="606A78"/>
        </w:rPr>
        <w:t>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 The result is a curve: attack success falling round over round while detection quality holds.</w:t>
      </w:r>
    </w:p>
    <w:p>
      <w:r>
        <w:t>We then applied the same method to a structurally different target — an AI payment assistant with the ability to move money — to demonstrate that this is a reusable evaluation method rather than a single experiment.</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before deciding what to build.</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r>
        <w:rPr>
          <w:b/>
        </w:rPr>
        <w:t>We built against 2.4 and 2.5.</w:t>
      </w:r>
      <w:r>
        <w:t xml:space="preserve"> The other three are mapped, not implemented, and section 8 says so explicitly.</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The train/test split is temporal, never randomised.</w:t>
      </w:r>
    </w:p>
    <w:p>
      <w:r>
        <w:rPr>
          <w:b/>
        </w:rPr>
        <w:t>We treat a suspiciously high score as a bug report, not a success.</w:t>
      </w:r>
      <w:r>
        <w:t xml:space="preserve"> On this data, anything above roughly 0.95 PR-AUC indicates leakage.</w:t>
      </w:r>
    </w:p>
    <w:p>
      <w:pPr>
        <w:pStyle w:val="Heading3"/>
      </w:pPr>
      <w:r>
        <w:t>4.3 Results</w:t>
      </w:r>
    </w:p>
    <w:p>
      <w:r>
        <w:t xml:space="preserve">Round 0 detector, gradient-boosted trees, trained on </w:t>
      </w:r>
      <w:r>
        <w:rPr>
          <w:rFonts w:ascii="Consolas" w:hAnsi="Consolas"/>
          <w:sz w:val="20"/>
        </w:rPr>
        <w:t>n_train = 96,000</w:t>
      </w:r>
      <w:r>
        <w:t xml:space="preserve"> (a subsample of the full corpus):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rPr>
                <w:b/>
              </w:rPr>
              <w:t>PR-AUC</w:t>
            </w:r>
          </w:p>
        </w:tc>
        <w:tc>
          <w:tcPr>
            <w:tcW w:type="dxa" w:w="4320"/>
          </w:tcPr>
          <w:p>
            <w:r/>
            <w:r>
              <w:rPr>
                <w:b/>
              </w:rPr>
              <w:t>0.829</w:t>
            </w:r>
          </w:p>
        </w:tc>
      </w:tr>
      <w:tr>
        <w:tc>
          <w:tcPr>
            <w:tcW w:type="dxa" w:w="4320"/>
          </w:tcPr>
          <w:p>
            <w:r/>
            <w:r>
              <w:t>ROC-AUC</w:t>
            </w:r>
          </w:p>
        </w:tc>
        <w:tc>
          <w:tcPr>
            <w:tcW w:type="dxa" w:w="4320"/>
          </w:tcPr>
          <w:p>
            <w:r/>
            <w:r>
              <w:t>0.978</w:t>
            </w:r>
          </w:p>
        </w:tc>
      </w:tr>
      <w:tr>
        <w:tc>
          <w:tcPr>
            <w:tcW w:type="dxa" w:w="4320"/>
          </w:tcPr>
          <w:p>
            <w:r/>
            <w:r>
              <w:t>Precision</w:t>
            </w:r>
          </w:p>
        </w:tc>
        <w:tc>
          <w:tcPr>
            <w:tcW w:type="dxa" w:w="4320"/>
          </w:tcPr>
          <w:p>
            <w:r/>
            <w:r>
              <w:t>0.718</w:t>
            </w:r>
          </w:p>
        </w:tc>
      </w:tr>
      <w:tr>
        <w:tc>
          <w:tcPr>
            <w:tcW w:type="dxa" w:w="4320"/>
          </w:tcPr>
          <w:p>
            <w:r/>
            <w:r>
              <w:t>Recall</w:t>
            </w:r>
          </w:p>
        </w:tc>
        <w:tc>
          <w:tcPr>
            <w:tcW w:type="dxa" w:w="4320"/>
          </w:tcPr>
          <w:p>
            <w:r/>
            <w:r>
              <w:t>0.797</w:t>
            </w:r>
          </w:p>
        </w:tc>
      </w:tr>
      <w:tr>
        <w:tc>
          <w:tcPr>
            <w:tcW w:type="dxa" w:w="4320"/>
          </w:tcPr>
          <w:p>
            <w:r/>
            <w:r>
              <w:t>Decision threshold</w:t>
            </w:r>
          </w:p>
        </w:tc>
        <w:tc>
          <w:tcPr>
            <w:tcW w:type="dxa" w:w="4320"/>
          </w:tcPr>
          <w:p>
            <w:r/>
            <w:r>
              <w:t>0.233</w:t>
            </w:r>
          </w:p>
        </w:tc>
      </w:tr>
    </w:tbl>
    <w:p/>
    <w:p>
      <w:r>
        <w:t>PR-AUC is the headline rather than ROC-AUC deliberately. At a 0.521% positive rate, ROC-AUC flatters heavily — 0.978 sounds close to perfect and mostly reflects the ease of ranking the overwhelming negative majority. Precision-recall is the honest view of a needle-in-haystack problem, and 0.829 is a credible number rather than a suspicious one.</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3.81</w:t>
            </w:r>
          </w:p>
        </w:tc>
        <w:tc>
          <w:tcPr>
            <w:tcW w:type="dxa" w:w="2160"/>
          </w:tcPr>
          <w:p>
            <w:r/>
            <w:r>
              <w:t>277</w:t>
            </w:r>
          </w:p>
        </w:tc>
      </w:tr>
      <w:tr>
        <w:tc>
          <w:tcPr>
            <w:tcW w:type="dxa" w:w="2160"/>
          </w:tcPr>
          <w:p>
            <w:r/>
            <w:r>
              <w:t>1</w:t>
            </w:r>
          </w:p>
        </w:tc>
        <w:tc>
          <w:tcPr>
            <w:tcW w:type="dxa" w:w="2160"/>
          </w:tcPr>
          <w:p>
            <w:r/>
            <w:r>
              <w:t>100.0%</w:t>
            </w:r>
          </w:p>
        </w:tc>
        <w:tc>
          <w:tcPr>
            <w:tcW w:type="dxa" w:w="2160"/>
          </w:tcPr>
          <w:p>
            <w:r/>
            <w:r>
              <w:t>4.26</w:t>
            </w:r>
          </w:p>
        </w:tc>
        <w:tc>
          <w:tcPr>
            <w:tcW w:type="dxa" w:w="2160"/>
          </w:tcPr>
          <w:p>
            <w:r/>
            <w:r>
              <w:t>298</w:t>
            </w:r>
          </w:p>
        </w:tc>
      </w:tr>
      <w:tr>
        <w:tc>
          <w:tcPr>
            <w:tcW w:type="dxa" w:w="2160"/>
          </w:tcPr>
          <w:p>
            <w:r/>
            <w:r>
              <w:t>2</w:t>
            </w:r>
          </w:p>
        </w:tc>
        <w:tc>
          <w:tcPr>
            <w:tcW w:type="dxa" w:w="2160"/>
          </w:tcPr>
          <w:p>
            <w:r/>
            <w:r>
              <w:t>100.0%</w:t>
            </w:r>
          </w:p>
        </w:tc>
        <w:tc>
          <w:tcPr>
            <w:tcW w:type="dxa" w:w="2160"/>
          </w:tcPr>
          <w:p>
            <w:r/>
            <w:r>
              <w:t>4.64</w:t>
            </w:r>
          </w:p>
        </w:tc>
        <w:tc>
          <w:tcPr>
            <w:tcW w:type="dxa" w:w="2160"/>
          </w:tcPr>
          <w:p>
            <w:r/>
            <w:r>
              <w:t>492</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0.83 more features and spends 215 more model queries per success by round 2.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t>First, the dosage is modest by construction: 400 adversarial rows folded into a training set of 196,001 is roughly 0.2% of the data, unweighted. This experiment does not license any claim that adversarial retraining is ineffective in general; it shows that *this* dosage, against *this* attacker, moved cost and not outcome.</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3.82</w:t>
            </w:r>
          </w:p>
        </w:tc>
        <w:tc>
          <w:tcPr>
            <w:tcW w:type="dxa" w:w="2880"/>
          </w:tcPr>
          <w:p>
            <w:r/>
            <w:r>
              <w:t>1.76</w:t>
            </w:r>
          </w:p>
        </w:tc>
      </w:tr>
      <w:tr>
        <w:tc>
          <w:tcPr>
            <w:tcW w:type="dxa" w:w="2880"/>
          </w:tcPr>
          <w:p>
            <w:r/>
            <w:r>
              <w:t>Successes at a merchant absent from the network</w:t>
            </w:r>
          </w:p>
        </w:tc>
        <w:tc>
          <w:tcPr>
            <w:tcW w:type="dxa" w:w="2880"/>
          </w:tcPr>
          <w:p>
            <w:r/>
            <w:r>
              <w:t>0.0%</w:t>
            </w:r>
          </w:p>
        </w:tc>
        <w:tc>
          <w:tcPr>
            <w:tcW w:type="dxa" w:w="2880"/>
          </w:tcPr>
          <w:p>
            <w:r/>
            <w:r>
              <w:rPr>
                <w:b/>
              </w:rPr>
              <w:t>99.5%</w:t>
            </w:r>
          </w:p>
        </w:tc>
      </w:tr>
      <w:tr>
        <w:tc>
          <w:tcPr>
            <w:tcW w:type="dxa" w:w="2880"/>
          </w:tcPr>
          <w:p>
            <w:r/>
            <w:r>
              <w:t>Successes that forged a frozen victim attribute</w:t>
            </w:r>
          </w:p>
        </w:tc>
        <w:tc>
          <w:tcPr>
            <w:tcW w:type="dxa" w:w="2880"/>
          </w:tcPr>
          <w:p>
            <w:r/>
            <w:r>
              <w:t>0.0%</w:t>
            </w:r>
          </w:p>
        </w:tc>
        <w:tc>
          <w:tcPr>
            <w:tcW w:type="dxa" w:w="2880"/>
          </w:tcPr>
          <w:p>
            <w:r/>
            <w:r>
              <w:t>3.0%</w:t>
            </w:r>
          </w:p>
        </w:tc>
      </w:tr>
    </w:tbl>
    <w:p/>
    <w:p>
      <w:r>
        <w:t xml:space="preserve">The two attackers report the same headline. They are not describing the same thing. </w:t>
      </w:r>
      <w:r>
        <w:rPr>
          <w:b/>
        </w:rPr>
        <w:t>99.5% of the unconstrained attacker's "evasions" are transactions that could not physically occur</w:t>
      </w:r>
      <w:r>
        <w:t xml:space="preserve"> — a merchant category paired with terminal coordinates that no merchant in the network occupies. It also reaches that result more cheaply, touching 1.76 features against our 3.82,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on two providers, with every response cached so the whole run replays offline with no network.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4.2% (3/72)</w:t>
            </w:r>
          </w:p>
        </w:tc>
        <w:tc>
          <w:tcPr>
            <w:tcW w:type="dxa" w:w="1728"/>
          </w:tcPr>
          <w:p>
            <w:r/>
            <w:r>
              <w:t>0.0% (0/72)</w:t>
            </w:r>
          </w:p>
        </w:tc>
        <w:tc>
          <w:tcPr>
            <w:tcW w:type="dxa" w:w="1728"/>
          </w:tcPr>
          <w:p>
            <w:r/>
            <w:r>
              <w:t>p = 0.245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1.4% (1/72)</w:t>
            </w:r>
          </w:p>
        </w:tc>
        <w:tc>
          <w:tcPr>
            <w:tcW w:type="dxa" w:w="1728"/>
          </w:tcPr>
          <w:p>
            <w:r/>
            <w:r>
              <w:t>0.0% (0/72)</w:t>
            </w:r>
          </w:p>
        </w:tc>
        <w:tc>
          <w:tcPr>
            <w:tcW w:type="dxa" w:w="1728"/>
          </w:tcPr>
          <w:p>
            <w:r/>
            <w:r>
              <w:t>p = 1.000</w:t>
            </w:r>
          </w:p>
        </w:tc>
      </w:tr>
      <w:tr>
        <w:tc>
          <w:tcPr>
            <w:tcW w:type="dxa" w:w="1728"/>
          </w:tcPr>
          <w:p>
            <w:r/>
            <w:r>
              <w:t>*pooled*</w:t>
            </w:r>
          </w:p>
        </w:tc>
        <w:tc>
          <w:tcPr>
            <w:tcW w:type="dxa" w:w="1728"/>
          </w:tcPr>
          <w:p>
            <w:r/>
            <w:r>
              <w:t>—</w:t>
            </w:r>
          </w:p>
        </w:tc>
        <w:tc>
          <w:tcPr>
            <w:tcW w:type="dxa" w:w="1728"/>
          </w:tcPr>
          <w:p>
            <w:r/>
            <w:r>
              <w:t>2.8% (4/144)</w:t>
            </w:r>
          </w:p>
        </w:tc>
        <w:tc>
          <w:tcPr>
            <w:tcW w:type="dxa" w:w="1728"/>
          </w:tcPr>
          <w:p>
            <w:r/>
            <w:r>
              <w:t>0.0% (0/144)</w:t>
            </w:r>
          </w:p>
        </w:tc>
        <w:tc>
          <w:tcPr>
            <w:tcW w:type="dxa" w:w="1728"/>
          </w:tcPr>
          <w:p>
            <w:r/>
            <w:r>
              <w:t>p = 0.122</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w:t>
      </w:r>
    </w:p>
    <w:p>
      <w:r>
        <w:rPr>
          <w:b/>
        </w:rPr>
        <w:t>We are not claiming the defence works, and the honest reason is in the third column.</w:t>
      </w:r>
    </w:p>
    <w:p>
      <w:r>
        <w:t xml:space="preserve">Every exploit we observed was removed, and the defence layer refused </w:t>
      </w:r>
      <w:r>
        <w:rPr>
          <w:b/>
        </w:rPr>
        <w:t>none</w:t>
      </w:r>
      <w:r>
        <w:t xml:space="preserve"> of the 14 benign control documents — a 0% false-refusal rate, which rules out the trivial defence that simply blocks everything. But the before-rates are 4.2% and 1.4%. There is almost nothing there to remove, and a drop from three successes to zero across 72 trials is a result chance produces roughly a quarter of the time. </w:t>
      </w:r>
      <w:r>
        <w:rPr>
          <w:b/>
        </w:rPr>
        <w:t>The reduction is not statistically significant on either model.</w:t>
      </w:r>
      <w:r>
        <w:t xml:space="preserve"> The scorecard row says so in its own defence-cost field rather than leaving a reader to assume otherwise.</w:t>
      </w:r>
    </w:p>
    <w:p>
      <w:r>
        <w:t xml:space="preserve">The finding this run genuinely supports is a different and more interesting one: </w:t>
      </w:r>
      <w:r>
        <w:rPr>
          <w:b/>
        </w:rPr>
        <w:t>two independently-trained 120B-class instruction-tuned models were already largely resistant to a hand-authored indirect-injection corpus.</w:t>
      </w:r>
      <w:r>
        <w:t xml:space="preserve"> Payee mutation was the only category to land at all, on either model. Data exfiltration, instruction override, obfuscated override, tool-scope escalation and transfer tampering scored zero before any defence was applied.</w:t>
      </w:r>
    </w:p>
    <w:p>
      <w:r>
        <w:t xml:space="preserve">That cuts against our own framing, so it is worth stating plainly: our injection corpus is authored by us and finite. Against these models it is a floor on the attack surface, not a census of it, and the correct conclusion is that </w:t>
      </w:r>
      <w:r>
        <w:rPr>
          <w:b/>
        </w:rPr>
        <w:t>the corpus is too weak to measure a defence</w:t>
      </w:r>
      <w:r>
        <w:t xml:space="preserve"> — not that the defence is strong.</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w:t>
      </w:r>
      <w:r>
        <w:rPr>
          <w:rFonts w:ascii="Consolas" w:hAnsi="Consolas"/>
          <w:sz w:val="20"/>
        </w:rPr>
        <w:t>[[PENDING — latency figures. A measurement exists but was taken against the training-time backend at a tenth of the specified sample count, so we do not quote it.]]</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detector is trained on a 96,000-row subsample</w:t>
      </w:r>
      <w:r>
        <w:t>, not the full 1.85 million. PR-AUC</w:t>
      </w:r>
    </w:p>
    <w:p>
      <w:r>
        <w:t>0.829 should be read with that qualifier attached.</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rPr>
          <w:b/>
        </w:rPr>
        <w:t>One result is still incomplete</w:t>
      </w:r>
      <w:r>
        <w:t xml:space="preserve"> — single-transaction inference latency, marked</w:t>
      </w:r>
    </w:p>
    <w:p>
      <w:r>
        <w:rPr>
          <w:rFonts w:ascii="Consolas" w:hAnsi="Consolas"/>
          <w:sz w:val="20"/>
        </w:rPr>
        <w:t>[[PENDING]]</w:t>
      </w:r>
      <w:r>
        <w:t xml:space="preserve"> above rather than estimated. The figure we have was measured on 100 XGBoost samples rather than the 1,000 ONNX samples specified, and </w:t>
      </w:r>
      <w:r>
        <w:rPr>
          <w:rFonts w:ascii="Consolas" w:hAnsi="Consolas"/>
          <w:sz w:val="20"/>
        </w:rPr>
        <w:t>artifacts/latency.json</w:t>
      </w:r>
      <w:r>
        <w:t xml:space="preserve"> is written outside the provenance envelope described in section 2, so it carries no </w:t>
      </w:r>
      <w:r>
        <w:rPr>
          <w:rFonts w:ascii="Consolas" w:hAnsi="Consolas"/>
          <w:sz w:val="20"/>
        </w:rPr>
        <w:t>placeholder</w:t>
      </w:r>
      <w:r>
        <w:t xml:space="preserve"> flag. We would rather leave the marker than quote a number our own audit cannot vouch for.</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https://aditya-patil27.github.io/mastercard-adversarial-payments/</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