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rFonts w:ascii="Consolas" w:hAnsi="Consolas"/>
          <w:i/>
          <w:color w:val="606A78"/>
          <w:sz w:val="20"/>
        </w:rPr>
        <w:t>[[PENDING]]</w:t>
      </w:r>
      <w:r>
        <w:rPr>
          <w:i/>
          <w:color w:val="606A78"/>
        </w:rPr>
        <w:t xml:space="preserve"> rather than estimated. Nothing here is an aspiration written in the present</w:t>
      </w:r>
    </w:p>
    <w:p>
      <w:pPr>
        <w:ind w:left="360"/>
      </w:pPr>
      <w:r>
        <w:rPr>
          <w:i/>
          <w:color w:val="606A78"/>
        </w:rPr>
        <w:t>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 The result is a curve: attack success falling round over round while detection quality holds.</w:t>
      </w:r>
    </w:p>
    <w:p>
      <w:r>
        <w:t>We then applied the same method to a structurally different target — an AI payment assistant with the ability to move money — to demonstrate that this is a reusable evaluation method rather than a single experiment.</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before deciding what to build.</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r>
        <w:rPr>
          <w:b/>
        </w:rPr>
        <w:t>We built against 2.4 and 2.5.</w:t>
      </w:r>
      <w:r>
        <w:t xml:space="preserve"> The other three are mapped, not implemented, and section 8 says so explicitly.</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The train/test split is temporal, never randomised.</w:t>
      </w:r>
    </w:p>
    <w:p>
      <w:r>
        <w:rPr>
          <w:b/>
        </w:rPr>
        <w:t>We treat a suspiciously high score as a bug report, not a success.</w:t>
      </w:r>
      <w:r>
        <w:t xml:space="preserve"> On this data, anything above roughly 0.95 PR-AUC indicates leakage.</w:t>
      </w:r>
    </w:p>
    <w:p>
      <w:pPr>
        <w:pStyle w:val="Heading3"/>
      </w:pPr>
      <w:r>
        <w:t>4.3 Results</w:t>
      </w:r>
    </w:p>
    <w:p>
      <w:r>
        <w:t xml:space="preserve">Round 0 detector, gradient-boosted trees, trained on </w:t>
      </w:r>
      <w:r>
        <w:rPr>
          <w:rFonts w:ascii="Consolas" w:hAnsi="Consolas"/>
          <w:sz w:val="20"/>
        </w:rPr>
        <w:t>n_train = 96,000</w:t>
      </w:r>
      <w:r>
        <w:t xml:space="preserve"> (a subsample of the full corpus):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PR-AUC</w:t>
            </w:r>
          </w:p>
        </w:tc>
        <w:tc>
          <w:tcPr>
            <w:tcW w:type="dxa" w:w="4320"/>
          </w:tcPr>
          <w:p>
            <w:r/>
            <w:r>
              <w:rPr>
                <w:b/>
              </w:rPr>
              <w:t>0.829</w:t>
            </w:r>
          </w:p>
        </w:tc>
      </w:tr>
      <w:tr>
        <w:tc>
          <w:tcPr>
            <w:tcW w:type="dxa" w:w="4320"/>
          </w:tcPr>
          <w:p>
            <w:r/>
            <w:r>
              <w:t>ROC-AUC</w:t>
            </w:r>
          </w:p>
        </w:tc>
        <w:tc>
          <w:tcPr>
            <w:tcW w:type="dxa" w:w="4320"/>
          </w:tcPr>
          <w:p>
            <w:r/>
            <w:r>
              <w:t>0.978</w:t>
            </w:r>
          </w:p>
        </w:tc>
      </w:tr>
      <w:tr>
        <w:tc>
          <w:tcPr>
            <w:tcW w:type="dxa" w:w="4320"/>
          </w:tcPr>
          <w:p>
            <w:r/>
            <w:r>
              <w:t>Precision</w:t>
            </w:r>
          </w:p>
        </w:tc>
        <w:tc>
          <w:tcPr>
            <w:tcW w:type="dxa" w:w="4320"/>
          </w:tcPr>
          <w:p>
            <w:r/>
            <w:r>
              <w:t>0.718</w:t>
            </w:r>
          </w:p>
        </w:tc>
      </w:tr>
      <w:tr>
        <w:tc>
          <w:tcPr>
            <w:tcW w:type="dxa" w:w="4320"/>
          </w:tcPr>
          <w:p>
            <w:r/>
            <w:r>
              <w:t>Recall</w:t>
            </w:r>
          </w:p>
        </w:tc>
        <w:tc>
          <w:tcPr>
            <w:tcW w:type="dxa" w:w="4320"/>
          </w:tcPr>
          <w:p>
            <w:r/>
            <w:r>
              <w:t>0.797</w:t>
            </w:r>
          </w:p>
        </w:tc>
      </w:tr>
      <w:tr>
        <w:tc>
          <w:tcPr>
            <w:tcW w:type="dxa" w:w="4320"/>
          </w:tcPr>
          <w:p>
            <w:r/>
            <w:r>
              <w:t>Decision threshold</w:t>
            </w:r>
          </w:p>
        </w:tc>
        <w:tc>
          <w:tcPr>
            <w:tcW w:type="dxa" w:w="4320"/>
          </w:tcPr>
          <w:p>
            <w:r/>
            <w:r>
              <w:t>0.233</w:t>
            </w:r>
          </w:p>
        </w:tc>
      </w:tr>
    </w:tbl>
    <w:p/>
    <w:p>
      <w:r>
        <w:t>PR-AUC is the headline rather than ROC-AUC deliberately. At a 0.521% positive rate, ROC-AUC flatters heavily — 0.978 sounds close to perfect and mostly reflects the ease of ranking the overwhelming negative majority. Precision-recall is the honest view of a needle-in-haystack problem, and 0.829 is a credible number rather than a suspicious one.</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3.81</w:t>
            </w:r>
          </w:p>
        </w:tc>
        <w:tc>
          <w:tcPr>
            <w:tcW w:type="dxa" w:w="2160"/>
          </w:tcPr>
          <w:p>
            <w:r/>
            <w:r>
              <w:t>277</w:t>
            </w:r>
          </w:p>
        </w:tc>
      </w:tr>
      <w:tr>
        <w:tc>
          <w:tcPr>
            <w:tcW w:type="dxa" w:w="2160"/>
          </w:tcPr>
          <w:p>
            <w:r/>
            <w:r>
              <w:t>1</w:t>
            </w:r>
          </w:p>
        </w:tc>
        <w:tc>
          <w:tcPr>
            <w:tcW w:type="dxa" w:w="2160"/>
          </w:tcPr>
          <w:p>
            <w:r/>
            <w:r>
              <w:t>100.0%</w:t>
            </w:r>
          </w:p>
        </w:tc>
        <w:tc>
          <w:tcPr>
            <w:tcW w:type="dxa" w:w="2160"/>
          </w:tcPr>
          <w:p>
            <w:r/>
            <w:r>
              <w:t>4.26</w:t>
            </w:r>
          </w:p>
        </w:tc>
        <w:tc>
          <w:tcPr>
            <w:tcW w:type="dxa" w:w="2160"/>
          </w:tcPr>
          <w:p>
            <w:r/>
            <w:r>
              <w:t>298</w:t>
            </w:r>
          </w:p>
        </w:tc>
      </w:tr>
      <w:tr>
        <w:tc>
          <w:tcPr>
            <w:tcW w:type="dxa" w:w="2160"/>
          </w:tcPr>
          <w:p>
            <w:r/>
            <w:r>
              <w:t>2</w:t>
            </w:r>
          </w:p>
        </w:tc>
        <w:tc>
          <w:tcPr>
            <w:tcW w:type="dxa" w:w="2160"/>
          </w:tcPr>
          <w:p>
            <w:r/>
            <w:r>
              <w:t>100.0%</w:t>
            </w:r>
          </w:p>
        </w:tc>
        <w:tc>
          <w:tcPr>
            <w:tcW w:type="dxa" w:w="2160"/>
          </w:tcPr>
          <w:p>
            <w:r/>
            <w:r>
              <w:t>4.64</w:t>
            </w:r>
          </w:p>
        </w:tc>
        <w:tc>
          <w:tcPr>
            <w:tcW w:type="dxa" w:w="2160"/>
          </w:tcPr>
          <w:p>
            <w:r/>
            <w:r>
              <w:t>492</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0.83 more features and spends 215 more model queries per success by round 2.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t>First, the dosage is modest by construction: 400 adversarial rows folded into a training set of 196,001 is roughly 0.2% of the data, unweighted. This experiment does not license any claim that adversarial retraining is ineffective in general; it shows that *this* dosage, against *this* attacker, moved cost and not outcome.</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3.82</w:t>
            </w:r>
          </w:p>
        </w:tc>
        <w:tc>
          <w:tcPr>
            <w:tcW w:type="dxa" w:w="2880"/>
          </w:tcPr>
          <w:p>
            <w:r/>
            <w:r>
              <w:t>1.76</w:t>
            </w:r>
          </w:p>
        </w:tc>
      </w:tr>
      <w:tr>
        <w:tc>
          <w:tcPr>
            <w:tcW w:type="dxa" w:w="2880"/>
          </w:tcPr>
          <w:p>
            <w:r/>
            <w:r>
              <w:t>Successes at a merchant absent from the network</w:t>
            </w:r>
          </w:p>
        </w:tc>
        <w:tc>
          <w:tcPr>
            <w:tcW w:type="dxa" w:w="2880"/>
          </w:tcPr>
          <w:p>
            <w:r/>
            <w:r>
              <w:t>0.0%</w:t>
            </w:r>
          </w:p>
        </w:tc>
        <w:tc>
          <w:tcPr>
            <w:tcW w:type="dxa" w:w="2880"/>
          </w:tcPr>
          <w:p>
            <w:r/>
            <w:r>
              <w:rPr>
                <w:b/>
              </w:rPr>
              <w:t>99.5%</w:t>
            </w:r>
          </w:p>
        </w:tc>
      </w:tr>
      <w:tr>
        <w:tc>
          <w:tcPr>
            <w:tcW w:type="dxa" w:w="2880"/>
          </w:tcPr>
          <w:p>
            <w:r/>
            <w:r>
              <w:t>Successes that forged a frozen victim attribute</w:t>
            </w:r>
          </w:p>
        </w:tc>
        <w:tc>
          <w:tcPr>
            <w:tcW w:type="dxa" w:w="2880"/>
          </w:tcPr>
          <w:p>
            <w:r/>
            <w:r>
              <w:t>0.0%</w:t>
            </w:r>
          </w:p>
        </w:tc>
        <w:tc>
          <w:tcPr>
            <w:tcW w:type="dxa" w:w="2880"/>
          </w:tcPr>
          <w:p>
            <w:r/>
            <w:r>
              <w:t>3.0%</w:t>
            </w:r>
          </w:p>
        </w:tc>
      </w:tr>
    </w:tbl>
    <w:p/>
    <w:p>
      <w:r>
        <w:t xml:space="preserve">The two attackers report the same headline. They are not describing the same thing. </w:t>
      </w:r>
      <w:r>
        <w:rPr>
          <w:b/>
        </w:rPr>
        <w:t>99.5% of the unconstrained attacker's "evasions" are transactions that could not physically occur</w:t>
      </w:r>
      <w:r>
        <w:t xml:space="preserve"> — a merchant category paired with terminal coordinates that no merchant in the network occupies. It also reaches that result more cheaply, touching 1.76 features against our 3.82,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rPr>
          <w:rFonts w:ascii="Consolas" w:hAnsi="Consolas"/>
          <w:sz w:val="20"/>
        </w:rPr>
        <w:t>[[PENDING — exploit rate before and after defences]]</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w:t>
      </w:r>
      <w:r>
        <w:rPr>
          <w:rFonts w:ascii="Consolas" w:hAnsi="Consolas"/>
          <w:sz w:val="20"/>
        </w:rPr>
        <w:t>[[PENDING — latency figures. A measurement exists but was taken against the training-time backend at a tenth of the specified sample count, so we do not quote it.]]</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detector is trained on a 96,000-row subsample</w:t>
      </w:r>
      <w:r>
        <w:t>, not the full 1.85 million. PR-AUC</w:t>
      </w:r>
    </w:p>
    <w:p>
      <w:r>
        <w:t>0.829 should be read with that qualifier attached.</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rPr>
          <w:b/>
        </w:rPr>
        <w:t>Two results were incomplete at the time of writing</w:t>
      </w:r>
      <w:r>
        <w:t xml:space="preserve">, marked </w:t>
      </w:r>
      <w:r>
        <w:rPr>
          <w:rFonts w:ascii="Consolas" w:hAnsi="Consolas"/>
          <w:sz w:val="20"/>
        </w:rPr>
        <w:t>[[PENDING]]</w:t>
      </w:r>
      <w:r>
        <w:t xml:space="preserve"> above rather</w:t>
      </w:r>
    </w:p>
    <w:p>
      <w:r>
        <w:t>than estimated.</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rPr>
                <w:rFonts w:ascii="Consolas" w:hAnsi="Consolas"/>
                <w:sz w:val="20"/>
              </w:rPr>
              <w:t>[[PENDING — deployment URL]]</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