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rFonts w:ascii="Consolas" w:hAnsi="Consolas"/>
          <w:i/>
          <w:color w:val="606A78"/>
          <w:sz w:val="20"/>
        </w:rPr>
        <w:t>[[PENDING]]</w:t>
      </w:r>
      <w:r>
        <w:rPr>
          <w:i/>
          <w:color w:val="606A78"/>
        </w:rPr>
        <w:t xml:space="preserve"> rather than estimated. Nothing here is an aspiration written in the present</w:t>
      </w:r>
    </w:p>
    <w:p>
      <w:pPr>
        <w:ind w:left="360"/>
      </w:pPr>
      <w:r>
        <w:rPr>
          <w:i/>
          <w:color w:val="606A78"/>
        </w:rPr>
        <w:t>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 The result is a curve: attack success falling round over round while detection quality holds.</w:t>
      </w:r>
    </w:p>
    <w:p>
      <w:r>
        <w:t>We then applied the same method to a structurally different target — an AI payment assistant with the ability to move money — to demonstrate that this is a reusable evaluation method rather than a single experiment.</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before deciding what to build.</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r>
        <w:rPr>
          <w:b/>
        </w:rPr>
        <w:t>We built against 2.4 and 2.5.</w:t>
      </w:r>
      <w:r>
        <w:t xml:space="preserve"> The other three are mapped, not implemented, and section 8 says so explicitly.</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Two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The train/test split is temporal, never randomised.</w:t>
      </w:r>
    </w:p>
    <w:p>
      <w:r>
        <w:rPr>
          <w:b/>
        </w:rPr>
        <w:t>We treat a suspiciously high score as a bug report, not a success.</w:t>
      </w:r>
      <w:r>
        <w:t xml:space="preserve"> On this data, anything above roughly 0.95 PR-AUC indicates leakage.</w:t>
      </w:r>
    </w:p>
    <w:p>
      <w:pPr>
        <w:pStyle w:val="Heading3"/>
      </w:pPr>
      <w:r>
        <w:t>4.3 Results</w:t>
      </w:r>
    </w:p>
    <w:p>
      <w:r>
        <w:t xml:space="preserve">Round 0 detector, gradient-boosted trees, trained on </w:t>
      </w:r>
      <w:r>
        <w:rPr>
          <w:rFonts w:ascii="Consolas" w:hAnsi="Consolas"/>
          <w:sz w:val="20"/>
        </w:rPr>
        <w:t>n_train = 96,000</w:t>
      </w:r>
      <w:r>
        <w:t xml:space="preserve"> (a subsample of the full corpus):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rPr>
                <w:b/>
              </w:rPr>
              <w:t>PR-AUC</w:t>
            </w:r>
          </w:p>
        </w:tc>
        <w:tc>
          <w:tcPr>
            <w:tcW w:type="dxa" w:w="4320"/>
          </w:tcPr>
          <w:p>
            <w:r/>
            <w:r>
              <w:rPr>
                <w:b/>
              </w:rPr>
              <w:t>0.829</w:t>
            </w:r>
          </w:p>
        </w:tc>
      </w:tr>
      <w:tr>
        <w:tc>
          <w:tcPr>
            <w:tcW w:type="dxa" w:w="4320"/>
          </w:tcPr>
          <w:p>
            <w:r/>
            <w:r>
              <w:t>ROC-AUC</w:t>
            </w:r>
          </w:p>
        </w:tc>
        <w:tc>
          <w:tcPr>
            <w:tcW w:type="dxa" w:w="4320"/>
          </w:tcPr>
          <w:p>
            <w:r/>
            <w:r>
              <w:t>0.978</w:t>
            </w:r>
          </w:p>
        </w:tc>
      </w:tr>
      <w:tr>
        <w:tc>
          <w:tcPr>
            <w:tcW w:type="dxa" w:w="4320"/>
          </w:tcPr>
          <w:p>
            <w:r/>
            <w:r>
              <w:t>Precision</w:t>
            </w:r>
          </w:p>
        </w:tc>
        <w:tc>
          <w:tcPr>
            <w:tcW w:type="dxa" w:w="4320"/>
          </w:tcPr>
          <w:p>
            <w:r/>
            <w:r>
              <w:t>0.718</w:t>
            </w:r>
          </w:p>
        </w:tc>
      </w:tr>
      <w:tr>
        <w:tc>
          <w:tcPr>
            <w:tcW w:type="dxa" w:w="4320"/>
          </w:tcPr>
          <w:p>
            <w:r/>
            <w:r>
              <w:t>Recall</w:t>
            </w:r>
          </w:p>
        </w:tc>
        <w:tc>
          <w:tcPr>
            <w:tcW w:type="dxa" w:w="4320"/>
          </w:tcPr>
          <w:p>
            <w:r/>
            <w:r>
              <w:t>0.797</w:t>
            </w:r>
          </w:p>
        </w:tc>
      </w:tr>
      <w:tr>
        <w:tc>
          <w:tcPr>
            <w:tcW w:type="dxa" w:w="4320"/>
          </w:tcPr>
          <w:p>
            <w:r/>
            <w:r>
              <w:t>Decision threshold</w:t>
            </w:r>
          </w:p>
        </w:tc>
        <w:tc>
          <w:tcPr>
            <w:tcW w:type="dxa" w:w="4320"/>
          </w:tcPr>
          <w:p>
            <w:r/>
            <w:r>
              <w:t>0.233</w:t>
            </w:r>
          </w:p>
        </w:tc>
      </w:tr>
    </w:tbl>
    <w:p/>
    <w:p>
      <w:r>
        <w:t>PR-AUC is the headline rather than ROC-AUC deliberately. At a 0.521% positive rate, ROC-AUC flatters heavily — 0.978 sounds close to perfect and mostly reflects the ease of ranking the overwhelming negative majority. Precision-recall is the honest view of a needle-in-haystack problem, and 0.829 is a credible number rather than a suspicious one.</w:t>
      </w:r>
    </w:p>
    <w:p>
      <w:r>
        <w:t>Top features by mean absolute SHAP: transaction amount, merchant category, log amount, amount relative to the card's running mean, and hour of day.</w:t>
      </w:r>
    </w:p>
    <w:p>
      <w:pPr>
        <w:pStyle w:val="Heading3"/>
      </w:pPr>
      <w:r>
        <w:t>4.4 Adversarial results</w:t>
      </w:r>
    </w:p>
    <w:p>
      <w:r>
        <w:rPr>
          <w:rFonts w:ascii="Consolas" w:hAnsi="Consolas"/>
          <w:sz w:val="20"/>
        </w:rPr>
        <w:t>[[PENDING — Attack Success Rate across rounds 0–2]]</w:t>
      </w:r>
    </w:p>
    <w:p>
      <w:r>
        <w:t>The corrected attack engine and the unrolled loop are implemented and tested. The full adversarial run across three rounds against the round-0 detector has not been executed at time of writing, so no attack success rate appears in this document. When it is produced it will be accompanied by attacker value retained, mean L0, and median model queries per success — the constraint economics alongside the headline number, for the reasons in section 3.4.</w:t>
      </w:r>
    </w:p>
    <w:p>
      <w:pPr>
        <w:pStyle w:val="Heading3"/>
      </w:pPr>
      <w:r>
        <w:t>4.5 The second attack surface</w:t>
      </w:r>
    </w:p>
    <w:p>
      <w:r>
        <w:rPr>
          <w:rFonts w:ascii="Consolas" w:hAnsi="Consolas"/>
          <w:sz w:val="20"/>
        </w:rPr>
        <w:t>[[PENDING — exploit rate before and after defences]]</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w:t>
      </w:r>
      <w:r>
        <w:rPr>
          <w:rFonts w:ascii="Consolas" w:hAnsi="Consolas"/>
          <w:sz w:val="20"/>
        </w:rPr>
        <w:t>[[PENDING — latency figures. A measurement exists but was taken against the training-time backend at a tenth of the specified sample count, so we do not quote it.]]</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detector is trained on a 96,000-row subsample</w:t>
      </w:r>
      <w:r>
        <w:t>, not the full 1.85 million. PR-AUC</w:t>
      </w:r>
    </w:p>
    <w:p>
      <w:r>
        <w:t>0.829 should be read with that qualifier attached.</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rPr>
          <w:b/>
        </w:rPr>
        <w:t>Two results were incomplete at the time of writing</w:t>
      </w:r>
      <w:r>
        <w:t xml:space="preserve">, marked </w:t>
      </w:r>
      <w:r>
        <w:rPr>
          <w:rFonts w:ascii="Consolas" w:hAnsi="Consolas"/>
          <w:sz w:val="20"/>
        </w:rPr>
        <w:t>[[PENDING]]</w:t>
      </w:r>
      <w:r>
        <w:t xml:space="preserve"> above rather</w:t>
      </w:r>
    </w:p>
    <w:p>
      <w:r>
        <w:t>than estimated.</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rPr>
                <w:rFonts w:ascii="Consolas" w:hAnsi="Consolas"/>
                <w:sz w:val="20"/>
              </w:rPr>
              <w:t>[[PENDING — deployment URL]]</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