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w:t>
      </w:r>
    </w:p>
    <w:p>
      <w:r>
        <w:t>The five above are the vectors we analysed in depth. Restricting a threat map to them would misrepresent the surface, so the following are catalogued with what GenAI actually changes about each. None is implemented, and none is claimed to be.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r>
        <w:tc>
          <w:tcPr>
            <w:tcW w:type="dxa" w:w="2880"/>
          </w:tcPr>
          <w:p>
            <w:r/>
            <w:r>
              <w:rPr>
                <w:b/>
              </w:rPr>
              <w:t>Model extraction and training-set poisoning</w:t>
            </w:r>
          </w:p>
        </w:tc>
        <w:tc>
          <w:tcPr>
            <w:tcW w:type="dxa" w:w="2880"/>
          </w:tcPr>
          <w:p>
            <w:r/>
            <w:r>
              <w:t>The detector itself is the target: queried to clone its boundary, or fed crafted transactions that shift it</w:t>
            </w:r>
          </w:p>
        </w:tc>
        <w:tc>
          <w:tcPr>
            <w:tcW w:type="dxa" w:w="2880"/>
          </w:tcPr>
          <w:p>
            <w:r/>
            <w:r>
              <w:t>Directly adjacent to what we built. Our dosage sweep is the defensive mirror of a poisoning attack — it measures what a fixed number of crafted rows does to a model, which is the same question a poisoner asks</w:t>
            </w:r>
          </w:p>
        </w:tc>
      </w:tr>
    </w:tbl>
    <w:p/>
    <w:p>
      <w:r>
        <w:rPr>
          <w:b/>
        </w:rPr>
        <w:t>We built against 2.4 and 2.5.</w:t>
      </w:r>
      <w:r>
        <w:t xml:space="preserve"> The other three in-depth vectors, and all eight above, are mapped and not implemented.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eight carried to a screenshot, and the ones we did not build are listed here precisely so that the choice is visible.</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That safeguard holds for every number in this document: features are built on the time-ordered frame before any split exists.</w:t>
      </w:r>
    </w:p>
    <w:p>
      <w:r>
        <w:rPr>
          <w:b/>
        </w:rPr>
        <w:t>The split itself is where we have to be careful, and we are not fully clean.</w:t>
      </w:r>
      <w:r>
        <w:t xml:space="preserve"> Two splits appear in this project and they are not equivalent:</w:t>
      </w:r>
    </w:p>
    <w:p>
      <w:pPr>
        <w:pStyle w:val="ListBullet"/>
      </w:pPr>
      <w:r>
        <w:rPr>
          <w:rFonts w:ascii="Consolas" w:hAnsi="Consolas"/>
          <w:sz w:val="20"/>
        </w:rPr>
        <w:t>scripts/run_detect_round0.py</w:t>
      </w:r>
      <w:r>
        <w:t xml:space="preserve"> splits </w:t>
      </w:r>
      <w:r>
        <w:rPr>
          <w:b/>
        </w:rPr>
        <w:t>temporally</w:t>
      </w:r>
      <w:r>
        <w:t xml:space="preserve"> — later transactions are held out —</w:t>
      </w:r>
    </w:p>
    <w:p>
      <w:r>
        <w:t>which is the correct evaluation for fraud and the one we would defend.</w:t>
      </w:r>
    </w:p>
    <w:p>
      <w:pPr>
        <w:pStyle w:val="ListBullet"/>
      </w:pPr>
      <w:r>
        <w:t xml:space="preserve">The unrolled loop splits </w:t>
      </w:r>
      <w:r>
        <w:rPr>
          <w:b/>
        </w:rPr>
        <w:t>stratified at random</w:t>
      </w:r>
      <w:r>
        <w:t>. A card's other transactions can then sit</w:t>
      </w:r>
    </w:p>
    <w:p>
      <w:r>
        <w:t>on both sides of the split, so the model can learn card-specific behaviour it would not have at deployment. Features are still past-only, so this is not label leakage; it is an easier test set.</w:t>
      </w:r>
    </w:p>
    <w:p>
      <w:r>
        <w:t>The rounds published in section 4.3 come from the loop, so they carry the second, weaker split. We say so rather than letting the temporal claim cover both.</w:t>
      </w:r>
    </w:p>
    <w:p>
      <w:r>
        <w:rPr>
          <w:b/>
        </w:rPr>
        <w:t>We treat a suspiciously high score as a bug report, not a success.</w:t>
      </w:r>
      <w:r>
        <w:t xml:space="preserve"> On this data, anything above roughly 0.95 PR-AUC indicates leakage — and the published round-0 figure below is 0.9472, just under that line. We are reporting a number that sits against our own tripwire, on the split most likely to inflate it. Read it accordingly.</w:t>
      </w:r>
    </w:p>
    <w:p>
      <w:pPr>
        <w:pStyle w:val="Heading3"/>
      </w:pPr>
      <w:r>
        <w:t>4.3 Results</w:t>
      </w:r>
    </w:p>
    <w:p>
      <w:r>
        <w:t>Detector rounds from the unrolled loop, on the full 1,852,394-row corpus (</w:t>
      </w:r>
      <w:r>
        <w:rPr>
          <w:rFonts w:ascii="Consolas" w:hAnsi="Consolas"/>
          <w:sz w:val="20"/>
        </w:rPr>
        <w:t>n_train = 907,675</w:t>
      </w:r>
      <w:r>
        <w:t>, stratified split — see the caveat in 4.2):</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Round</w:t>
            </w:r>
          </w:p>
        </w:tc>
        <w:tc>
          <w:tcPr>
            <w:tcW w:type="dxa" w:w="1234"/>
          </w:tcPr>
          <w:p>
            <w:r>
              <w:rPr>
                <w:b/>
              </w:rPr>
            </w:r>
            <w:r>
              <w:rPr>
                <w:b/>
              </w:rPr>
              <w:t>PR-AUC</w:t>
            </w:r>
          </w:p>
        </w:tc>
        <w:tc>
          <w:tcPr>
            <w:tcW w:type="dxa" w:w="1234"/>
          </w:tcPr>
          <w:p>
            <w:r>
              <w:rPr>
                <w:b/>
              </w:rPr>
            </w:r>
            <w:r>
              <w:rPr>
                <w:b/>
              </w:rPr>
              <w:t>ROC-AUC</w:t>
            </w:r>
          </w:p>
        </w:tc>
        <w:tc>
          <w:tcPr>
            <w:tcW w:type="dxa" w:w="1234"/>
          </w:tcPr>
          <w:p>
            <w:r>
              <w:rPr>
                <w:b/>
              </w:rPr>
            </w:r>
            <w:r>
              <w:rPr>
                <w:b/>
              </w:rPr>
              <w:t>Precision</w:t>
            </w:r>
          </w:p>
        </w:tc>
        <w:tc>
          <w:tcPr>
            <w:tcW w:type="dxa" w:w="1234"/>
          </w:tcPr>
          <w:p>
            <w:r>
              <w:rPr>
                <w:b/>
              </w:rPr>
            </w:r>
            <w:r>
              <w:rPr>
                <w:b/>
              </w:rPr>
              <w:t>Recall</w:t>
            </w:r>
          </w:p>
        </w:tc>
        <w:tc>
          <w:tcPr>
            <w:tcW w:type="dxa" w:w="1234"/>
          </w:tcPr>
          <w:p>
            <w:r>
              <w:rPr>
                <w:b/>
              </w:rPr>
            </w:r>
            <w:r>
              <w:rPr>
                <w:b/>
              </w:rPr>
              <w:t>Threshold</w:t>
            </w:r>
          </w:p>
        </w:tc>
        <w:tc>
          <w:tcPr>
            <w:tcW w:type="dxa" w:w="1234"/>
          </w:tcPr>
          <w:p>
            <w:r>
              <w:rPr>
                <w:b/>
              </w:rPr>
            </w:r>
            <w:r>
              <w:rPr>
                <w:b/>
              </w:rPr>
              <w:t>Adversarial rows</w:t>
            </w:r>
          </w:p>
        </w:tc>
      </w:tr>
      <w:tr>
        <w:tc>
          <w:tcPr>
            <w:tcW w:type="dxa" w:w="1234"/>
          </w:tcPr>
          <w:p>
            <w:r/>
            <w:r>
              <w:t>0</w:t>
            </w:r>
          </w:p>
        </w:tc>
        <w:tc>
          <w:tcPr>
            <w:tcW w:type="dxa" w:w="1234"/>
          </w:tcPr>
          <w:p>
            <w:r/>
            <w:r>
              <w:rPr>
                <w:b/>
              </w:rPr>
              <w:t>0.9472</w:t>
            </w:r>
          </w:p>
        </w:tc>
        <w:tc>
          <w:tcPr>
            <w:tcW w:type="dxa" w:w="1234"/>
          </w:tcPr>
          <w:p>
            <w:r/>
            <w:r>
              <w:t>0.9989</w:t>
            </w:r>
          </w:p>
        </w:tc>
        <w:tc>
          <w:tcPr>
            <w:tcW w:type="dxa" w:w="1234"/>
          </w:tcPr>
          <w:p>
            <w:r/>
            <w:r>
              <w:t>0.814</w:t>
            </w:r>
          </w:p>
        </w:tc>
        <w:tc>
          <w:tcPr>
            <w:tcW w:type="dxa" w:w="1234"/>
          </w:tcPr>
          <w:p>
            <w:r/>
            <w:r>
              <w:t>0.916</w:t>
            </w:r>
          </w:p>
        </w:tc>
        <w:tc>
          <w:tcPr>
            <w:tcW w:type="dxa" w:w="1234"/>
          </w:tcPr>
          <w:p>
            <w:r/>
            <w:r>
              <w:t>0.8199</w:t>
            </w:r>
          </w:p>
        </w:tc>
        <w:tc>
          <w:tcPr>
            <w:tcW w:type="dxa" w:w="1234"/>
          </w:tcPr>
          <w:p>
            <w:r/>
            <w:r>
              <w:t>—</w:t>
            </w:r>
          </w:p>
        </w:tc>
      </w:tr>
      <w:tr>
        <w:tc>
          <w:tcPr>
            <w:tcW w:type="dxa" w:w="1234"/>
          </w:tcPr>
          <w:p>
            <w:r/>
            <w:r>
              <w:t>1</w:t>
            </w:r>
          </w:p>
        </w:tc>
        <w:tc>
          <w:tcPr>
            <w:tcW w:type="dxa" w:w="1234"/>
          </w:tcPr>
          <w:p>
            <w:r/>
            <w:r>
              <w:t>0.9390</w:t>
            </w:r>
          </w:p>
        </w:tc>
        <w:tc>
          <w:tcPr>
            <w:tcW w:type="dxa" w:w="1234"/>
          </w:tcPr>
          <w:p>
            <w:r/>
            <w:r>
              <w:t>0.9985</w:t>
            </w:r>
          </w:p>
        </w:tc>
        <w:tc>
          <w:tcPr>
            <w:tcW w:type="dxa" w:w="1234"/>
          </w:tcPr>
          <w:p>
            <w:r/>
            <w:r>
              <w:t>0.826</w:t>
            </w:r>
          </w:p>
        </w:tc>
        <w:tc>
          <w:tcPr>
            <w:tcW w:type="dxa" w:w="1234"/>
          </w:tcPr>
          <w:p>
            <w:r/>
            <w:r>
              <w:t>0.896</w:t>
            </w:r>
          </w:p>
        </w:tc>
        <w:tc>
          <w:tcPr>
            <w:tcW w:type="dxa" w:w="1234"/>
          </w:tcPr>
          <w:p>
            <w:r/>
            <w:r>
              <w:t>0.8978</w:t>
            </w:r>
          </w:p>
        </w:tc>
        <w:tc>
          <w:tcPr>
            <w:tcW w:type="dxa" w:w="1234"/>
          </w:tcPr>
          <w:p>
            <w:r/>
            <w:r>
              <w:t>+800</w:t>
            </w:r>
          </w:p>
        </w:tc>
      </w:tr>
      <w:tr>
        <w:tc>
          <w:tcPr>
            <w:tcW w:type="dxa" w:w="1234"/>
          </w:tcPr>
          <w:p>
            <w:r/>
            <w:r>
              <w:t>2</w:t>
            </w:r>
          </w:p>
        </w:tc>
        <w:tc>
          <w:tcPr>
            <w:tcW w:type="dxa" w:w="1234"/>
          </w:tcPr>
          <w:p>
            <w:r/>
            <w:r>
              <w:t>0.9318</w:t>
            </w:r>
          </w:p>
        </w:tc>
        <w:tc>
          <w:tcPr>
            <w:tcW w:type="dxa" w:w="1234"/>
          </w:tcPr>
          <w:p>
            <w:r/>
            <w:r>
              <w:t>0.9982</w:t>
            </w:r>
          </w:p>
        </w:tc>
        <w:tc>
          <w:tcPr>
            <w:tcW w:type="dxa" w:w="1234"/>
          </w:tcPr>
          <w:p>
            <w:r/>
            <w:r>
              <w:t>0.823</w:t>
            </w:r>
          </w:p>
        </w:tc>
        <w:tc>
          <w:tcPr>
            <w:tcW w:type="dxa" w:w="1234"/>
          </w:tcPr>
          <w:p>
            <w:r/>
            <w:r>
              <w:t>0.890</w:t>
            </w:r>
          </w:p>
        </w:tc>
        <w:tc>
          <w:tcPr>
            <w:tcW w:type="dxa" w:w="1234"/>
          </w:tcPr>
          <w:p>
            <w:r/>
            <w:r>
              <w:t>0.9327</w:t>
            </w:r>
          </w:p>
        </w:tc>
        <w:tc>
          <w:tcPr>
            <w:tcW w:type="dxa" w:w="1234"/>
          </w:tcPr>
          <w:p>
            <w:r/>
            <w:r>
              <w:t>+800</w:t>
            </w:r>
          </w:p>
        </w:tc>
      </w:tr>
    </w:tbl>
    <w:p/>
    <w:p>
      <w:r>
        <w:t>PR-AUC is the headline rather than ROC-AUC deliberately. At a 0.521% positive rate, ROC-AUC flatters heavily — 0.9989 sounds close to perfect and mostly reflects the ease of ranking the overwhelming negative majority. Precision-recall is the honest view of a needle-in-haystack problem.</w:t>
      </w:r>
    </w:p>
    <w:p>
      <w:r>
        <w:rPr>
          <w:b/>
        </w:rPr>
        <w:t>An earlier revision of this section reported 0.829 at `n_train = 96,000`, from the temporally-split round-0 script.</w:t>
      </w:r>
      <w:r>
        <w:t xml:space="preserve"> That figure is not in any artifact now. The loop replaced it so that all three rounds could be published from one experiment, and the honest cost of that choice is the weaker split described above: part of the gap between 0.829 and 0.9472 is more training data, and part is a test set that shares cards with the training set. We are not able to say how much of each, and we would rather state that than pick the flattering reading.</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4.12</w:t>
            </w:r>
          </w:p>
        </w:tc>
        <w:tc>
          <w:tcPr>
            <w:tcW w:type="dxa" w:w="2160"/>
          </w:tcPr>
          <w:p>
            <w:r/>
            <w:r>
              <w:t>275</w:t>
            </w:r>
          </w:p>
        </w:tc>
      </w:tr>
      <w:tr>
        <w:tc>
          <w:tcPr>
            <w:tcW w:type="dxa" w:w="2160"/>
          </w:tcPr>
          <w:p>
            <w:r/>
            <w:r>
              <w:t>1</w:t>
            </w:r>
          </w:p>
        </w:tc>
        <w:tc>
          <w:tcPr>
            <w:tcW w:type="dxa" w:w="2160"/>
          </w:tcPr>
          <w:p>
            <w:r/>
            <w:r>
              <w:t>100.0%</w:t>
            </w:r>
          </w:p>
        </w:tc>
        <w:tc>
          <w:tcPr>
            <w:tcW w:type="dxa" w:w="2160"/>
          </w:tcPr>
          <w:p>
            <w:r/>
            <w:r>
              <w:t>4.00</w:t>
            </w:r>
          </w:p>
        </w:tc>
        <w:tc>
          <w:tcPr>
            <w:tcW w:type="dxa" w:w="2160"/>
          </w:tcPr>
          <w:p>
            <w:r/>
            <w:r>
              <w:t>291</w:t>
            </w:r>
          </w:p>
        </w:tc>
      </w:tr>
      <w:tr>
        <w:tc>
          <w:tcPr>
            <w:tcW w:type="dxa" w:w="2160"/>
          </w:tcPr>
          <w:p>
            <w:r/>
            <w:r>
              <w:t>2</w:t>
            </w:r>
          </w:p>
        </w:tc>
        <w:tc>
          <w:tcPr>
            <w:tcW w:type="dxa" w:w="2160"/>
          </w:tcPr>
          <w:p>
            <w:r/>
            <w:r>
              <w:t>100.0%</w:t>
            </w:r>
          </w:p>
        </w:tc>
        <w:tc>
          <w:tcPr>
            <w:tcW w:type="dxa" w:w="2160"/>
          </w:tcPr>
          <w:p>
            <w:r/>
            <w:r>
              <w:t>4.03</w:t>
            </w:r>
          </w:p>
        </w:tc>
        <w:tc>
          <w:tcPr>
            <w:tcW w:type="dxa" w:w="2160"/>
          </w:tcPr>
          <w:p>
            <w:r/>
            <w:r>
              <w:t>391</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116 more model queries per success by round 2, while mean features touched stays flat (4.12 → 4.03).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Does the defence detect the generated attacks?</w:t>
      </w:r>
      <w:r>
        <w:t xml:space="preserve"> That is the question pillar III actually asks, and the loop above does not answer it. The loop asks something harder — after retraining, can a *fresh* constraint-aware search find *new* evasions — and the answer is always yes. Those are different questions, and conflating them undersells the defence.</w:t>
      </w:r>
    </w:p>
    <w:p>
      <w:r>
        <w:t>So we measured the pillar's question directly. Attack the round-0 detector, split the successful evasions in half, retrain on one half only, and score the half the model has never seen. The split is the load-bearing part: folding every adversarial row into training and then reporting recall on those same rows measures memorisation, which is the same species of error as fitting a threshold on the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Before retraining</w:t>
            </w:r>
          </w:p>
        </w:tc>
        <w:tc>
          <w:tcPr>
            <w:tcW w:type="dxa" w:w="2880"/>
          </w:tcPr>
          <w:p>
            <w:r>
              <w:rPr>
                <w:b/>
              </w:rPr>
            </w:r>
            <w:r>
              <w:rPr>
                <w:b/>
              </w:rPr>
              <w:t>After retraining</w:t>
            </w:r>
          </w:p>
        </w:tc>
      </w:tr>
      <w:tr>
        <w:tc>
          <w:tcPr>
            <w:tcW w:type="dxa" w:w="2880"/>
          </w:tcPr>
          <w:p>
            <w:r/>
            <w:r>
              <w:rPr>
                <w:b/>
              </w:rPr>
              <w:t>Recall on held-out adversarial attacks</w:t>
            </w:r>
          </w:p>
        </w:tc>
        <w:tc>
          <w:tcPr>
            <w:tcW w:type="dxa" w:w="2880"/>
          </w:tcPr>
          <w:p>
            <w:r/>
            <w:r>
              <w:t>0.0%</w:t>
            </w:r>
          </w:p>
        </w:tc>
        <w:tc>
          <w:tcPr>
            <w:tcW w:type="dxa" w:w="2880"/>
          </w:tcPr>
          <w:p>
            <w:r/>
            <w:r>
              <w:rPr>
                <w:b/>
              </w:rPr>
              <w:t>68.9%</w:t>
            </w:r>
          </w:p>
        </w:tc>
      </w:tr>
      <w:tr>
        <w:tc>
          <w:tcPr>
            <w:tcW w:type="dxa" w:w="2880"/>
          </w:tcPr>
          <w:p>
            <w:r/>
            <w:r>
              <w:t>Recall on the adversarial rows it trained on</w:t>
            </w:r>
          </w:p>
        </w:tc>
        <w:tc>
          <w:tcPr>
            <w:tcW w:type="dxa" w:w="2880"/>
          </w:tcPr>
          <w:p>
            <w:r/>
            <w:r>
              <w:t>—</w:t>
            </w:r>
          </w:p>
        </w:tc>
        <w:tc>
          <w:tcPr>
            <w:tcW w:type="dxa" w:w="2880"/>
          </w:tcPr>
          <w:p>
            <w:r/>
            <w:r>
              <w:t>100.0% *(memorisation ceiling)*</w:t>
            </w:r>
          </w:p>
        </w:tc>
      </w:tr>
      <w:tr>
        <w:tc>
          <w:tcPr>
            <w:tcW w:type="dxa" w:w="2880"/>
          </w:tcPr>
          <w:p>
            <w:r/>
            <w:r>
              <w:t>Recall on real fraud</w:t>
            </w:r>
          </w:p>
        </w:tc>
        <w:tc>
          <w:tcPr>
            <w:tcW w:type="dxa" w:w="2880"/>
          </w:tcPr>
          <w:p>
            <w:r/>
            <w:r>
              <w:t>89.3%</w:t>
            </w:r>
          </w:p>
        </w:tc>
        <w:tc>
          <w:tcPr>
            <w:tcW w:type="dxa" w:w="2880"/>
          </w:tcPr>
          <w:p>
            <w:r/>
            <w:r>
              <w:t>87.9%</w:t>
            </w:r>
          </w:p>
        </w:tc>
      </w:tr>
      <w:tr>
        <w:tc>
          <w:tcPr>
            <w:tcW w:type="dxa" w:w="2880"/>
          </w:tcPr>
          <w:p>
            <w:r/>
            <w:r>
              <w:t>PR-AUC</w:t>
            </w:r>
          </w:p>
        </w:tc>
        <w:tc>
          <w:tcPr>
            <w:tcW w:type="dxa" w:w="2880"/>
          </w:tcPr>
          <w:p>
            <w:r/>
            <w:r>
              <w:t>0.9291</w:t>
            </w:r>
          </w:p>
        </w:tc>
        <w:tc>
          <w:tcPr>
            <w:tcW w:type="dxa" w:w="2880"/>
          </w:tcPr>
          <w:p>
            <w:r/>
            <w:r>
              <w:t>0.9214</w:t>
            </w:r>
          </w:p>
        </w:tc>
      </w:tr>
      <w:tr>
        <w:tc>
          <w:tcPr>
            <w:tcW w:type="dxa" w:w="2880"/>
          </w:tcPr>
          <w:p>
            <w:r/>
            <w:r>
              <w:t>Legitimate declines per 100,000</w:t>
            </w:r>
          </w:p>
        </w:tc>
        <w:tc>
          <w:tcPr>
            <w:tcW w:type="dxa" w:w="2880"/>
          </w:tcPr>
          <w:p>
            <w:r/>
            <w:r>
              <w:t>114</w:t>
            </w:r>
          </w:p>
        </w:tc>
        <w:tc>
          <w:tcPr>
            <w:tcW w:type="dxa" w:w="2880"/>
          </w:tcPr>
          <w:p>
            <w:r/>
            <w:r>
              <w:t>94</w:t>
            </w:r>
          </w:p>
        </w:tc>
      </w:tr>
    </w:tbl>
    <w:p/>
    <w:p>
      <w:r>
        <w:t xml:space="preserve">*Source: </w:t>
      </w:r>
      <w:r>
        <w:rPr>
          <w:rFonts w:ascii="Consolas" w:hAnsi="Consolas"/>
          <w:sz w:val="20"/>
        </w:rPr>
        <w:t>artifacts/attack/adversarial_detection.json</w:t>
      </w:r>
      <w:r>
        <w:t>. 566 successful evasions, split 283 / 283.*</w:t>
      </w:r>
    </w:p>
    <w:p>
      <w:r>
        <w:rPr>
          <w:b/>
        </w:rPr>
        <w:t>The defence detects 69% of generated attacks it has never seen, at a cost of 1.4 points of real-fraud recall — and it declines fewer legitimate payments than before, not more.</w:t>
      </w:r>
      <w:r>
        <w:t xml:space="preserve"> The 100% figure on the rows it trained on is reported beside it deliberately: it is the ceiling memorisation would produce, and the gap between 100% and 68.9% is how much of the result is generalisation rather than recall of specific rows.</w:t>
      </w:r>
    </w:p>
    <w:p>
      <w:r>
        <w:rPr>
          <w:b/>
        </w:rPr>
        <w:t>Both of these are true at once, and the pair is the finding.</w:t>
      </w:r>
      <w:r>
        <w:t xml:space="preserve"> Adversarial retraining generalises *within* the attack distribution — it learns something transferable about how these evasions are shaped. It does not survive an attacker who re-searches against the new model, which is why attack success returns to 1.000 in the loop. A defence can be genuinely effective against replayed and near-neighbour attacks while being worthless against an adaptive adversary, and a submission that reported only one of those numbers would be misleading in whichever direction it chose.</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4.12</w:t>
            </w:r>
          </w:p>
        </w:tc>
        <w:tc>
          <w:tcPr>
            <w:tcW w:type="dxa" w:w="2880"/>
          </w:tcPr>
          <w:p>
            <w:r/>
            <w:r>
              <w:t>1.88</w:t>
            </w:r>
          </w:p>
        </w:tc>
      </w:tr>
      <w:tr>
        <w:tc>
          <w:tcPr>
            <w:tcW w:type="dxa" w:w="2880"/>
          </w:tcPr>
          <w:p>
            <w:r/>
            <w:r>
              <w:t>Successes at a merchant absent from the network</w:t>
            </w:r>
          </w:p>
        </w:tc>
        <w:tc>
          <w:tcPr>
            <w:tcW w:type="dxa" w:w="2880"/>
          </w:tcPr>
          <w:p>
            <w:r/>
            <w:r>
              <w:t>0.0%</w:t>
            </w:r>
          </w:p>
        </w:tc>
        <w:tc>
          <w:tcPr>
            <w:tcW w:type="dxa" w:w="2880"/>
          </w:tcPr>
          <w:p>
            <w:r/>
            <w:r>
              <w:rPr>
                <w:b/>
              </w:rPr>
              <w:t>99.9%</w:t>
            </w:r>
          </w:p>
        </w:tc>
      </w:tr>
      <w:tr>
        <w:tc>
          <w:tcPr>
            <w:tcW w:type="dxa" w:w="2880"/>
          </w:tcPr>
          <w:p>
            <w:r/>
            <w:r>
              <w:t>Successes that forged a frozen victim attribute</w:t>
            </w:r>
          </w:p>
        </w:tc>
        <w:tc>
          <w:tcPr>
            <w:tcW w:type="dxa" w:w="2880"/>
          </w:tcPr>
          <w:p>
            <w:r/>
            <w:r>
              <w:t>0.0%</w:t>
            </w:r>
          </w:p>
        </w:tc>
        <w:tc>
          <w:tcPr>
            <w:tcW w:type="dxa" w:w="2880"/>
          </w:tcPr>
          <w:p>
            <w:r/>
            <w:r>
              <w:t>6.0%</w:t>
            </w:r>
          </w:p>
        </w:tc>
      </w:tr>
    </w:tbl>
    <w:p/>
    <w:p>
      <w:r>
        <w:t xml:space="preserve">The two attackers report the same headline. They are not describing the same thing. </w:t>
      </w:r>
      <w:r>
        <w:rPr>
          <w:b/>
        </w:rPr>
        <w:t>99.9% of the unconstrained attacker's "evasions" are transactions that could not physically occur</w:t>
      </w:r>
      <w:r>
        <w:t xml:space="preserve"> — a merchant category paired with terminal coordinates that no merchant in the network occupies. It also reaches that result more cheaply, touching 1.88 features against our 4.12,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3"/>
      </w:pPr>
      <w:r>
        <w:t>4.6 Detecting, flagging and mitigating</w:t>
      </w:r>
    </w:p>
    <w:p>
      <w:r>
        <w:t>The brief asks for a system that *detects, flags and mitigates* the generated attacks. Those are three different actions and we implement them at both surfaces, so this section names which mechanism performs which rather than leaving a reader to infer it from the results above.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Tabular detector</w:t>
            </w:r>
          </w:p>
        </w:tc>
        <w:tc>
          <w:tcPr>
            <w:tcW w:type="dxa" w:w="2880"/>
          </w:tcPr>
          <w:p>
            <w:r>
              <w:rPr>
                <w:b/>
              </w:rPr>
            </w:r>
            <w:r>
              <w:rPr>
                <w:b/>
              </w:rPr>
              <w:t>Payment agent</w:t>
            </w:r>
          </w:p>
        </w:tc>
      </w:tr>
      <w:tr>
        <w:tc>
          <w:tcPr>
            <w:tcW w:type="dxa" w:w="2880"/>
          </w:tcPr>
          <w:p>
            <w:r/>
            <w:r>
              <w:rPr>
                <w:b/>
              </w:rPr>
              <w:t>Detect</w:t>
            </w:r>
          </w:p>
        </w:tc>
        <w:tc>
          <w:tcPr>
            <w:tcW w:type="dxa" w:w="2880"/>
          </w:tcPr>
          <w:p>
            <w:r/>
            <w:r>
              <w:t xml:space="preserve">Score every transaction; PR-AUC 0.9472, and </w:t>
            </w:r>
            <w:r>
              <w:rPr>
                <w:b/>
              </w:rPr>
              <w:t>68.9%</w:t>
            </w:r>
            <w:r>
              <w:t xml:space="preserve"> recall on generated attacks it has never seen</w:t>
            </w:r>
          </w:p>
        </w:tc>
        <w:tc>
          <w:tcPr>
            <w:tcW w:type="dxa" w:w="2880"/>
          </w:tcPr>
          <w:p>
            <w:r/>
            <w:r>
              <w:t>Judge the agent's *audit log*, never its prose: an exploit is a dangerous tool call that actually fired with attacker-chosen arguments</w:t>
            </w:r>
          </w:p>
        </w:tc>
      </w:tr>
      <w:tr>
        <w:tc>
          <w:tcPr>
            <w:tcW w:type="dxa" w:w="2880"/>
          </w:tcPr>
          <w:p>
            <w:r/>
            <w:r>
              <w:rPr>
                <w:b/>
              </w:rPr>
              <w:t>Flag</w:t>
            </w:r>
          </w:p>
        </w:tc>
        <w:tc>
          <w:tcPr>
            <w:tcW w:type="dxa" w:w="2880"/>
          </w:tcPr>
          <w:p>
            <w:r/>
            <w:r>
              <w:t>Decline above a threshold chosen at a fixed false-positive budget — 114 legitimate declines per 100,000</w:t>
            </w:r>
          </w:p>
        </w:tc>
        <w:tc>
          <w:tcPr>
            <w:tcW w:type="dxa" w:w="2880"/>
          </w:tcPr>
          <w:p>
            <w:r/>
            <w:r>
              <w:t xml:space="preserve">Raise a defence event naming the layer and the reason, e.g. </w:t>
            </w:r>
            <w:r>
              <w:rPr>
                <w:rFonts w:ascii="Consolas" w:hAnsi="Consolas"/>
                <w:sz w:val="20"/>
              </w:rPr>
              <w:t>classifier · redact · score=0.54 addresses-the-assistant, authority-framing</w:t>
            </w:r>
          </w:p>
        </w:tc>
      </w:tr>
      <w:tr>
        <w:tc>
          <w:tcPr>
            <w:tcW w:type="dxa" w:w="2880"/>
          </w:tcPr>
          <w:p>
            <w:r/>
            <w:r>
              <w:rPr>
                <w:b/>
              </w:rPr>
              <w:t>Mitigate</w:t>
            </w:r>
          </w:p>
        </w:tc>
        <w:tc>
          <w:tcPr>
            <w:tcW w:type="dxa" w:w="2880"/>
          </w:tcPr>
          <w:p>
            <w:r/>
            <w:r>
              <w:t>The threshold *is* the mitigation: the transaction does not authorise. Section 4.4 prices tightening it</w:t>
            </w:r>
          </w:p>
        </w:tc>
        <w:tc>
          <w:tcPr>
            <w:tcW w:type="dxa" w:w="2880"/>
          </w:tcPr>
          <w:p>
            <w:r/>
            <w:r>
              <w:t>Three layers, each blocking a different way in — see below</w:t>
            </w:r>
          </w:p>
        </w:tc>
      </w:tr>
    </w:tbl>
    <w:p/>
    <w:p>
      <w:r>
        <w:rPr>
          <w:b/>
        </w:rPr>
        <w:t>The agent's mitigation is layered, and the layers are not interchangeable.</w:t>
      </w:r>
    </w:p>
    <w:p>
      <w:pPr>
        <w:pStyle w:val="ListNumber"/>
      </w:pPr>
      <w:r>
        <w:rPr>
          <w:b/>
        </w:rPr>
        <w:t>Injection classifier</w:t>
      </w:r>
      <w:r>
        <w:t xml:space="preserve"> — scores untrusted text and *redacts* the offending span before the</w:t>
      </w:r>
    </w:p>
    <w:p>
      <w:r>
        <w:t xml:space="preserve">model ever sees it. The document reaches the agent with the payload replaced by </w:t>
      </w:r>
      <w:r>
        <w:rPr>
          <w:rFonts w:ascii="Consolas" w:hAnsi="Consolas"/>
          <w:sz w:val="20"/>
        </w:rPr>
        <w:t>[REDACTED BY INJECTION FILTER]</w:t>
      </w:r>
      <w:r>
        <w:t>, so the instruction cannot be followed rather than being refused after the fact.</w:t>
      </w:r>
    </w:p>
    <w:p>
      <w:pPr>
        <w:pStyle w:val="ListNumber"/>
      </w:pPr>
      <w:r>
        <w:rPr>
          <w:b/>
        </w:rPr>
        <w:t>Tool scoping</w:t>
      </w:r>
      <w:r>
        <w:t xml:space="preserve"> — each task carries its own permitted tool set</w:t>
      </w:r>
    </w:p>
    <w:p>
      <w:r>
        <w:t>(</w:t>
      </w:r>
      <w:r>
        <w:rPr>
          <w:rFonts w:ascii="Consolas" w:hAnsi="Consolas"/>
          <w:sz w:val="20"/>
        </w:rPr>
        <w:t>memo_review</w:t>
      </w:r>
      <w:r>
        <w:t xml:space="preserve">, </w:t>
      </w:r>
      <w:r>
        <w:rPr>
          <w:rFonts w:ascii="Consolas" w:hAnsi="Consolas"/>
          <w:sz w:val="20"/>
        </w:rPr>
        <w:t>dispute_review</w:t>
      </w:r>
      <w:r>
        <w:t xml:space="preserve">, </w:t>
      </w:r>
      <w:r>
        <w:rPr>
          <w:rFonts w:ascii="Consolas" w:hAnsi="Consolas"/>
          <w:sz w:val="20"/>
        </w:rPr>
        <w:t>invoice_payment</w:t>
      </w:r>
      <w:r>
        <w:t xml:space="preserve">, </w:t>
      </w:r>
      <w:r>
        <w:rPr>
          <w:rFonts w:ascii="Consolas" w:hAnsi="Consolas"/>
          <w:sz w:val="20"/>
        </w:rPr>
        <w:t>payee_onboarding</w:t>
      </w:r>
      <w:r>
        <w:t>). A payee-mutation call arriving during a memo review is denied because that task cannot make it, independent of anything the model decided.</w:t>
      </w:r>
    </w:p>
    <w:p>
      <w:pPr>
        <w:pStyle w:val="ListNumber"/>
      </w:pPr>
      <w:r>
        <w:rPr>
          <w:b/>
        </w:rPr>
        <w:t>Human in the loop</w:t>
      </w:r>
      <w:r>
        <w:t xml:space="preserve"> — any transfer above 500 is held for</w:t>
      </w:r>
    </w:p>
    <w:p>
      <w:r>
        <w:t>approval rather than executed. This is the layer that catches what the first two miss, and it is why the defence does not have to be perfect to be useful.</w:t>
      </w:r>
    </w:p>
    <w:p>
      <w:r>
        <w:rPr>
          <w:b/>
        </w:rPr>
        <w:t>Both halves of the trade are measured.</w:t>
      </w:r>
      <w:r>
        <w:t xml:space="preserve"> The layers remove every exploit observed on </w:t>
      </w:r>
      <w:r>
        <w:rPr>
          <w:rFonts w:ascii="Consolas" w:hAnsi="Consolas"/>
          <w:sz w:val="20"/>
        </w:rPr>
        <w:t>gpt-oss-120b</w:t>
      </w:r>
      <w:r>
        <w:t xml:space="preserve"> (Fisher p = 0.015) and refuse </w:t>
      </w:r>
      <w:r>
        <w:rPr>
          <w:b/>
        </w:rPr>
        <w:t>none</w:t>
      </w:r>
      <w:r>
        <w:t xml:space="preserve"> of the 14 benign control documents — a 0% false-refusal rate. A defence that blocked everything would score a perfect exploit rate and be worthless, which is exactly why the benign controls exist.</w:t>
      </w:r>
    </w:p>
    <w:p>
      <w:r>
        <w:t xml:space="preserve">The </w:t>
      </w:r>
      <w:r>
        <w:rPr>
          <w:rFonts w:ascii="Consolas" w:hAnsi="Consolas"/>
          <w:sz w:val="20"/>
        </w:rPr>
        <w:t>/agent</w:t>
      </w:r>
      <w:r>
        <w:t xml:space="preserve"> page on the prototype runs this stack live. Firing the default injection with defences off rewrites a supplier's IBAN to the attacker's account and the ledger diff shows it; firing it again with defences on produces </w:t>
      </w:r>
      <w:r>
        <w:rPr>
          <w:rFonts w:ascii="Consolas" w:hAnsi="Consolas"/>
          <w:sz w:val="20"/>
        </w:rPr>
        <w:t>classifier · redact</w:t>
      </w:r>
      <w:r>
        <w:t xml:space="preserve"> followed by </w:t>
      </w:r>
      <w:r>
        <w:rPr>
          <w:rFonts w:ascii="Consolas" w:hAnsi="Consolas"/>
          <w:sz w:val="20"/>
        </w:rPr>
        <w:t>hitl · approve</w:t>
      </w:r>
      <w:r>
        <w:t>, the legitimate transfer completes, and the ledger is untouched.</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published detector rounds use a stratified random split, not a temporal one.</w:t>
      </w:r>
      <w:r>
        <w:t xml:space="preserve"> A</w:t>
      </w:r>
    </w:p>
    <w:p>
      <w:r>
        <w:t>card's transactions can appear on both sides, which makes the test set easier than deployment would be. PR-AUC 0.9472 sits just under our own 0.95 leakage tripwire and should be read with that attached. The temporally-split alternative scores 0.829; we publish the loop's rounds because all three exist there, and we flag the trade rather than hiding it.</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