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pfhejtsue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outlines the strategic and technical architecture of </w:t>
      </w:r>
      <w:r w:rsidDel="00000000" w:rsidR="00000000" w:rsidRPr="00000000">
        <w:rPr>
          <w:b w:val="1"/>
          <w:bCs w:val="1"/>
          <w:rtl w:val="0"/>
        </w:rPr>
        <w:t xml:space="preserve">Master Cases</w:t>
      </w:r>
      <w:r w:rsidDel="00000000" w:rsidR="00000000" w:rsidRPr="00000000">
        <w:rPr>
          <w:rtl w:val="0"/>
        </w:rPr>
        <w:t xml:space="preserve"> (Inference Knowledge) within the Agentic Recruiter ecosystem. Unlike traditional static job descriptions, Master Cases serve as a dynamic, evolving "Source of Truth" that allows a Digital Twin to emulate high-level human professional judgment, adapt to market shifts, and maintain legally defensible hiring standards.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nx8it3d7mt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Cases: The Inference Knowledge Engine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x52tsl4jny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Definition: What are Master Cases?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Master Cases are the </w:t>
      </w:r>
      <w:r w:rsidDel="00000000" w:rsidR="00000000" w:rsidRPr="00000000">
        <w:rPr>
          <w:b w:val="1"/>
          <w:bCs w:val="1"/>
          <w:rtl w:val="0"/>
        </w:rPr>
        <w:t xml:space="preserve">Inference Knowledge</w:t>
      </w:r>
      <w:r w:rsidDel="00000000" w:rsidR="00000000" w:rsidRPr="00000000">
        <w:rPr>
          <w:rtl w:val="0"/>
        </w:rPr>
        <w:t xml:space="preserve"> base of the Digital Twin. They represent the "Gold Standard" benchmark for a specific role or persona, stored within the </w:t>
      </w:r>
      <w:r w:rsidDel="00000000" w:rsidR="00000000" w:rsidRPr="00000000">
        <w:rPr>
          <w:b w:val="1"/>
          <w:bCs w:val="1"/>
          <w:rtl w:val="0"/>
        </w:rPr>
        <w:t xml:space="preserve">Knowledge 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While a standard AI might look for keywords, the Master Case allows the Twin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Emulate Expert Intuition:</w:t>
      </w:r>
      <w:r w:rsidDel="00000000" w:rsidR="00000000" w:rsidRPr="00000000">
        <w:rPr>
          <w:rtl w:val="0"/>
        </w:rPr>
        <w:t xml:space="preserve"> Apply the same heuristics (mental shortcuts) a senior recruiter uses to judge "depth" vs. "surface-level" claims.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 Success:</w:t>
      </w:r>
      <w:r w:rsidDel="00000000" w:rsidR="00000000" w:rsidRPr="00000000">
        <w:rPr>
          <w:rtl w:val="0"/>
        </w:rPr>
        <w:t xml:space="preserve"> Use past successful hires as a template to identify "Hidden Gems" in new candidate pools.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Calibrate Decision Logic:</w:t>
      </w:r>
      <w:r w:rsidDel="00000000" w:rsidR="00000000" w:rsidRPr="00000000">
        <w:rPr>
          <w:rtl w:val="0"/>
        </w:rPr>
        <w:t xml:space="preserve"> Provide the baseline for the </w:t>
      </w:r>
      <w:r w:rsidDel="00000000" w:rsidR="00000000" w:rsidRPr="00000000">
        <w:rPr>
          <w:b w:val="1"/>
          <w:bCs w:val="1"/>
          <w:rtl w:val="0"/>
        </w:rPr>
        <w:t xml:space="preserve">Evaluation Brain</w:t>
      </w:r>
      <w:r w:rsidDel="00000000" w:rsidR="00000000" w:rsidRPr="00000000">
        <w:rPr>
          <w:rtl w:val="0"/>
        </w:rPr>
        <w:t xml:space="preserve"> to score candidates accurately on a scale of 0–100%.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42v0de2ytv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Adaptive Brain: Building Inference Knowledge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The "Adaptive" nature of the system comes from its ability to self-correct and update Master Cases based on real-world outcomes.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shverqd4j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Knowledge Extraction (The Learning Loop)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When a candidate is identified as an "outstanding interviewee" or is successfully hired, the system triggers an </w:t>
      </w:r>
      <w:r w:rsidDel="00000000" w:rsidR="00000000" w:rsidRPr="00000000">
        <w:rPr>
          <w:b w:val="1"/>
          <w:bCs w:val="1"/>
          <w:rtl w:val="0"/>
        </w:rPr>
        <w:t xml:space="preserve">Inference Extraction</w:t>
      </w:r>
      <w:r w:rsidDel="00000000" w:rsidR="00000000" w:rsidRPr="00000000">
        <w:rPr>
          <w:rtl w:val="0"/>
        </w:rPr>
        <w:t xml:space="preserve"> session: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Analysis:</w:t>
      </w:r>
      <w:r w:rsidDel="00000000" w:rsidR="00000000" w:rsidRPr="00000000">
        <w:rPr>
          <w:rtl w:val="0"/>
        </w:rPr>
        <w:t xml:space="preserve"> The system identifies specific signals (e.g., side projects, specific problem-solving patterns) that were present in the successful candidate but missing from the original job intake.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 Adjustment:</w:t>
      </w:r>
      <w:r w:rsidDel="00000000" w:rsidR="00000000" w:rsidRPr="00000000">
        <w:rPr>
          <w:rtl w:val="0"/>
        </w:rPr>
        <w:t xml:space="preserve"> These new signals are added to the Master Case, increasing their "weight" for future searches.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Analysis:</w:t>
      </w:r>
      <w:r w:rsidDel="00000000" w:rsidR="00000000" w:rsidRPr="00000000">
        <w:rPr>
          <w:rtl w:val="0"/>
        </w:rPr>
        <w:t xml:space="preserve"> If a "Perfect-on-Paper" candidate fails an interview, the system analyzes the "Signal Noise" and reduces the weight of misleading indicators (e.g., over-relying on company pedigree) 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dtkd5s95u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Immutable vs. Elastic Requirements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Every Master Case bifurcates requirements into two distinct logical paths: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(Hard Lines):</w:t>
      </w:r>
      <w:r w:rsidDel="00000000" w:rsidR="00000000" w:rsidRPr="00000000">
        <w:rPr>
          <w:rtl w:val="0"/>
        </w:rPr>
        <w:t xml:space="preserve"> Non-negotiable technical or regulatory requirements (e.g., AWS KMS, specific certifications). If missing, the Twin triggers an immediate rejection.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(Flexible Traits):</w:t>
      </w:r>
      <w:r w:rsidDel="00000000" w:rsidR="00000000" w:rsidRPr="00000000">
        <w:rPr>
          <w:rtl w:val="0"/>
        </w:rPr>
        <w:t xml:space="preserve"> Soft skills or preferred tools that can be traded off. The Master Case defines the "Trade-off Rules"—e.g., "Exceptional leadership proof overrides a lack of specific framework experience".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hxlimazml4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Persona Capture: Initializing a Master Case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A Master Case begins with the </w:t>
      </w:r>
      <w:r w:rsidDel="00000000" w:rsidR="00000000" w:rsidRPr="00000000">
        <w:rPr>
          <w:b w:val="1"/>
          <w:bCs w:val="1"/>
          <w:rtl w:val="0"/>
        </w:rPr>
        <w:t xml:space="preserve">Expert Persona Interview</w:t>
      </w:r>
      <w:r w:rsidDel="00000000" w:rsidR="00000000" w:rsidRPr="00000000">
        <w:rPr>
          <w:rtl w:val="0"/>
        </w:rPr>
        <w:t xml:space="preserve">. This captures the "Dark Matter" of a recruiter’s brain through dynamic, scenario-based modules: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Scientist (Evaluation):</w:t>
      </w:r>
      <w:r w:rsidDel="00000000" w:rsidR="00000000" w:rsidRPr="00000000">
        <w:rPr>
          <w:rtl w:val="0"/>
        </w:rPr>
        <w:t xml:space="preserve"> Captures the </w:t>
      </w:r>
      <w:r w:rsidDel="00000000" w:rsidR="00000000" w:rsidRPr="00000000">
        <w:rPr>
          <w:b w:val="1"/>
          <w:bCs w:val="1"/>
          <w:rtl w:val="0"/>
        </w:rPr>
        <w:t xml:space="preserve">Evidence Hierarchy</w:t>
      </w:r>
      <w:r w:rsidDel="00000000" w:rsidR="00000000" w:rsidRPr="00000000">
        <w:rPr>
          <w:rtl w:val="0"/>
        </w:rPr>
        <w:t xml:space="preserve"> (ranking portfolios over certifications) and defines what "Proof" vs. "Inferred" data looks like 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Salesperson (Persuasion):</w:t>
      </w:r>
      <w:r w:rsidDel="00000000" w:rsidR="00000000" w:rsidRPr="00000000">
        <w:rPr>
          <w:rtl w:val="0"/>
        </w:rPr>
        <w:t xml:space="preserve"> Documents the </w:t>
      </w:r>
      <w:r w:rsidDel="00000000" w:rsidR="00000000" w:rsidRPr="00000000">
        <w:rPr>
          <w:b w:val="1"/>
          <w:bCs w:val="1"/>
          <w:rtl w:val="0"/>
        </w:rPr>
        <w:t xml:space="preserve">Motivation Mapping</w:t>
      </w:r>
      <w:r w:rsidDel="00000000" w:rsidR="00000000" w:rsidRPr="00000000">
        <w:rPr>
          <w:rtl w:val="0"/>
        </w:rPr>
        <w:t xml:space="preserve"> (Growth vs. Stability) and the sequence of "hooks" used to convert passive talent.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Strategist (Context):</w:t>
      </w:r>
      <w:r w:rsidDel="00000000" w:rsidR="00000000" w:rsidRPr="00000000">
        <w:rPr>
          <w:rtl w:val="0"/>
        </w:rPr>
        <w:t xml:space="preserve"> Captures how urgency (Q4 Crunch) shifts the "Quality Bar" and defines the </w:t>
      </w:r>
      <w:r w:rsidDel="00000000" w:rsidR="00000000" w:rsidRPr="00000000">
        <w:rPr>
          <w:b w:val="1"/>
          <w:bCs w:val="1"/>
          <w:rtl w:val="0"/>
        </w:rPr>
        <w:t xml:space="preserve">60-75% Grey Zone</w:t>
      </w:r>
      <w:r w:rsidDel="00000000" w:rsidR="00000000" w:rsidRPr="00000000">
        <w:rPr>
          <w:rtl w:val="0"/>
        </w:rPr>
        <w:t xml:space="preserve"> handoff rules.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Learner (Adaptive):</w:t>
      </w:r>
      <w:r w:rsidDel="00000000" w:rsidR="00000000" w:rsidRPr="00000000">
        <w:rPr>
          <w:rtl w:val="0"/>
        </w:rPr>
        <w:t xml:space="preserve"> Surfaces </w:t>
      </w:r>
      <w:r w:rsidDel="00000000" w:rsidR="00000000" w:rsidRPr="00000000">
        <w:rPr>
          <w:b w:val="1"/>
          <w:bCs w:val="1"/>
          <w:rtl w:val="0"/>
        </w:rPr>
        <w:t xml:space="preserve">Unconscious Biases</w:t>
      </w:r>
      <w:r w:rsidDel="00000000" w:rsidR="00000000" w:rsidRPr="00000000">
        <w:rPr>
          <w:rtl w:val="0"/>
        </w:rPr>
        <w:t xml:space="preserve"> by auditing past "Great Regrets" and "Failed Hires".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h0xw55jcht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Architecture &amp; Data Boundaries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The Master Case operates within a strictly governed technical environment to ensure speed and compliance.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Ephemeral Enrichment (The Sourcing Loop):</w:t>
      </w:r>
      <w:r w:rsidDel="00000000" w:rsidR="00000000" w:rsidRPr="00000000">
        <w:rPr>
          <w:rtl w:val="0"/>
        </w:rPr>
        <w:t xml:space="preserve"> The Twin enriches candidate data strictly in </w:t>
      </w:r>
      <w:r w:rsidDel="00000000" w:rsidR="00000000" w:rsidRPr="00000000">
        <w:rPr>
          <w:b w:val="1"/>
          <w:bCs w:val="1"/>
          <w:rtl w:val="0"/>
        </w:rPr>
        <w:t xml:space="preserve">Volatile Memory (Redis)</w:t>
      </w:r>
      <w:r w:rsidDel="00000000" w:rsidR="00000000" w:rsidRPr="00000000">
        <w:rPr>
          <w:rtl w:val="0"/>
        </w:rPr>
        <w:t xml:space="preserve"> during the scoring session.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Triple-Layer Validation:</w:t>
      </w:r>
      <w:r w:rsidDel="00000000" w:rsidR="00000000" w:rsidRPr="00000000">
        <w:rPr>
          <w:rtl w:val="0"/>
        </w:rPr>
        <w:t xml:space="preserve"> Every match against a Master Case must pass: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Rule Check:</w:t>
      </w:r>
      <w:r w:rsidDel="00000000" w:rsidR="00000000" w:rsidRPr="00000000">
        <w:rPr>
          <w:rtl w:val="0"/>
        </w:rPr>
        <w:t xml:space="preserve"> Structural and factual validity.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Semantic Check:</w:t>
      </w:r>
      <w:r w:rsidDel="00000000" w:rsidR="00000000" w:rsidRPr="00000000">
        <w:rPr>
          <w:rtl w:val="0"/>
        </w:rPr>
        <w:t xml:space="preserve"> Interpretation of meaning and intent.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LLM Judge:</w:t>
      </w:r>
      <w:r w:rsidDel="00000000" w:rsidR="00000000" w:rsidRPr="00000000">
        <w:rPr>
          <w:rtl w:val="0"/>
        </w:rPr>
        <w:t xml:space="preserve"> Anti-hallucination grounding against source citations.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(RuneGrid DB):</w:t>
      </w:r>
      <w:r w:rsidDel="00000000" w:rsidR="00000000" w:rsidRPr="00000000">
        <w:rPr>
          <w:rtl w:val="0"/>
        </w:rPr>
        <w:t xml:space="preserve"> Only after explicit candidate consent is the final, verified "Dossier" (derived from the Master Case match) persisted into a cryptographically signed vault.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n6wqt8sx6y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Human-in-the-Loop (HITL) &amp; Governance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Master Cases do not operate in a "Black Box." They are governed by the </w:t>
      </w:r>
      <w:r w:rsidDel="00000000" w:rsidR="00000000" w:rsidRPr="00000000">
        <w:rPr>
          <w:b w:val="1"/>
          <w:bCs w:val="1"/>
          <w:rtl w:val="0"/>
        </w:rPr>
        <w:t xml:space="preserve">Master Strategist</w:t>
      </w:r>
      <w:r w:rsidDel="00000000" w:rsidR="00000000" w:rsidRPr="00000000">
        <w:rPr>
          <w:rtl w:val="0"/>
        </w:rPr>
        <w:t xml:space="preserve"> (Human Expert).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by Exception:</w:t>
      </w:r>
      <w:r w:rsidDel="00000000" w:rsidR="00000000" w:rsidRPr="00000000">
        <w:rPr>
          <w:rtl w:val="0"/>
        </w:rPr>
        <w:t xml:space="preserve"> The Twin handles standard matching (Level 1) and risk detection (Level 2). Humans only intervene when cognitive or factual risk thresholds are breached 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Grey Zone Escalation:</w:t>
      </w:r>
      <w:r w:rsidDel="00000000" w:rsidR="00000000" w:rsidRPr="00000000">
        <w:rPr>
          <w:rtl w:val="0"/>
        </w:rPr>
        <w:t xml:space="preserve"> When a candidate falls into the 60-75% confidence tier, the system pauses the AI and sends a 3-bullet summary to the human strategist via </w:t>
      </w:r>
      <w:r w:rsidDel="00000000" w:rsidR="00000000" w:rsidRPr="00000000">
        <w:rPr>
          <w:b w:val="1"/>
          <w:bCs w:val="1"/>
          <w:rtl w:val="0"/>
        </w:rPr>
        <w:t xml:space="preserve">WhatsApp/Slack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Review Loop:</w:t>
      </w:r>
      <w:r w:rsidDel="00000000" w:rsidR="00000000" w:rsidRPr="00000000">
        <w:rPr>
          <w:rtl w:val="0"/>
        </w:rPr>
        <w:t xml:space="preserve"> Domain experts periodically audit the Master Cases themselves to ensure the "Perfect" benchmark hasn't drifted or become biased over time.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i6kkq8s3di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Business Value &amp; ROI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Implementing Master Cases provides three primary advantages: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Reduction:</w:t>
      </w:r>
      <w:r w:rsidDel="00000000" w:rsidR="00000000" w:rsidRPr="00000000">
        <w:rPr>
          <w:rtl w:val="0"/>
        </w:rPr>
        <w:t xml:space="preserve"> By using metadata and structured heuristics, the system avoids expensive, high-volume LLM reasoning calls.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Defense:</w:t>
      </w:r>
      <w:r w:rsidDel="00000000" w:rsidR="00000000" w:rsidRPr="00000000">
        <w:rPr>
          <w:rtl w:val="0"/>
        </w:rPr>
        <w:t xml:space="preserve"> Every hiring decision is tied to a grounded, documented Master Case, mitigating risks under the </w:t>
      </w:r>
      <w:r w:rsidDel="00000000" w:rsidR="00000000" w:rsidRPr="00000000">
        <w:rPr>
          <w:b w:val="1"/>
          <w:bCs w:val="1"/>
          <w:rtl w:val="0"/>
        </w:rPr>
        <w:t xml:space="preserve">EU AI Act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India DPDP 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Top candidates (Green Tier &gt;75%) are identified and engaged in sub-800ms latencies, providing a massive competitive advantage in tight talent markets.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