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3B54" w14:textId="77777777" w:rsidR="007046B1" w:rsidRDefault="00000000" w:rsidP="00F1301F">
      <w:pPr>
        <w:spacing w:line="276" w:lineRule="auto"/>
        <w:jc w:val="both"/>
      </w:pPr>
      <w:r>
        <w:rPr>
          <w:b/>
          <w:sz w:val="28"/>
          <w:szCs w:val="28"/>
        </w:rPr>
        <w:t>Model Optimization and Tuning Phase Template</w:t>
      </w:r>
    </w:p>
    <w:p w14:paraId="654DFCA6" w14:textId="77777777" w:rsidR="007046B1" w:rsidRDefault="007046B1">
      <w:pPr>
        <w:spacing w:after="160" w:line="276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7046B1" w14:paraId="0CC12FAA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529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593" w14:textId="51DBE8FF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24 June 2025</w:t>
            </w:r>
          </w:p>
        </w:tc>
      </w:tr>
      <w:tr w:rsidR="007046B1" w14:paraId="60E04486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3644" w14:textId="6BC25D98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Team</w:t>
            </w:r>
            <w:r w:rsidR="009D59A9">
              <w:t xml:space="preserve">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0AB" w14:textId="4D4CB00A" w:rsidR="007046B1" w:rsidRPr="009D59A9" w:rsidRDefault="009D5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9D59A9">
              <w:t>178047</w:t>
            </w:r>
          </w:p>
        </w:tc>
      </w:tr>
      <w:tr w:rsidR="007046B1" w14:paraId="06A0BA00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1CF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F9B" w14:textId="3C01B69E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39BE">
              <w:t>Unemployed Insurance Beneficiary Forecasting</w:t>
            </w:r>
          </w:p>
        </w:tc>
      </w:tr>
      <w:tr w:rsidR="007046B1" w14:paraId="400C670C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99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F8D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 Marks</w:t>
            </w:r>
          </w:p>
        </w:tc>
      </w:tr>
    </w:tbl>
    <w:p w14:paraId="36DA16E5" w14:textId="77777777" w:rsidR="007046B1" w:rsidRDefault="007046B1" w:rsidP="00D75409">
      <w:pPr>
        <w:spacing w:after="160" w:line="276" w:lineRule="auto"/>
        <w:jc w:val="both"/>
      </w:pPr>
    </w:p>
    <w:p w14:paraId="67AD195E" w14:textId="77777777" w:rsidR="007046B1" w:rsidRDefault="00000000" w:rsidP="00D75409">
      <w:pPr>
        <w:spacing w:after="160" w:line="276" w:lineRule="auto"/>
        <w:jc w:val="both"/>
        <w:rPr>
          <w:b/>
        </w:rPr>
      </w:pPr>
      <w:r>
        <w:rPr>
          <w:b/>
        </w:rPr>
        <w:t>Model Optimization and Tuning Phase</w:t>
      </w:r>
    </w:p>
    <w:p w14:paraId="76B3249B" w14:textId="77777777" w:rsidR="007046B1" w:rsidRDefault="00000000" w:rsidP="00D75409">
      <w:pPr>
        <w:spacing w:after="160" w:line="276" w:lineRule="auto"/>
        <w:jc w:val="both"/>
      </w:pPr>
      <w: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1903901" w14:textId="77777777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bookmarkStart w:id="0" w:name="_j8g992p0mlw5" w:colFirst="0" w:colLast="0"/>
      <w:bookmarkEnd w:id="0"/>
      <w: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046B1" w:rsidRPr="00FE19D8" w14:paraId="3249A9D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7CE61" w14:textId="77777777" w:rsidR="007046B1" w:rsidRPr="00FE19D8" w:rsidRDefault="00000000">
            <w:pP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321B" w14:textId="77777777" w:rsidR="007046B1" w:rsidRPr="00FE19D8" w:rsidRDefault="00000000">
            <w:pP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31F7" w14:textId="77777777" w:rsidR="007046B1" w:rsidRPr="00FE19D8" w:rsidRDefault="00000000">
            <w:pP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Optimal Values</w:t>
            </w:r>
          </w:p>
        </w:tc>
      </w:tr>
      <w:tr w:rsidR="007046B1" w:rsidRPr="00FE19D8" w14:paraId="5B10E434" w14:textId="77777777" w:rsidTr="00F1301F">
        <w:trPr>
          <w:trHeight w:val="48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B601" w14:textId="72896188" w:rsidR="007046B1" w:rsidRPr="00FE19D8" w:rsidRDefault="00F1301F">
            <w:pPr>
              <w:spacing w:after="160" w:line="411" w:lineRule="auto"/>
            </w:pPr>
            <w:r w:rsidRPr="00FE19D8">
              <w:t>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209B" w14:textId="037A72D4" w:rsidR="007046B1" w:rsidRPr="00FE19D8" w:rsidRDefault="00F1301F">
            <w:pPr>
              <w:spacing w:after="160" w:line="411" w:lineRule="auto"/>
            </w:pPr>
            <w:r w:rsidRPr="00FE19D8">
              <w:t>p, d, q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E6D" w14:textId="21040D97" w:rsidR="007046B1" w:rsidRPr="00FE19D8" w:rsidRDefault="00F1301F">
            <w:pPr>
              <w:spacing w:after="160" w:line="411" w:lineRule="auto"/>
            </w:pPr>
            <w:r w:rsidRPr="00FE19D8">
              <w:t>(5, 0, 0)</w:t>
            </w:r>
          </w:p>
        </w:tc>
      </w:tr>
      <w:tr w:rsidR="007046B1" w:rsidRPr="00FE19D8" w14:paraId="31EF6E84" w14:textId="77777777" w:rsidTr="00F1301F">
        <w:trPr>
          <w:trHeight w:val="48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901C" w14:textId="474E67F0" w:rsidR="007046B1" w:rsidRPr="00FE19D8" w:rsidRDefault="00F1301F">
            <w:pPr>
              <w:spacing w:after="160" w:line="411" w:lineRule="auto"/>
            </w:pPr>
            <w:r w:rsidRPr="00FE19D8">
              <w:t>SARIMA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742" w14:textId="139D198F" w:rsidR="007046B1" w:rsidRPr="00FE19D8" w:rsidRDefault="00F1301F">
            <w:pPr>
              <w:spacing w:after="160" w:line="411" w:lineRule="auto"/>
            </w:pPr>
            <w:r w:rsidRPr="00FE19D8">
              <w:t>p, d, q, seasonal_order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7496" w14:textId="04AC6DC9" w:rsidR="007046B1" w:rsidRPr="00FE19D8" w:rsidRDefault="00F1301F" w:rsidP="00F1301F">
            <w:pPr>
              <w:spacing w:before="240" w:after="240"/>
              <w:rPr>
                <w:sz w:val="21"/>
                <w:szCs w:val="21"/>
              </w:rPr>
            </w:pPr>
            <w:r w:rsidRPr="00FE19D8">
              <w:rPr>
                <w:sz w:val="21"/>
                <w:szCs w:val="21"/>
              </w:rPr>
              <w:t>(5, 0, 0), (0, 1, 2, 3)</w:t>
            </w:r>
          </w:p>
        </w:tc>
      </w:tr>
      <w:tr w:rsidR="007046B1" w:rsidRPr="00FE19D8" w14:paraId="071189C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977E" w14:textId="5B2F0F5A" w:rsidR="007046B1" w:rsidRPr="00FE19D8" w:rsidRDefault="00F1301F">
            <w:pPr>
              <w:spacing w:after="160" w:line="411" w:lineRule="auto"/>
            </w:pPr>
            <w:r w:rsidRPr="00FE19D8">
              <w:t>AutoReg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98EF" w14:textId="0925BF1D" w:rsidR="007046B1" w:rsidRPr="00FE19D8" w:rsidRDefault="00F1301F">
            <w:pPr>
              <w:spacing w:after="160" w:line="411" w:lineRule="auto"/>
            </w:pPr>
            <w:r w:rsidRPr="00FE19D8">
              <w:t>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2B2" w14:textId="70C61BC9" w:rsidR="007046B1" w:rsidRPr="00FE19D8" w:rsidRDefault="00F1301F">
            <w:pPr>
              <w:spacing w:after="160" w:line="411" w:lineRule="auto"/>
            </w:pPr>
            <w:r w:rsidRPr="00FE19D8">
              <w:t>10</w:t>
            </w:r>
          </w:p>
        </w:tc>
      </w:tr>
      <w:tr w:rsidR="00F1301F" w:rsidRPr="00FE19D8" w14:paraId="6649B23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4B8E" w14:textId="3712353C" w:rsidR="00F1301F" w:rsidRPr="00FE19D8" w:rsidRDefault="00F1301F">
            <w:pPr>
              <w:spacing w:after="160" w:line="411" w:lineRule="auto"/>
            </w:pPr>
            <w:r w:rsidRPr="00FE19D8">
              <w:t>VAR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50D8" w14:textId="106D9305" w:rsidR="00F1301F" w:rsidRPr="00FE19D8" w:rsidRDefault="00F1301F">
            <w:pPr>
              <w:spacing w:after="160" w:line="411" w:lineRule="auto"/>
            </w:pPr>
            <w:r w:rsidRPr="00FE19D8">
              <w:t>maxlags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222C" w14:textId="1DB2E637" w:rsidR="00F1301F" w:rsidRPr="00FE19D8" w:rsidRDefault="00F1301F">
            <w:pPr>
              <w:spacing w:after="160" w:line="411" w:lineRule="auto"/>
            </w:pPr>
            <w:r w:rsidRPr="00FE19D8">
              <w:t>10</w:t>
            </w:r>
          </w:p>
        </w:tc>
      </w:tr>
      <w:tr w:rsidR="00F1301F" w:rsidRPr="00FE19D8" w14:paraId="0CAB2C0A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1B8E" w14:textId="6EC87055" w:rsidR="00F1301F" w:rsidRPr="00FE19D8" w:rsidRDefault="00F1301F">
            <w:pPr>
              <w:spacing w:after="160" w:line="411" w:lineRule="auto"/>
            </w:pPr>
            <w:r w:rsidRPr="00FE19D8">
              <w:t>Prophet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F167" w14:textId="18C81DA1" w:rsidR="00F1301F" w:rsidRPr="00FE19D8" w:rsidRDefault="00F1301F">
            <w:pPr>
              <w:spacing w:after="160" w:line="411" w:lineRule="auto"/>
            </w:pPr>
            <w:r w:rsidRPr="00FE19D8">
              <w:t>NA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B596" w14:textId="06CC92A5" w:rsidR="00F1301F" w:rsidRPr="00FE19D8" w:rsidRDefault="00F1301F">
            <w:pPr>
              <w:spacing w:after="160" w:line="411" w:lineRule="auto"/>
            </w:pPr>
            <w:r w:rsidRPr="00FE19D8">
              <w:t>Default (no tuning)</w:t>
            </w:r>
          </w:p>
        </w:tc>
      </w:tr>
    </w:tbl>
    <w:p w14:paraId="5C39FF81" w14:textId="375CA04F" w:rsidR="00203F4E" w:rsidRDefault="00203F4E">
      <w:pPr>
        <w:widowControl w:val="0"/>
      </w:pPr>
      <w:bookmarkStart w:id="1" w:name="_lif9zc7yqlae" w:colFirst="0" w:colLast="0"/>
      <w:bookmarkEnd w:id="1"/>
    </w:p>
    <w:p w14:paraId="5C40A73C" w14:textId="5572428E" w:rsidR="00F1301F" w:rsidRDefault="00203F4E">
      <w:pPr>
        <w:widowControl w:val="0"/>
      </w:pPr>
      <w:r>
        <w:br w:type="page"/>
      </w:r>
    </w:p>
    <w:p w14:paraId="78AB474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lastRenderedPageBreak/>
        <w:t>ARIMA (p, d, q):</w:t>
      </w:r>
    </w:p>
    <w:p w14:paraId="5DD9FB4E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p: Number of autoregressive terms (how many past values are used for prediction).</w:t>
      </w:r>
    </w:p>
    <w:p w14:paraId="0E8AC611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d: Number of times the data is differenced to achieve stationarity.</w:t>
      </w:r>
    </w:p>
    <w:p w14:paraId="7CDD2E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q: Number of moving average terms (how many past forecast errors are used).</w:t>
      </w:r>
    </w:p>
    <w:p w14:paraId="4C584F66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SARIMA (p, d, q, seasonal_order):</w:t>
      </w:r>
    </w:p>
    <w:p w14:paraId="72EAE46D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p, d, q: Same as ARIMA, applied to the non-seasonal part.</w:t>
      </w:r>
    </w:p>
    <w:p w14:paraId="384A2A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seasonal_order (P, D, Q, s):</w:t>
      </w:r>
    </w:p>
    <w:p w14:paraId="1057CD77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P: Seasonal autoregressive terms.</w:t>
      </w:r>
    </w:p>
    <w:p w14:paraId="1372186A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D: Seasonal differencing.</w:t>
      </w:r>
    </w:p>
    <w:p w14:paraId="1B1F473E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Q: Seasonal moving average terms.</w:t>
      </w:r>
    </w:p>
    <w:p w14:paraId="19FCD9DC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s: Length of the seasonal cycle (e.g., 12 for monthly data with yearly seasonality).</w:t>
      </w:r>
    </w:p>
    <w:p w14:paraId="143E999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AutoReg (lags):</w:t>
      </w:r>
    </w:p>
    <w:p w14:paraId="40966F4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lags: Number of previous time steps used as input features for forecasting.</w:t>
      </w:r>
    </w:p>
    <w:p w14:paraId="6637A638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VAR (maxlags):</w:t>
      </w:r>
    </w:p>
    <w:p w14:paraId="7FF0B1B8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maxlags: Maximum number of previous time steps considered for all variables in the multivariate time series.</w:t>
      </w:r>
    </w:p>
    <w:p w14:paraId="4FDED7F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Prophet:</w:t>
      </w:r>
    </w:p>
    <w:p w14:paraId="745282E2" w14:textId="36C81F93" w:rsidR="006363CC" w:rsidRPr="00FE19D8" w:rsidRDefault="00203F4E" w:rsidP="006363CC">
      <w:pPr>
        <w:widowControl w:val="0"/>
        <w:numPr>
          <w:ilvl w:val="1"/>
          <w:numId w:val="1"/>
        </w:numPr>
      </w:pPr>
      <w:r w:rsidRPr="00FE19D8">
        <w:t>No hyperparameters were tuned in this workflow; default settings were used.</w:t>
      </w:r>
    </w:p>
    <w:p w14:paraId="0553C569" w14:textId="77777777" w:rsidR="006363CC" w:rsidRPr="006363CC" w:rsidRDefault="006363CC" w:rsidP="006363CC">
      <w:pPr>
        <w:widowControl w:val="0"/>
      </w:pPr>
    </w:p>
    <w:p w14:paraId="46DE8AF4" w14:textId="6C142771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577"/>
        <w:gridCol w:w="3803"/>
      </w:tblGrid>
      <w:tr w:rsidR="00F1301F" w:rsidRPr="00FE19D8" w14:paraId="3E6BEBE7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B0F7C" w14:textId="796C4597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Model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1CA74" w14:textId="4FCC917A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Baseline Metric (MSE/MAE/R2)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0925F" w14:textId="77777777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Optimized Metric</w:t>
            </w:r>
          </w:p>
        </w:tc>
      </w:tr>
      <w:tr w:rsidR="00F1301F" w:rsidRPr="00FE19D8" w14:paraId="201207E1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AD31" w14:textId="49B6ACD0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8DA14" w14:textId="6A63F891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2DF6B" w14:textId="74C2B61F" w:rsidR="00F1301F" w:rsidRPr="00FE19D8" w:rsidRDefault="00F1301F" w:rsidP="00F1301F">
            <w:pPr>
              <w:spacing w:before="240" w:after="240"/>
            </w:pPr>
            <w:r w:rsidRPr="00FE19D8">
              <w:t>MSE: 102,763,733.35</w:t>
            </w:r>
            <w:r w:rsidRPr="00FE19D8">
              <w:br/>
              <w:t>MAE: 5,691.37</w:t>
            </w:r>
            <w:r w:rsidRPr="00FE19D8">
              <w:br/>
              <w:t>R2: -8.18e-05</w:t>
            </w:r>
          </w:p>
        </w:tc>
      </w:tr>
      <w:tr w:rsidR="00F1301F" w:rsidRPr="00FE19D8" w14:paraId="729F926A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8289" w14:textId="00108441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SARIMA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E4EB" w14:textId="0B15513E" w:rsidR="00F1301F" w:rsidRPr="00FE19D8" w:rsidRDefault="00F1301F" w:rsidP="00F1301F">
            <w:pPr>
              <w:spacing w:before="240" w:after="240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DC4B1" w14:textId="61DB2714" w:rsidR="00F1301F" w:rsidRPr="00FE19D8" w:rsidRDefault="00F1301F" w:rsidP="00F1301F">
            <w:pPr>
              <w:spacing w:before="240" w:after="240"/>
            </w:pPr>
            <w:r w:rsidRPr="00FE19D8">
              <w:t>MSE: 103,</w:t>
            </w:r>
            <w:r w:rsidR="003576B7" w:rsidRPr="00FE19D8">
              <w:t>407,466.65</w:t>
            </w:r>
            <w:r w:rsidRPr="00FE19D8">
              <w:br/>
              <w:t>MAE: 5,8</w:t>
            </w:r>
            <w:r w:rsidR="003576B7" w:rsidRPr="00FE19D8">
              <w:t>33</w:t>
            </w:r>
            <w:r w:rsidRPr="00FE19D8">
              <w:t>.0</w:t>
            </w:r>
            <w:r w:rsidR="003576B7" w:rsidRPr="00FE19D8">
              <w:t>8</w:t>
            </w:r>
            <w:r w:rsidRPr="00FE19D8">
              <w:br/>
              <w:t>R2: NA</w:t>
            </w:r>
          </w:p>
        </w:tc>
      </w:tr>
      <w:tr w:rsidR="00F1301F" w:rsidRPr="00FE19D8" w14:paraId="7722845C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5E47" w14:textId="023CC4AC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AutoReg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7CE16" w14:textId="35EA2856" w:rsidR="00F1301F" w:rsidRPr="00FE19D8" w:rsidRDefault="00F1301F" w:rsidP="00F1301F">
            <w:pPr>
              <w:spacing w:before="240" w:after="240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9EDC0" w14:textId="37314E61" w:rsidR="00F1301F" w:rsidRPr="00FE19D8" w:rsidRDefault="00F1301F" w:rsidP="00F1301F">
            <w:pPr>
              <w:spacing w:before="240" w:after="240"/>
            </w:pPr>
            <w:r w:rsidRPr="00FE19D8">
              <w:t>MSE: 102,771,796.73</w:t>
            </w:r>
            <w:r w:rsidRPr="00FE19D8">
              <w:br/>
              <w:t>MAE: 5</w:t>
            </w:r>
            <w:r w:rsidR="002C456F" w:rsidRPr="00FE19D8">
              <w:t>,692</w:t>
            </w:r>
            <w:r w:rsidRPr="00FE19D8">
              <w:t>.</w:t>
            </w:r>
            <w:r w:rsidR="002C456F" w:rsidRPr="00FE19D8">
              <w:t>99</w:t>
            </w:r>
            <w:r w:rsidRPr="00FE19D8">
              <w:br/>
              <w:t>R2: NA</w:t>
            </w:r>
          </w:p>
        </w:tc>
      </w:tr>
      <w:tr w:rsidR="00F1301F" w:rsidRPr="00FE19D8" w14:paraId="2C4715DD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107" w14:textId="3E1E78D5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lastRenderedPageBreak/>
              <w:t>VAR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781C" w14:textId="4D529506" w:rsidR="00F1301F" w:rsidRPr="00FE19D8" w:rsidRDefault="00F1301F" w:rsidP="00F1301F">
            <w:pPr>
              <w:spacing w:before="240" w:after="240"/>
            </w:pPr>
            <w:r w:rsidRPr="00FE19D8">
              <w:t>MSE: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9327" w14:textId="65AFC0ED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NA</w:t>
            </w:r>
          </w:p>
        </w:tc>
      </w:tr>
      <w:tr w:rsidR="00F1301F" w:rsidRPr="00FE19D8" w14:paraId="5B4FB845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92F5" w14:textId="1C5D0935" w:rsidR="00F1301F" w:rsidRPr="00FE19D8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E19D8">
              <w:t>Prophet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7B2D" w14:textId="7722C08D" w:rsidR="00F1301F" w:rsidRPr="00FE19D8" w:rsidRDefault="00F1301F" w:rsidP="00F1301F">
            <w:pPr>
              <w:spacing w:before="240" w:after="240"/>
            </w:pPr>
            <w:r w:rsidRPr="00FE19D8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2EC2" w14:textId="508F11DA" w:rsidR="00F1301F" w:rsidRPr="00FE19D8" w:rsidRDefault="00F1301F" w:rsidP="00F1301F">
            <w:pPr>
              <w:spacing w:before="240" w:after="240"/>
            </w:pPr>
            <w:r w:rsidRPr="00FE19D8">
              <w:t xml:space="preserve">MSE: </w:t>
            </w:r>
            <w:r w:rsidR="003576B7" w:rsidRPr="00FE19D8">
              <w:t>49,080,877.3</w:t>
            </w:r>
            <w:r w:rsidR="003576B7" w:rsidRPr="00FE19D8">
              <w:br/>
            </w:r>
            <w:r w:rsidRPr="00FE19D8">
              <w:t xml:space="preserve">MAE: </w:t>
            </w:r>
            <w:r w:rsidR="003576B7" w:rsidRPr="00FE19D8">
              <w:t>4,541</w:t>
            </w:r>
            <w:r w:rsidRPr="00FE19D8">
              <w:t>.</w:t>
            </w:r>
            <w:r w:rsidR="003576B7" w:rsidRPr="00FE19D8">
              <w:t>66</w:t>
            </w:r>
            <w:r w:rsidRPr="00FE19D8">
              <w:br/>
              <w:t xml:space="preserve">R2: </w:t>
            </w:r>
            <w:r w:rsidR="003576B7" w:rsidRPr="00FE19D8">
              <w:t>0.003</w:t>
            </w:r>
          </w:p>
        </w:tc>
      </w:tr>
    </w:tbl>
    <w:p w14:paraId="75A74CEB" w14:textId="3F9EA3C3" w:rsidR="00F1301F" w:rsidRP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 w:rsidRPr="00FE19D8">
        <w:rPr>
          <w:i/>
          <w:iCs/>
          <w:u w:val="single"/>
        </w:rPr>
        <w:t>Note</w:t>
      </w:r>
      <w:r w:rsidRPr="00F1301F">
        <w:rPr>
          <w:i/>
          <w:iCs/>
        </w:rPr>
        <w:t>: Baseline metrics are marked NA as only optimized models were evaluated in this workflow. R2 is not always applicable for all models, especially for multivariate or differenced series</w:t>
      </w:r>
      <w:bookmarkStart w:id="2" w:name="_icba2z55xfq0" w:colFirst="0" w:colLast="0"/>
      <w:bookmarkEnd w:id="2"/>
      <w:r w:rsidR="006363CC">
        <w:rPr>
          <w:i/>
          <w:iCs/>
        </w:rPr>
        <w:t>.</w:t>
      </w:r>
    </w:p>
    <w:p w14:paraId="66BE4CDB" w14:textId="77777777" w:rsidR="006363CC" w:rsidRDefault="006363CC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</w:pPr>
    </w:p>
    <w:p w14:paraId="7806EDBA" w14:textId="43FD47F5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046B1" w:rsidRPr="00FE19D8" w14:paraId="70C02172" w14:textId="77777777" w:rsidTr="00D75409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AEB96" w14:textId="77777777" w:rsidR="007046B1" w:rsidRPr="00FE19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CAC70" w14:textId="77777777" w:rsidR="007046B1" w:rsidRPr="00FE19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 w:rsidRPr="00FE19D8">
              <w:rPr>
                <w:b/>
              </w:rPr>
              <w:t>Reasoning</w:t>
            </w:r>
          </w:p>
        </w:tc>
      </w:tr>
      <w:tr w:rsidR="007046B1" w:rsidRPr="00FE19D8" w14:paraId="1FAF6405" w14:textId="77777777" w:rsidTr="00D75409">
        <w:trPr>
          <w:trHeight w:val="20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BA117" w14:textId="77777777" w:rsidR="007046B1" w:rsidRPr="00FE19D8" w:rsidRDefault="00F1301F">
            <w:pPr>
              <w:spacing w:after="160" w:line="411" w:lineRule="auto"/>
            </w:pPr>
            <w:r w:rsidRPr="00FE19D8">
              <w:t>Prophet</w:t>
            </w:r>
          </w:p>
          <w:p w14:paraId="15D00DAD" w14:textId="5BA5C702" w:rsidR="00D75409" w:rsidRPr="00FE19D8" w:rsidRDefault="00D75409">
            <w:pPr>
              <w:spacing w:after="160" w:line="411" w:lineRule="auto"/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51AE" w14:textId="2B5F3DE8" w:rsidR="007046B1" w:rsidRPr="00FE19D8" w:rsidRDefault="00F1301F" w:rsidP="00D75409">
            <w:pPr>
              <w:spacing w:before="240" w:after="240"/>
              <w:jc w:val="both"/>
              <w:rPr>
                <w:sz w:val="21"/>
                <w:szCs w:val="21"/>
              </w:rPr>
            </w:pPr>
            <w:r w:rsidRPr="00FE19D8">
              <w:t xml:space="preserve">Prophet achieved the lowest MSE and MAE among all tested models, indicating better predictive accuracy. It also handled trends and seasonality automatically, required minimal tuning, and provided interpretable forecasts. Despite </w:t>
            </w:r>
            <w:r w:rsidR="00C05CE6" w:rsidRPr="00FE19D8">
              <w:t>the</w:t>
            </w:r>
            <w:r w:rsidRPr="00FE19D8">
              <w:t xml:space="preserve"> R2</w:t>
            </w:r>
            <w:r w:rsidR="00C05CE6" w:rsidRPr="00FE19D8">
              <w:t xml:space="preserve"> score</w:t>
            </w:r>
            <w:r w:rsidRPr="00FE19D8">
              <w:t>, its absolute error metrics were superior, making it the most suitable choice for this forecasting task.</w:t>
            </w:r>
          </w:p>
        </w:tc>
      </w:tr>
    </w:tbl>
    <w:p w14:paraId="269CC532" w14:textId="77777777" w:rsidR="007046B1" w:rsidRDefault="007046B1">
      <w:pPr>
        <w:spacing w:after="160" w:line="276" w:lineRule="auto"/>
      </w:pPr>
    </w:p>
    <w:sectPr w:rsidR="007046B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CFE86" w14:textId="77777777" w:rsidR="00A84E5A" w:rsidRDefault="00A84E5A">
      <w:r>
        <w:separator/>
      </w:r>
    </w:p>
  </w:endnote>
  <w:endnote w:type="continuationSeparator" w:id="0">
    <w:p w14:paraId="354C8D0F" w14:textId="77777777" w:rsidR="00A84E5A" w:rsidRDefault="00A8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3F421" w14:textId="77777777" w:rsidR="00A84E5A" w:rsidRDefault="00A84E5A">
      <w:r>
        <w:separator/>
      </w:r>
    </w:p>
  </w:footnote>
  <w:footnote w:type="continuationSeparator" w:id="0">
    <w:p w14:paraId="795E3018" w14:textId="77777777" w:rsidR="00A84E5A" w:rsidRDefault="00A8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C054" w14:textId="77777777" w:rsidR="007046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698E2" wp14:editId="1A73F3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5B5BA0" wp14:editId="64D6F68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85D9D" w14:textId="77777777" w:rsidR="007046B1" w:rsidRDefault="007046B1"/>
  <w:p w14:paraId="71AC16B1" w14:textId="77777777" w:rsidR="007046B1" w:rsidRDefault="00704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3BAB"/>
    <w:multiLevelType w:val="multilevel"/>
    <w:tmpl w:val="BD4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5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B1"/>
    <w:rsid w:val="00163617"/>
    <w:rsid w:val="00203F4E"/>
    <w:rsid w:val="002C456F"/>
    <w:rsid w:val="00306ABF"/>
    <w:rsid w:val="003576B7"/>
    <w:rsid w:val="00374034"/>
    <w:rsid w:val="00447919"/>
    <w:rsid w:val="006363CC"/>
    <w:rsid w:val="007046B1"/>
    <w:rsid w:val="00725290"/>
    <w:rsid w:val="00726D01"/>
    <w:rsid w:val="007A6A0D"/>
    <w:rsid w:val="0080621C"/>
    <w:rsid w:val="00886445"/>
    <w:rsid w:val="009D59A9"/>
    <w:rsid w:val="00A73A32"/>
    <w:rsid w:val="00A84E5A"/>
    <w:rsid w:val="00AD2B25"/>
    <w:rsid w:val="00B739BE"/>
    <w:rsid w:val="00C05CE6"/>
    <w:rsid w:val="00D2762B"/>
    <w:rsid w:val="00D75409"/>
    <w:rsid w:val="00E74B7D"/>
    <w:rsid w:val="00F1301F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145"/>
  <w15:docId w15:val="{4DFC92B1-9AC1-4ADA-A33F-8186F35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B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B7"/>
    <w:rPr>
      <w:rFonts w:ascii="Consolas" w:eastAsia="Times New Roman" w:hAnsi="Consolas" w:cs="Times New Roman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3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9</cp:revision>
  <dcterms:created xsi:type="dcterms:W3CDTF">2025-07-04T08:44:00Z</dcterms:created>
  <dcterms:modified xsi:type="dcterms:W3CDTF">2025-07-10T06:33:00Z</dcterms:modified>
</cp:coreProperties>
</file>