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8A02C" w14:textId="77777777" w:rsidR="00F47A54" w:rsidRDefault="00000000" w:rsidP="00F47A54">
      <w:pPr>
        <w:spacing w:after="220" w:line="480" w:lineRule="auto"/>
        <w:ind w:left="-630" w:right="-720"/>
        <w:jc w:val="center"/>
        <w:rPr>
          <w:b/>
          <w:color w:val="111111"/>
          <w:sz w:val="40"/>
          <w:szCs w:val="40"/>
          <w:u w:val="single"/>
        </w:rPr>
      </w:pPr>
      <w:r w:rsidRPr="00F47A54">
        <w:rPr>
          <w:b/>
          <w:color w:val="111111"/>
          <w:sz w:val="40"/>
          <w:szCs w:val="40"/>
          <w:u w:val="single"/>
        </w:rPr>
        <w:t>Ferrari: The 2015 Initial Public Offering</w:t>
      </w:r>
    </w:p>
    <w:p w14:paraId="7150702A" w14:textId="7A11E845" w:rsidR="00D65375" w:rsidRPr="00F47A54" w:rsidRDefault="00000000" w:rsidP="00F47A54">
      <w:pPr>
        <w:spacing w:after="220" w:line="480" w:lineRule="auto"/>
        <w:ind w:left="-630" w:right="-720"/>
        <w:jc w:val="center"/>
        <w:rPr>
          <w:b/>
          <w:color w:val="111111"/>
          <w:sz w:val="40"/>
          <w:szCs w:val="40"/>
          <w:u w:val="single"/>
        </w:rPr>
      </w:pPr>
      <w:r w:rsidRPr="00F47A54">
        <w:rPr>
          <w:rFonts w:ascii="Times New Roman" w:eastAsia="Times New Roman" w:hAnsi="Times New Roman" w:cs="Times New Roman"/>
          <w:b/>
          <w:sz w:val="30"/>
          <w:szCs w:val="30"/>
          <w:u w:val="single"/>
        </w:rPr>
        <w:t>Executive Summary</w:t>
      </w:r>
    </w:p>
    <w:p w14:paraId="4C090DF3" w14:textId="772C15E2" w:rsidR="002F261B" w:rsidRDefault="00000000">
      <w:pPr>
        <w:spacing w:after="220" w:line="480" w:lineRule="auto"/>
        <w:ind w:left="-630" w:right="-720"/>
        <w:jc w:val="both"/>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The Ferrari case study evaluates the initial IPO offering of Ferrari NV(Ferrari) which is owned by the parent company Fiat Chrysler Automobiles NV (FCA). FCA was the world's seventh largest manufacturer with several brands under its umbrella such as Alfa Romeo, Chrysler, Dodge, Fiat, and Maserati to name a few. In the years leading up to the decision of the IPO, Sergio Marchionne the CEO of both Ferrari and FCA, decided to set up Ferrari into an independently traded company and list 10% of its shares on the New York Stock Exchange (NYSE) with ticker symbol RACE. The plan was for FCA to sell 17.175 million shares in an IPO, with earnings going to FCA. Soon thereafter, FCA would spin off 80% of Ferrari stock it held, distributing the value to FCA shareholders as a stock dividend. At this point, 90% of Ferrari’s shares would be publicly traded as 10% would be retained by the Ferrari family. </w:t>
      </w:r>
    </w:p>
    <w:p w14:paraId="12690476" w14:textId="1787B066" w:rsidR="002F261B" w:rsidRDefault="00000000" w:rsidP="00D65375">
      <w:pPr>
        <w:spacing w:after="220" w:line="480" w:lineRule="auto"/>
        <w:ind w:left="-630" w:right="-720" w:firstLine="1350"/>
        <w:jc w:val="both"/>
        <w:rPr>
          <w:rFonts w:ascii="Times New Roman" w:eastAsia="Times New Roman" w:hAnsi="Times New Roman" w:cs="Times New Roman"/>
        </w:rPr>
      </w:pPr>
      <w:r>
        <w:rPr>
          <w:rFonts w:ascii="Times New Roman" w:eastAsia="Times New Roman" w:hAnsi="Times New Roman" w:cs="Times New Roman"/>
        </w:rPr>
        <w:t xml:space="preserve">There are several factors that contributed towards this decision as it was assumed to have a positive impact for both companies. The prominent reason was that the initial cash proceeds from the sale of shares will be transferred to FCA. Furthermore, FCA will be able to transfer some of its debt to Ferrari. Secondly, the goal was to provide direct access to equity and debt capital to Ferrari. Thirdly, Ferrari will be able to venture further into the market of luxury goods such as apparel and accessories comparable to premium apparel brands such as LVMH and Hermes International. Lastly, the assumption was that if both companies were separated and traded in the market as separate entities, </w:t>
      </w:r>
      <w:r w:rsidR="00D65375">
        <w:rPr>
          <w:rFonts w:ascii="Times New Roman" w:eastAsia="Times New Roman" w:hAnsi="Times New Roman" w:cs="Times New Roman"/>
        </w:rPr>
        <w:t>both</w:t>
      </w:r>
      <w:r>
        <w:rPr>
          <w:rFonts w:ascii="Times New Roman" w:eastAsia="Times New Roman" w:hAnsi="Times New Roman" w:cs="Times New Roman"/>
        </w:rPr>
        <w:t xml:space="preserve"> would trade at much higher prices. If we look at Ferrari, it falls under the super luxury segment because of higher prices and limited supply along with the exceptional performance of its vehicles. </w:t>
      </w:r>
    </w:p>
    <w:p w14:paraId="79C4A51E" w14:textId="02564D0E" w:rsidR="00813587" w:rsidRDefault="00000000" w:rsidP="00D65375">
      <w:pPr>
        <w:spacing w:line="480" w:lineRule="auto"/>
        <w:ind w:left="-630" w:right="-720" w:firstLine="1350"/>
        <w:jc w:val="both"/>
        <w:rPr>
          <w:rFonts w:ascii="Times New Roman" w:eastAsia="Times New Roman" w:hAnsi="Times New Roman" w:cs="Times New Roman"/>
        </w:rPr>
      </w:pPr>
      <w:r>
        <w:rPr>
          <w:rFonts w:ascii="Times New Roman" w:eastAsia="Times New Roman" w:hAnsi="Times New Roman" w:cs="Times New Roman"/>
        </w:rPr>
        <w:t xml:space="preserve">Therefore, in the calculation of Multiples and DCF we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account for both the comparable automotive companies and luxury brands because technically Ferrari is part of both sectors. </w:t>
      </w:r>
    </w:p>
    <w:p w14:paraId="0BAF46A4" w14:textId="110C3147" w:rsidR="00D65375" w:rsidRDefault="00D65375" w:rsidP="00D65375">
      <w:pPr>
        <w:spacing w:line="480" w:lineRule="auto"/>
        <w:ind w:left="-630" w:right="-720"/>
        <w:jc w:val="both"/>
        <w:rPr>
          <w:rFonts w:ascii="Times New Roman" w:eastAsia="Times New Roman" w:hAnsi="Times New Roman" w:cs="Times New Roman"/>
        </w:rPr>
      </w:pPr>
    </w:p>
    <w:p w14:paraId="5A2D08E5" w14:textId="77777777" w:rsidR="00D65375" w:rsidRDefault="00D65375" w:rsidP="00D65375">
      <w:pPr>
        <w:spacing w:line="480" w:lineRule="auto"/>
        <w:ind w:left="-630" w:right="-720"/>
        <w:jc w:val="both"/>
        <w:rPr>
          <w:rFonts w:ascii="Times New Roman" w:eastAsia="Times New Roman" w:hAnsi="Times New Roman" w:cs="Times New Roman"/>
        </w:rPr>
      </w:pPr>
    </w:p>
    <w:p w14:paraId="536FBCA5" w14:textId="77777777" w:rsidR="00F47A54" w:rsidRDefault="00F47A54" w:rsidP="00D65375">
      <w:pPr>
        <w:spacing w:after="220" w:line="480" w:lineRule="auto"/>
        <w:ind w:left="-630" w:right="-720" w:firstLine="1710"/>
        <w:jc w:val="both"/>
        <w:rPr>
          <w:rFonts w:ascii="Times New Roman" w:eastAsia="Times New Roman" w:hAnsi="Times New Roman" w:cs="Times New Roman"/>
          <w:b/>
          <w:color w:val="111111"/>
          <w:u w:val="single"/>
        </w:rPr>
      </w:pPr>
    </w:p>
    <w:p w14:paraId="04E44FA3" w14:textId="77777777" w:rsidR="00F47A54" w:rsidRDefault="00F47A54" w:rsidP="00D65375">
      <w:pPr>
        <w:spacing w:after="220" w:line="480" w:lineRule="auto"/>
        <w:ind w:left="-630" w:right="-720" w:firstLine="1710"/>
        <w:jc w:val="both"/>
        <w:rPr>
          <w:rFonts w:ascii="Times New Roman" w:eastAsia="Times New Roman" w:hAnsi="Times New Roman" w:cs="Times New Roman"/>
          <w:b/>
          <w:color w:val="111111"/>
          <w:u w:val="single"/>
        </w:rPr>
      </w:pPr>
    </w:p>
    <w:p w14:paraId="691D663B" w14:textId="3662BC73" w:rsidR="00D65375" w:rsidRPr="00F47A54" w:rsidRDefault="00000000" w:rsidP="00D65375">
      <w:pPr>
        <w:spacing w:after="220" w:line="480" w:lineRule="auto"/>
        <w:ind w:left="-630" w:right="-720" w:firstLine="1710"/>
        <w:jc w:val="both"/>
        <w:rPr>
          <w:rFonts w:ascii="Times New Roman" w:eastAsia="Times New Roman" w:hAnsi="Times New Roman" w:cs="Times New Roman"/>
          <w:b/>
          <w:color w:val="111111"/>
          <w:sz w:val="24"/>
          <w:szCs w:val="24"/>
          <w:u w:val="single"/>
        </w:rPr>
      </w:pPr>
      <w:r w:rsidRPr="00F47A54">
        <w:rPr>
          <w:rFonts w:ascii="Times New Roman" w:eastAsia="Times New Roman" w:hAnsi="Times New Roman" w:cs="Times New Roman"/>
          <w:b/>
          <w:color w:val="111111"/>
          <w:sz w:val="24"/>
          <w:szCs w:val="24"/>
          <w:u w:val="single"/>
        </w:rPr>
        <w:t>Valuation Analysis: Unveiling Ferrari's Market Worth using Multiple Approach</w:t>
      </w:r>
      <w:r w:rsidR="00D65375" w:rsidRPr="00F47A54">
        <w:rPr>
          <w:rFonts w:ascii="Times New Roman" w:eastAsia="Times New Roman" w:hAnsi="Times New Roman" w:cs="Times New Roman"/>
          <w:b/>
          <w:color w:val="111111"/>
          <w:sz w:val="24"/>
          <w:szCs w:val="24"/>
          <w:u w:val="single"/>
        </w:rPr>
        <w:t xml:space="preserve"> </w:t>
      </w:r>
    </w:p>
    <w:p w14:paraId="02EA5110" w14:textId="28EC2957" w:rsidR="002F261B" w:rsidRPr="00F47A54" w:rsidRDefault="00D65375" w:rsidP="00D65375">
      <w:pPr>
        <w:spacing w:after="220" w:line="480" w:lineRule="auto"/>
        <w:ind w:left="-630" w:right="-720"/>
        <w:jc w:val="both"/>
        <w:rPr>
          <w:rFonts w:ascii="Times New Roman" w:eastAsia="Times New Roman" w:hAnsi="Times New Roman" w:cs="Times New Roman"/>
          <w:b/>
          <w:color w:val="111111"/>
          <w:sz w:val="24"/>
          <w:szCs w:val="24"/>
          <w:u w:val="single"/>
        </w:rPr>
      </w:pPr>
      <w:r w:rsidRPr="00F47A54">
        <w:rPr>
          <w:rFonts w:ascii="Times New Roman" w:eastAsia="Times New Roman" w:hAnsi="Times New Roman" w:cs="Times New Roman"/>
          <w:sz w:val="24"/>
          <w:szCs w:val="24"/>
        </w:rPr>
        <w:t xml:space="preserve">To determine the valuation of Ferrari, a multiple approach was used while </w:t>
      </w:r>
      <w:proofErr w:type="gramStart"/>
      <w:r w:rsidRPr="00F47A54">
        <w:rPr>
          <w:rFonts w:ascii="Times New Roman" w:eastAsia="Times New Roman" w:hAnsi="Times New Roman" w:cs="Times New Roman"/>
          <w:sz w:val="24"/>
          <w:szCs w:val="24"/>
        </w:rPr>
        <w:t>taking into account</w:t>
      </w:r>
      <w:proofErr w:type="gramEnd"/>
      <w:r w:rsidRPr="00F47A54">
        <w:rPr>
          <w:rFonts w:ascii="Times New Roman" w:eastAsia="Times New Roman" w:hAnsi="Times New Roman" w:cs="Times New Roman"/>
          <w:sz w:val="24"/>
          <w:szCs w:val="24"/>
        </w:rPr>
        <w:t xml:space="preserve"> pertinent comparable luxury and automotive brands. The selection of multiples and </w:t>
      </w:r>
      <w:r w:rsidR="00813587" w:rsidRPr="00F47A54">
        <w:rPr>
          <w:rFonts w:ascii="Times New Roman" w:eastAsia="Times New Roman" w:hAnsi="Times New Roman" w:cs="Times New Roman"/>
          <w:sz w:val="24"/>
          <w:szCs w:val="24"/>
        </w:rPr>
        <w:t>comparable</w:t>
      </w:r>
      <w:r w:rsidRPr="00F47A54">
        <w:rPr>
          <w:rFonts w:ascii="Times New Roman" w:eastAsia="Times New Roman" w:hAnsi="Times New Roman" w:cs="Times New Roman"/>
          <w:sz w:val="24"/>
          <w:szCs w:val="24"/>
        </w:rPr>
        <w:t xml:space="preserve"> was made with Ferrari's distinct status as a luxury automaker in mind. The following explanations explain why this strategy is especially applicable to the Ferrari case study:</w:t>
      </w:r>
    </w:p>
    <w:p w14:paraId="5CE2DFD6" w14:textId="06B20E5B" w:rsidR="00D65375" w:rsidRPr="00F47A54" w:rsidRDefault="00000000" w:rsidP="00FD1237">
      <w:pPr>
        <w:numPr>
          <w:ilvl w:val="0"/>
          <w:numId w:val="1"/>
        </w:numPr>
        <w:spacing w:line="480" w:lineRule="auto"/>
        <w:ind w:left="-630" w:right="-720" w:firstLine="0"/>
        <w:jc w:val="both"/>
        <w:rPr>
          <w:rFonts w:ascii="Times New Roman" w:eastAsia="Times New Roman" w:hAnsi="Times New Roman" w:cs="Times New Roman"/>
          <w:sz w:val="24"/>
          <w:szCs w:val="24"/>
        </w:rPr>
      </w:pPr>
      <w:r w:rsidRPr="00F47A54">
        <w:rPr>
          <w:rFonts w:ascii="Times New Roman" w:eastAsia="Times New Roman" w:hAnsi="Times New Roman" w:cs="Times New Roman"/>
          <w:b/>
          <w:sz w:val="24"/>
          <w:szCs w:val="24"/>
        </w:rPr>
        <w:t>Selection of Comparable Automotive Companies:</w:t>
      </w:r>
      <w:r w:rsidRPr="00F47A54">
        <w:rPr>
          <w:rFonts w:ascii="Times New Roman" w:eastAsia="Times New Roman" w:hAnsi="Times New Roman" w:cs="Times New Roman"/>
          <w:sz w:val="24"/>
          <w:szCs w:val="24"/>
        </w:rPr>
        <w:t xml:space="preserve"> The analysis considered BMW and Daimler, the parent firm of Mercedes-Benz, </w:t>
      </w:r>
      <w:r w:rsidR="00D65375" w:rsidRPr="00F47A54">
        <w:rPr>
          <w:rFonts w:ascii="Times New Roman" w:hAnsi="Times New Roman" w:cs="Times New Roman"/>
          <w:color w:val="000000"/>
          <w:sz w:val="24"/>
          <w:szCs w:val="24"/>
        </w:rPr>
        <w:t xml:space="preserve">as the two companies which are most similar in terms of their business models as they share Ferrari's positioning and line of products in the luxury market. These companies present a more accurate </w:t>
      </w:r>
      <w:proofErr w:type="gramStart"/>
      <w:r w:rsidR="00D65375" w:rsidRPr="00F47A54">
        <w:rPr>
          <w:rFonts w:ascii="Times New Roman" w:hAnsi="Times New Roman" w:cs="Times New Roman"/>
          <w:color w:val="000000"/>
          <w:sz w:val="24"/>
          <w:szCs w:val="24"/>
        </w:rPr>
        <w:t>picture  of</w:t>
      </w:r>
      <w:proofErr w:type="gramEnd"/>
      <w:r w:rsidR="00D65375" w:rsidRPr="00F47A54">
        <w:rPr>
          <w:rFonts w:ascii="Times New Roman" w:hAnsi="Times New Roman" w:cs="Times New Roman"/>
          <w:color w:val="000000"/>
          <w:sz w:val="24"/>
          <w:szCs w:val="24"/>
        </w:rPr>
        <w:t xml:space="preserve"> Ferrari's possible market worth by using the valuation multiples of these companies. </w:t>
      </w:r>
    </w:p>
    <w:p w14:paraId="61FFAE5A" w14:textId="0FDDFE47" w:rsidR="002F261B" w:rsidRPr="00F47A54" w:rsidRDefault="00000000" w:rsidP="00FD1237">
      <w:pPr>
        <w:numPr>
          <w:ilvl w:val="0"/>
          <w:numId w:val="1"/>
        </w:numPr>
        <w:spacing w:line="480" w:lineRule="auto"/>
        <w:ind w:left="-630" w:right="-720" w:firstLine="0"/>
        <w:jc w:val="both"/>
        <w:rPr>
          <w:rFonts w:ascii="Times New Roman" w:eastAsia="Times New Roman" w:hAnsi="Times New Roman" w:cs="Times New Roman"/>
          <w:sz w:val="24"/>
          <w:szCs w:val="24"/>
          <w:highlight w:val="yellow"/>
        </w:rPr>
      </w:pPr>
      <w:r w:rsidRPr="00F47A54">
        <w:rPr>
          <w:rFonts w:ascii="Times New Roman" w:eastAsia="Times New Roman" w:hAnsi="Times New Roman" w:cs="Times New Roman"/>
          <w:b/>
          <w:sz w:val="24"/>
          <w:szCs w:val="24"/>
        </w:rPr>
        <w:t>Evaluation of Luxury Brands:</w:t>
      </w:r>
      <w:r w:rsidRPr="00F47A54">
        <w:rPr>
          <w:rFonts w:ascii="Times New Roman" w:eastAsia="Times New Roman" w:hAnsi="Times New Roman" w:cs="Times New Roman"/>
          <w:sz w:val="24"/>
          <w:szCs w:val="24"/>
        </w:rPr>
        <w:t xml:space="preserve"> </w:t>
      </w:r>
      <w:r w:rsidRPr="00F47A54">
        <w:rPr>
          <w:rFonts w:ascii="Times New Roman" w:eastAsia="Times New Roman" w:hAnsi="Times New Roman" w:cs="Times New Roman"/>
          <w:sz w:val="24"/>
          <w:szCs w:val="24"/>
          <w:highlight w:val="yellow"/>
        </w:rPr>
        <w:t xml:space="preserve">The importance of including premium brand </w:t>
      </w:r>
      <w:r w:rsidR="00813587" w:rsidRPr="00F47A54">
        <w:rPr>
          <w:rFonts w:ascii="Times New Roman" w:eastAsia="Times New Roman" w:hAnsi="Times New Roman" w:cs="Times New Roman"/>
          <w:sz w:val="24"/>
          <w:szCs w:val="24"/>
          <w:highlight w:val="yellow"/>
        </w:rPr>
        <w:t>comparable</w:t>
      </w:r>
      <w:r w:rsidRPr="00F47A54">
        <w:rPr>
          <w:rFonts w:ascii="Times New Roman" w:eastAsia="Times New Roman" w:hAnsi="Times New Roman" w:cs="Times New Roman"/>
          <w:sz w:val="24"/>
          <w:szCs w:val="24"/>
          <w:highlight w:val="yellow"/>
        </w:rPr>
        <w:t xml:space="preserve"> has been highlighted by the fact that Ferrari competes not just in the car industry but also</w:t>
      </w:r>
      <w:r w:rsidR="00A33BD7" w:rsidRPr="00F47A54">
        <w:rPr>
          <w:rFonts w:ascii="Times New Roman" w:eastAsia="Times New Roman" w:hAnsi="Times New Roman" w:cs="Times New Roman"/>
          <w:sz w:val="24"/>
          <w:szCs w:val="24"/>
          <w:highlight w:val="yellow"/>
        </w:rPr>
        <w:t xml:space="preserve"> working on growth</w:t>
      </w:r>
      <w:r w:rsidRPr="00F47A54">
        <w:rPr>
          <w:rFonts w:ascii="Times New Roman" w:eastAsia="Times New Roman" w:hAnsi="Times New Roman" w:cs="Times New Roman"/>
          <w:sz w:val="24"/>
          <w:szCs w:val="24"/>
          <w:highlight w:val="yellow"/>
        </w:rPr>
        <w:t xml:space="preserve"> in the market for high-end clothes and accessories. Hermes International was selected as a pertinent luxury brand comparative because of its premium pricing and substantial margins. </w:t>
      </w:r>
      <w:r w:rsidR="00D65375" w:rsidRPr="00F47A54">
        <w:rPr>
          <w:rFonts w:ascii="Times New Roman" w:hAnsi="Times New Roman" w:cs="Times New Roman"/>
          <w:color w:val="000000"/>
          <w:sz w:val="24"/>
          <w:szCs w:val="24"/>
          <w:highlight w:val="yellow"/>
        </w:rPr>
        <w:t>Furthermore, Hermes is one of the brands who does collaborate with some premium automotive brands offering car upholstery options to customers.</w:t>
      </w:r>
      <w:r w:rsidR="00D65375" w:rsidRPr="00F47A54">
        <w:rPr>
          <w:color w:val="000000"/>
          <w:sz w:val="24"/>
          <w:szCs w:val="24"/>
          <w:highlight w:val="yellow"/>
        </w:rPr>
        <w:t xml:space="preserve"> </w:t>
      </w:r>
      <w:r w:rsidRPr="00F47A54">
        <w:rPr>
          <w:rFonts w:ascii="Times New Roman" w:eastAsia="Times New Roman" w:hAnsi="Times New Roman" w:cs="Times New Roman"/>
          <w:sz w:val="24"/>
          <w:szCs w:val="24"/>
          <w:highlight w:val="yellow"/>
        </w:rPr>
        <w:t>This contrast enables a thorough evaluation of Ferrari's value as a luxury brand, outside of its automobile business.</w:t>
      </w:r>
    </w:p>
    <w:tbl>
      <w:tblPr>
        <w:tblW w:w="5700" w:type="dxa"/>
        <w:tblLook w:val="04A0" w:firstRow="1" w:lastRow="0" w:firstColumn="1" w:lastColumn="0" w:noHBand="0" w:noVBand="1"/>
      </w:tblPr>
      <w:tblGrid>
        <w:gridCol w:w="1800"/>
        <w:gridCol w:w="1300"/>
        <w:gridCol w:w="1300"/>
        <w:gridCol w:w="1300"/>
      </w:tblGrid>
      <w:tr w:rsidR="00813587" w:rsidRPr="00F47A54" w14:paraId="0534AD88" w14:textId="77777777" w:rsidTr="00813587">
        <w:trPr>
          <w:trHeight w:val="620"/>
        </w:trPr>
        <w:tc>
          <w:tcPr>
            <w:tcW w:w="18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046D984" w14:textId="24E91ECA" w:rsidR="00813587" w:rsidRPr="00F47A54" w:rsidRDefault="00813587" w:rsidP="00813587">
            <w:pPr>
              <w:spacing w:line="240" w:lineRule="auto"/>
              <w:rPr>
                <w:rFonts w:eastAsia="Times New Roman"/>
                <w:b/>
                <w:bCs/>
                <w:color w:val="000000"/>
                <w:sz w:val="24"/>
                <w:szCs w:val="24"/>
                <w:lang w:val="en-IN"/>
              </w:rPr>
            </w:pPr>
            <w:r w:rsidRPr="00F47A54">
              <w:rPr>
                <w:rFonts w:eastAsia="Times New Roman"/>
                <w:b/>
                <w:bCs/>
                <w:color w:val="000000"/>
                <w:sz w:val="24"/>
                <w:szCs w:val="24"/>
              </w:rPr>
              <w:t>Comparable</w:t>
            </w:r>
          </w:p>
        </w:tc>
        <w:tc>
          <w:tcPr>
            <w:tcW w:w="1300" w:type="dxa"/>
            <w:tcBorders>
              <w:top w:val="single" w:sz="8" w:space="0" w:color="000000"/>
              <w:left w:val="nil"/>
              <w:bottom w:val="single" w:sz="8" w:space="0" w:color="000000"/>
              <w:right w:val="single" w:sz="8" w:space="0" w:color="000000"/>
            </w:tcBorders>
            <w:shd w:val="clear" w:color="auto" w:fill="auto"/>
            <w:vAlign w:val="center"/>
            <w:hideMark/>
          </w:tcPr>
          <w:p w14:paraId="09134A70" w14:textId="77777777" w:rsidR="00813587" w:rsidRPr="00F47A54" w:rsidRDefault="00813587" w:rsidP="00813587">
            <w:pPr>
              <w:spacing w:line="240" w:lineRule="auto"/>
              <w:rPr>
                <w:rFonts w:eastAsia="Times New Roman"/>
                <w:b/>
                <w:bCs/>
                <w:color w:val="000000"/>
                <w:sz w:val="24"/>
                <w:szCs w:val="24"/>
                <w:lang w:val="en-IN"/>
              </w:rPr>
            </w:pPr>
            <w:r w:rsidRPr="00F47A54">
              <w:rPr>
                <w:rFonts w:eastAsia="Times New Roman"/>
                <w:b/>
                <w:bCs/>
                <w:color w:val="000000"/>
                <w:sz w:val="24"/>
                <w:szCs w:val="24"/>
              </w:rPr>
              <w:t>BMW</w:t>
            </w:r>
          </w:p>
        </w:tc>
        <w:tc>
          <w:tcPr>
            <w:tcW w:w="1300" w:type="dxa"/>
            <w:tcBorders>
              <w:top w:val="single" w:sz="8" w:space="0" w:color="000000"/>
              <w:left w:val="nil"/>
              <w:bottom w:val="single" w:sz="8" w:space="0" w:color="000000"/>
              <w:right w:val="single" w:sz="8" w:space="0" w:color="000000"/>
            </w:tcBorders>
            <w:shd w:val="clear" w:color="auto" w:fill="auto"/>
            <w:vAlign w:val="center"/>
            <w:hideMark/>
          </w:tcPr>
          <w:p w14:paraId="441B67FB" w14:textId="77777777" w:rsidR="00813587" w:rsidRPr="00F47A54" w:rsidRDefault="00813587" w:rsidP="00813587">
            <w:pPr>
              <w:spacing w:line="240" w:lineRule="auto"/>
              <w:rPr>
                <w:rFonts w:eastAsia="Times New Roman"/>
                <w:b/>
                <w:bCs/>
                <w:color w:val="000000"/>
                <w:sz w:val="24"/>
                <w:szCs w:val="24"/>
                <w:lang w:val="en-IN"/>
              </w:rPr>
            </w:pPr>
            <w:r w:rsidRPr="00F47A54">
              <w:rPr>
                <w:rFonts w:eastAsia="Times New Roman"/>
                <w:b/>
                <w:bCs/>
                <w:color w:val="000000"/>
                <w:sz w:val="24"/>
                <w:szCs w:val="24"/>
              </w:rPr>
              <w:t>Daimler</w:t>
            </w:r>
          </w:p>
        </w:tc>
        <w:tc>
          <w:tcPr>
            <w:tcW w:w="1300" w:type="dxa"/>
            <w:tcBorders>
              <w:top w:val="single" w:sz="8" w:space="0" w:color="000000"/>
              <w:left w:val="nil"/>
              <w:bottom w:val="single" w:sz="8" w:space="0" w:color="000000"/>
              <w:right w:val="single" w:sz="8" w:space="0" w:color="000000"/>
            </w:tcBorders>
            <w:shd w:val="clear" w:color="auto" w:fill="auto"/>
            <w:vAlign w:val="center"/>
            <w:hideMark/>
          </w:tcPr>
          <w:p w14:paraId="6A70D1FC" w14:textId="77777777" w:rsidR="00813587" w:rsidRPr="00F47A54" w:rsidRDefault="00813587" w:rsidP="00813587">
            <w:pPr>
              <w:spacing w:line="240" w:lineRule="auto"/>
              <w:rPr>
                <w:rFonts w:eastAsia="Times New Roman"/>
                <w:b/>
                <w:bCs/>
                <w:color w:val="000000"/>
                <w:sz w:val="24"/>
                <w:szCs w:val="24"/>
                <w:lang w:val="en-IN"/>
              </w:rPr>
            </w:pPr>
            <w:r w:rsidRPr="00F47A54">
              <w:rPr>
                <w:rFonts w:eastAsia="Times New Roman"/>
                <w:b/>
                <w:bCs/>
                <w:color w:val="000000"/>
                <w:sz w:val="24"/>
                <w:szCs w:val="24"/>
              </w:rPr>
              <w:t>Hermes</w:t>
            </w:r>
          </w:p>
        </w:tc>
      </w:tr>
      <w:tr w:rsidR="00813587" w:rsidRPr="00F47A54" w14:paraId="1A4639A7" w14:textId="77777777" w:rsidTr="00813587">
        <w:trPr>
          <w:trHeight w:val="340"/>
        </w:trPr>
        <w:tc>
          <w:tcPr>
            <w:tcW w:w="1800" w:type="dxa"/>
            <w:tcBorders>
              <w:top w:val="nil"/>
              <w:left w:val="single" w:sz="8" w:space="0" w:color="000000"/>
              <w:bottom w:val="single" w:sz="8" w:space="0" w:color="000000"/>
              <w:right w:val="single" w:sz="8" w:space="0" w:color="000000"/>
            </w:tcBorders>
            <w:shd w:val="clear" w:color="auto" w:fill="auto"/>
            <w:vAlign w:val="center"/>
            <w:hideMark/>
          </w:tcPr>
          <w:p w14:paraId="50F1ECFB" w14:textId="77777777" w:rsidR="00813587" w:rsidRPr="00F47A54" w:rsidRDefault="00813587" w:rsidP="00813587">
            <w:pPr>
              <w:spacing w:line="240" w:lineRule="auto"/>
              <w:rPr>
                <w:rFonts w:eastAsia="Times New Roman"/>
                <w:color w:val="000000"/>
                <w:sz w:val="24"/>
                <w:szCs w:val="24"/>
                <w:lang w:val="en-IN"/>
              </w:rPr>
            </w:pPr>
            <w:r w:rsidRPr="00F47A54">
              <w:rPr>
                <w:rFonts w:eastAsia="Times New Roman"/>
                <w:color w:val="000000"/>
                <w:sz w:val="24"/>
                <w:szCs w:val="24"/>
              </w:rPr>
              <w:t>Debt</w:t>
            </w:r>
          </w:p>
        </w:tc>
        <w:tc>
          <w:tcPr>
            <w:tcW w:w="1300" w:type="dxa"/>
            <w:tcBorders>
              <w:top w:val="nil"/>
              <w:left w:val="nil"/>
              <w:bottom w:val="single" w:sz="8" w:space="0" w:color="000000"/>
              <w:right w:val="single" w:sz="8" w:space="0" w:color="000000"/>
            </w:tcBorders>
            <w:shd w:val="clear" w:color="auto" w:fill="auto"/>
            <w:vAlign w:val="center"/>
            <w:hideMark/>
          </w:tcPr>
          <w:p w14:paraId="6C1D4A53"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77506</w:t>
            </w:r>
          </w:p>
        </w:tc>
        <w:tc>
          <w:tcPr>
            <w:tcW w:w="1300" w:type="dxa"/>
            <w:tcBorders>
              <w:top w:val="nil"/>
              <w:left w:val="nil"/>
              <w:bottom w:val="single" w:sz="8" w:space="0" w:color="000000"/>
              <w:right w:val="single" w:sz="8" w:space="0" w:color="000000"/>
            </w:tcBorders>
            <w:shd w:val="clear" w:color="auto" w:fill="auto"/>
            <w:vAlign w:val="center"/>
            <w:hideMark/>
          </w:tcPr>
          <w:p w14:paraId="3AB936A2"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86689</w:t>
            </w:r>
          </w:p>
        </w:tc>
        <w:tc>
          <w:tcPr>
            <w:tcW w:w="1300" w:type="dxa"/>
            <w:tcBorders>
              <w:top w:val="nil"/>
              <w:left w:val="nil"/>
              <w:bottom w:val="single" w:sz="8" w:space="0" w:color="000000"/>
              <w:right w:val="single" w:sz="8" w:space="0" w:color="000000"/>
            </w:tcBorders>
            <w:shd w:val="clear" w:color="auto" w:fill="auto"/>
            <w:vAlign w:val="center"/>
            <w:hideMark/>
          </w:tcPr>
          <w:p w14:paraId="6E71AEA7"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41</w:t>
            </w:r>
          </w:p>
        </w:tc>
      </w:tr>
      <w:tr w:rsidR="00813587" w:rsidRPr="00F47A54" w14:paraId="1A7AD67B" w14:textId="77777777" w:rsidTr="00813587">
        <w:trPr>
          <w:trHeight w:val="340"/>
        </w:trPr>
        <w:tc>
          <w:tcPr>
            <w:tcW w:w="1800" w:type="dxa"/>
            <w:tcBorders>
              <w:top w:val="nil"/>
              <w:left w:val="single" w:sz="8" w:space="0" w:color="000000"/>
              <w:bottom w:val="single" w:sz="8" w:space="0" w:color="000000"/>
              <w:right w:val="single" w:sz="8" w:space="0" w:color="000000"/>
            </w:tcBorders>
            <w:shd w:val="clear" w:color="auto" w:fill="auto"/>
            <w:vAlign w:val="center"/>
            <w:hideMark/>
          </w:tcPr>
          <w:p w14:paraId="131E6E3F" w14:textId="77777777" w:rsidR="00813587" w:rsidRPr="00F47A54" w:rsidRDefault="00813587" w:rsidP="00813587">
            <w:pPr>
              <w:spacing w:line="240" w:lineRule="auto"/>
              <w:rPr>
                <w:rFonts w:eastAsia="Times New Roman"/>
                <w:color w:val="000000"/>
                <w:sz w:val="24"/>
                <w:szCs w:val="24"/>
                <w:lang w:val="en-IN"/>
              </w:rPr>
            </w:pPr>
            <w:r w:rsidRPr="00F47A54">
              <w:rPr>
                <w:rFonts w:eastAsia="Times New Roman"/>
                <w:color w:val="000000"/>
                <w:sz w:val="24"/>
                <w:szCs w:val="24"/>
              </w:rPr>
              <w:t>Equity</w:t>
            </w:r>
          </w:p>
        </w:tc>
        <w:tc>
          <w:tcPr>
            <w:tcW w:w="1300" w:type="dxa"/>
            <w:tcBorders>
              <w:top w:val="nil"/>
              <w:left w:val="nil"/>
              <w:bottom w:val="single" w:sz="8" w:space="0" w:color="000000"/>
              <w:right w:val="single" w:sz="8" w:space="0" w:color="000000"/>
            </w:tcBorders>
            <w:shd w:val="clear" w:color="auto" w:fill="auto"/>
            <w:vAlign w:val="center"/>
            <w:hideMark/>
          </w:tcPr>
          <w:p w14:paraId="117831AB"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56562</w:t>
            </w:r>
          </w:p>
        </w:tc>
        <w:tc>
          <w:tcPr>
            <w:tcW w:w="1300" w:type="dxa"/>
            <w:tcBorders>
              <w:top w:val="nil"/>
              <w:left w:val="nil"/>
              <w:bottom w:val="single" w:sz="8" w:space="0" w:color="000000"/>
              <w:right w:val="single" w:sz="8" w:space="0" w:color="000000"/>
            </w:tcBorders>
            <w:shd w:val="clear" w:color="auto" w:fill="auto"/>
            <w:vAlign w:val="center"/>
            <w:hideMark/>
          </w:tcPr>
          <w:p w14:paraId="4B162B3C"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77906</w:t>
            </w:r>
          </w:p>
        </w:tc>
        <w:tc>
          <w:tcPr>
            <w:tcW w:w="1300" w:type="dxa"/>
            <w:tcBorders>
              <w:top w:val="nil"/>
              <w:left w:val="nil"/>
              <w:bottom w:val="single" w:sz="8" w:space="0" w:color="000000"/>
              <w:right w:val="single" w:sz="8" w:space="0" w:color="000000"/>
            </w:tcBorders>
            <w:shd w:val="clear" w:color="auto" w:fill="auto"/>
            <w:vAlign w:val="center"/>
            <w:hideMark/>
          </w:tcPr>
          <w:p w14:paraId="2C858CE4"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35297</w:t>
            </w:r>
          </w:p>
        </w:tc>
      </w:tr>
      <w:tr w:rsidR="00813587" w:rsidRPr="00F47A54" w14:paraId="354865EE" w14:textId="77777777" w:rsidTr="00813587">
        <w:trPr>
          <w:trHeight w:val="340"/>
        </w:trPr>
        <w:tc>
          <w:tcPr>
            <w:tcW w:w="1800" w:type="dxa"/>
            <w:tcBorders>
              <w:top w:val="nil"/>
              <w:left w:val="single" w:sz="8" w:space="0" w:color="000000"/>
              <w:bottom w:val="single" w:sz="8" w:space="0" w:color="000000"/>
              <w:right w:val="single" w:sz="8" w:space="0" w:color="000000"/>
            </w:tcBorders>
            <w:shd w:val="clear" w:color="auto" w:fill="auto"/>
            <w:vAlign w:val="center"/>
            <w:hideMark/>
          </w:tcPr>
          <w:p w14:paraId="7582E361" w14:textId="77777777" w:rsidR="00813587" w:rsidRPr="00F47A54" w:rsidRDefault="00813587" w:rsidP="00813587">
            <w:pPr>
              <w:spacing w:line="240" w:lineRule="auto"/>
              <w:rPr>
                <w:rFonts w:eastAsia="Times New Roman"/>
                <w:color w:val="000000"/>
                <w:sz w:val="24"/>
                <w:szCs w:val="24"/>
                <w:lang w:val="en-IN"/>
              </w:rPr>
            </w:pPr>
            <w:r w:rsidRPr="00F47A54">
              <w:rPr>
                <w:rFonts w:eastAsia="Times New Roman"/>
                <w:color w:val="000000"/>
                <w:sz w:val="24"/>
                <w:szCs w:val="24"/>
              </w:rPr>
              <w:t>Cash</w:t>
            </w:r>
          </w:p>
        </w:tc>
        <w:tc>
          <w:tcPr>
            <w:tcW w:w="1300" w:type="dxa"/>
            <w:tcBorders>
              <w:top w:val="nil"/>
              <w:left w:val="nil"/>
              <w:bottom w:val="single" w:sz="8" w:space="0" w:color="000000"/>
              <w:right w:val="single" w:sz="8" w:space="0" w:color="000000"/>
            </w:tcBorders>
            <w:shd w:val="clear" w:color="auto" w:fill="auto"/>
            <w:vAlign w:val="center"/>
            <w:hideMark/>
          </w:tcPr>
          <w:p w14:paraId="3959F102"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7688</w:t>
            </w:r>
          </w:p>
        </w:tc>
        <w:tc>
          <w:tcPr>
            <w:tcW w:w="1300" w:type="dxa"/>
            <w:tcBorders>
              <w:top w:val="nil"/>
              <w:left w:val="nil"/>
              <w:bottom w:val="single" w:sz="8" w:space="0" w:color="000000"/>
              <w:right w:val="single" w:sz="8" w:space="0" w:color="000000"/>
            </w:tcBorders>
            <w:shd w:val="clear" w:color="auto" w:fill="auto"/>
            <w:vAlign w:val="center"/>
            <w:hideMark/>
          </w:tcPr>
          <w:p w14:paraId="4A7F9B70"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15543</w:t>
            </w:r>
          </w:p>
        </w:tc>
        <w:tc>
          <w:tcPr>
            <w:tcW w:w="1300" w:type="dxa"/>
            <w:tcBorders>
              <w:top w:val="nil"/>
              <w:left w:val="nil"/>
              <w:bottom w:val="single" w:sz="8" w:space="0" w:color="000000"/>
              <w:right w:val="single" w:sz="8" w:space="0" w:color="000000"/>
            </w:tcBorders>
            <w:shd w:val="clear" w:color="auto" w:fill="auto"/>
            <w:vAlign w:val="center"/>
            <w:hideMark/>
          </w:tcPr>
          <w:p w14:paraId="1C7AFCFE"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1481</w:t>
            </w:r>
          </w:p>
        </w:tc>
      </w:tr>
      <w:tr w:rsidR="00813587" w:rsidRPr="00F47A54" w14:paraId="769C260F" w14:textId="77777777" w:rsidTr="00813587">
        <w:trPr>
          <w:trHeight w:val="620"/>
        </w:trPr>
        <w:tc>
          <w:tcPr>
            <w:tcW w:w="1800" w:type="dxa"/>
            <w:tcBorders>
              <w:top w:val="nil"/>
              <w:left w:val="single" w:sz="8" w:space="0" w:color="000000"/>
              <w:bottom w:val="single" w:sz="8" w:space="0" w:color="000000"/>
              <w:right w:val="single" w:sz="8" w:space="0" w:color="000000"/>
            </w:tcBorders>
            <w:shd w:val="clear" w:color="auto" w:fill="auto"/>
            <w:vAlign w:val="center"/>
            <w:hideMark/>
          </w:tcPr>
          <w:p w14:paraId="357B2424" w14:textId="77777777" w:rsidR="00813587" w:rsidRPr="00F47A54" w:rsidRDefault="00813587" w:rsidP="00813587">
            <w:pPr>
              <w:spacing w:line="240" w:lineRule="auto"/>
              <w:rPr>
                <w:rFonts w:eastAsia="Times New Roman"/>
                <w:color w:val="000000"/>
                <w:sz w:val="24"/>
                <w:szCs w:val="24"/>
                <w:lang w:val="en-IN"/>
              </w:rPr>
            </w:pPr>
            <w:r w:rsidRPr="00F47A54">
              <w:rPr>
                <w:rFonts w:eastAsia="Times New Roman"/>
                <w:color w:val="000000"/>
                <w:sz w:val="24"/>
                <w:szCs w:val="24"/>
              </w:rPr>
              <w:t>Enterprise Value</w:t>
            </w:r>
          </w:p>
        </w:tc>
        <w:tc>
          <w:tcPr>
            <w:tcW w:w="1300" w:type="dxa"/>
            <w:tcBorders>
              <w:top w:val="nil"/>
              <w:left w:val="nil"/>
              <w:bottom w:val="single" w:sz="8" w:space="0" w:color="000000"/>
              <w:right w:val="single" w:sz="8" w:space="0" w:color="000000"/>
            </w:tcBorders>
            <w:shd w:val="clear" w:color="auto" w:fill="auto"/>
            <w:vAlign w:val="center"/>
            <w:hideMark/>
          </w:tcPr>
          <w:p w14:paraId="50265A42"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126380</w:t>
            </w:r>
          </w:p>
        </w:tc>
        <w:tc>
          <w:tcPr>
            <w:tcW w:w="1300" w:type="dxa"/>
            <w:tcBorders>
              <w:top w:val="nil"/>
              <w:left w:val="nil"/>
              <w:bottom w:val="single" w:sz="8" w:space="0" w:color="000000"/>
              <w:right w:val="single" w:sz="8" w:space="0" w:color="000000"/>
            </w:tcBorders>
            <w:shd w:val="clear" w:color="auto" w:fill="auto"/>
            <w:vAlign w:val="center"/>
            <w:hideMark/>
          </w:tcPr>
          <w:p w14:paraId="6A61865E"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149052</w:t>
            </w:r>
          </w:p>
        </w:tc>
        <w:tc>
          <w:tcPr>
            <w:tcW w:w="1300" w:type="dxa"/>
            <w:tcBorders>
              <w:top w:val="nil"/>
              <w:left w:val="nil"/>
              <w:bottom w:val="single" w:sz="8" w:space="0" w:color="000000"/>
              <w:right w:val="single" w:sz="8" w:space="0" w:color="000000"/>
            </w:tcBorders>
            <w:shd w:val="clear" w:color="auto" w:fill="auto"/>
            <w:vAlign w:val="center"/>
            <w:hideMark/>
          </w:tcPr>
          <w:p w14:paraId="3A6CAFAC"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33857</w:t>
            </w:r>
          </w:p>
        </w:tc>
      </w:tr>
      <w:tr w:rsidR="00813587" w:rsidRPr="00F47A54" w14:paraId="4BAA7A9B" w14:textId="77777777" w:rsidTr="00813587">
        <w:trPr>
          <w:trHeight w:val="340"/>
        </w:trPr>
        <w:tc>
          <w:tcPr>
            <w:tcW w:w="1800" w:type="dxa"/>
            <w:tcBorders>
              <w:top w:val="nil"/>
              <w:left w:val="single" w:sz="8" w:space="0" w:color="000000"/>
              <w:bottom w:val="single" w:sz="8" w:space="0" w:color="000000"/>
              <w:right w:val="single" w:sz="8" w:space="0" w:color="000000"/>
            </w:tcBorders>
            <w:shd w:val="clear" w:color="auto" w:fill="auto"/>
            <w:vAlign w:val="center"/>
            <w:hideMark/>
          </w:tcPr>
          <w:p w14:paraId="5F6CFFB7" w14:textId="77777777" w:rsidR="00813587" w:rsidRPr="00F47A54" w:rsidRDefault="00813587" w:rsidP="00813587">
            <w:pPr>
              <w:spacing w:line="240" w:lineRule="auto"/>
              <w:rPr>
                <w:rFonts w:eastAsia="Times New Roman"/>
                <w:color w:val="000000"/>
                <w:sz w:val="24"/>
                <w:szCs w:val="24"/>
                <w:lang w:val="en-IN"/>
              </w:rPr>
            </w:pPr>
            <w:r w:rsidRPr="00F47A54">
              <w:rPr>
                <w:rFonts w:eastAsia="Times New Roman"/>
                <w:color w:val="000000"/>
                <w:sz w:val="24"/>
                <w:szCs w:val="24"/>
              </w:rPr>
              <w:t>EBITDA</w:t>
            </w:r>
          </w:p>
        </w:tc>
        <w:tc>
          <w:tcPr>
            <w:tcW w:w="1300" w:type="dxa"/>
            <w:tcBorders>
              <w:top w:val="nil"/>
              <w:left w:val="nil"/>
              <w:bottom w:val="single" w:sz="8" w:space="0" w:color="000000"/>
              <w:right w:val="single" w:sz="8" w:space="0" w:color="000000"/>
            </w:tcBorders>
            <w:shd w:val="clear" w:color="auto" w:fill="auto"/>
            <w:vAlign w:val="center"/>
            <w:hideMark/>
          </w:tcPr>
          <w:p w14:paraId="739AE977"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16426</w:t>
            </w:r>
          </w:p>
        </w:tc>
        <w:tc>
          <w:tcPr>
            <w:tcW w:w="1300" w:type="dxa"/>
            <w:tcBorders>
              <w:top w:val="nil"/>
              <w:left w:val="nil"/>
              <w:bottom w:val="single" w:sz="8" w:space="0" w:color="000000"/>
              <w:right w:val="single" w:sz="8" w:space="0" w:color="000000"/>
            </w:tcBorders>
            <w:shd w:val="clear" w:color="auto" w:fill="auto"/>
            <w:vAlign w:val="center"/>
            <w:hideMark/>
          </w:tcPr>
          <w:p w14:paraId="18FB8034"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18514</w:t>
            </w:r>
          </w:p>
        </w:tc>
        <w:tc>
          <w:tcPr>
            <w:tcW w:w="1300" w:type="dxa"/>
            <w:tcBorders>
              <w:top w:val="nil"/>
              <w:left w:val="nil"/>
              <w:bottom w:val="single" w:sz="8" w:space="0" w:color="000000"/>
              <w:right w:val="single" w:sz="8" w:space="0" w:color="000000"/>
            </w:tcBorders>
            <w:shd w:val="clear" w:color="auto" w:fill="auto"/>
            <w:vAlign w:val="center"/>
            <w:hideMark/>
          </w:tcPr>
          <w:p w14:paraId="03721C0B"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1478</w:t>
            </w:r>
          </w:p>
        </w:tc>
      </w:tr>
      <w:tr w:rsidR="00813587" w:rsidRPr="00F47A54" w14:paraId="13907C98" w14:textId="77777777" w:rsidTr="00813587">
        <w:trPr>
          <w:trHeight w:val="340"/>
        </w:trPr>
        <w:tc>
          <w:tcPr>
            <w:tcW w:w="1800" w:type="dxa"/>
            <w:tcBorders>
              <w:top w:val="nil"/>
              <w:left w:val="single" w:sz="8" w:space="0" w:color="000000"/>
              <w:bottom w:val="single" w:sz="8" w:space="0" w:color="000000"/>
              <w:right w:val="single" w:sz="8" w:space="0" w:color="000000"/>
            </w:tcBorders>
            <w:shd w:val="clear" w:color="auto" w:fill="auto"/>
            <w:vAlign w:val="center"/>
            <w:hideMark/>
          </w:tcPr>
          <w:p w14:paraId="662E7761" w14:textId="77777777" w:rsidR="00813587" w:rsidRPr="00F47A54" w:rsidRDefault="00813587" w:rsidP="00813587">
            <w:pPr>
              <w:spacing w:line="240" w:lineRule="auto"/>
              <w:rPr>
                <w:rFonts w:eastAsia="Times New Roman"/>
                <w:color w:val="000000"/>
                <w:sz w:val="24"/>
                <w:szCs w:val="24"/>
                <w:lang w:val="en-IN"/>
              </w:rPr>
            </w:pPr>
            <w:r w:rsidRPr="00F47A54">
              <w:rPr>
                <w:rFonts w:eastAsia="Times New Roman"/>
                <w:color w:val="000000"/>
                <w:sz w:val="24"/>
                <w:szCs w:val="24"/>
              </w:rPr>
              <w:t>V/EBITDA</w:t>
            </w:r>
          </w:p>
        </w:tc>
        <w:tc>
          <w:tcPr>
            <w:tcW w:w="1300" w:type="dxa"/>
            <w:tcBorders>
              <w:top w:val="nil"/>
              <w:left w:val="nil"/>
              <w:bottom w:val="single" w:sz="8" w:space="0" w:color="000000"/>
              <w:right w:val="single" w:sz="8" w:space="0" w:color="000000"/>
            </w:tcBorders>
            <w:shd w:val="clear" w:color="auto" w:fill="auto"/>
            <w:vAlign w:val="center"/>
            <w:hideMark/>
          </w:tcPr>
          <w:p w14:paraId="1FA6B3BC"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7.69</w:t>
            </w:r>
          </w:p>
        </w:tc>
        <w:tc>
          <w:tcPr>
            <w:tcW w:w="1300" w:type="dxa"/>
            <w:tcBorders>
              <w:top w:val="nil"/>
              <w:left w:val="nil"/>
              <w:bottom w:val="single" w:sz="8" w:space="0" w:color="000000"/>
              <w:right w:val="single" w:sz="8" w:space="0" w:color="000000"/>
            </w:tcBorders>
            <w:shd w:val="clear" w:color="auto" w:fill="auto"/>
            <w:vAlign w:val="center"/>
            <w:hideMark/>
          </w:tcPr>
          <w:p w14:paraId="5949F190"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8.05</w:t>
            </w:r>
          </w:p>
        </w:tc>
        <w:tc>
          <w:tcPr>
            <w:tcW w:w="1300" w:type="dxa"/>
            <w:tcBorders>
              <w:top w:val="nil"/>
              <w:left w:val="nil"/>
              <w:bottom w:val="single" w:sz="8" w:space="0" w:color="000000"/>
              <w:right w:val="single" w:sz="8" w:space="0" w:color="000000"/>
            </w:tcBorders>
            <w:shd w:val="clear" w:color="auto" w:fill="auto"/>
            <w:vAlign w:val="center"/>
            <w:hideMark/>
          </w:tcPr>
          <w:p w14:paraId="04C4F8FC" w14:textId="77777777" w:rsidR="00813587" w:rsidRPr="00F47A54" w:rsidRDefault="00813587" w:rsidP="00813587">
            <w:pPr>
              <w:spacing w:line="240" w:lineRule="auto"/>
              <w:jc w:val="right"/>
              <w:rPr>
                <w:rFonts w:eastAsia="Times New Roman"/>
                <w:color w:val="000000"/>
                <w:sz w:val="24"/>
                <w:szCs w:val="24"/>
                <w:lang w:val="en-IN"/>
              </w:rPr>
            </w:pPr>
            <w:r w:rsidRPr="00F47A54">
              <w:rPr>
                <w:rFonts w:eastAsia="Times New Roman"/>
                <w:color w:val="000000"/>
                <w:sz w:val="24"/>
                <w:szCs w:val="24"/>
              </w:rPr>
              <w:t>22.97</w:t>
            </w:r>
          </w:p>
        </w:tc>
      </w:tr>
    </w:tbl>
    <w:p w14:paraId="301A4A44" w14:textId="77777777" w:rsidR="002F261B" w:rsidRDefault="002F261B">
      <w:pPr>
        <w:ind w:left="-630" w:right="-720"/>
        <w:rPr>
          <w:rFonts w:ascii="Times New Roman" w:eastAsia="Times New Roman" w:hAnsi="Times New Roman" w:cs="Times New Roman"/>
        </w:rPr>
      </w:pPr>
    </w:p>
    <w:p w14:paraId="3F429E9F" w14:textId="77777777" w:rsidR="00F47A54" w:rsidRDefault="00F47A54" w:rsidP="00F47A54">
      <w:pPr>
        <w:spacing w:line="480" w:lineRule="auto"/>
        <w:ind w:right="-720"/>
        <w:jc w:val="both"/>
        <w:rPr>
          <w:rFonts w:ascii="Times New Roman" w:eastAsia="Times New Roman" w:hAnsi="Times New Roman" w:cs="Times New Roman"/>
          <w:b/>
          <w:bCs/>
          <w:iCs/>
        </w:rPr>
      </w:pPr>
    </w:p>
    <w:p w14:paraId="231AD3EB" w14:textId="7919D3D2" w:rsidR="00D65375" w:rsidRPr="00F47A54" w:rsidRDefault="00D65375">
      <w:pPr>
        <w:spacing w:line="480" w:lineRule="auto"/>
        <w:ind w:left="-630" w:right="-720"/>
        <w:jc w:val="both"/>
        <w:rPr>
          <w:rFonts w:ascii="Times New Roman" w:eastAsia="Times New Roman" w:hAnsi="Times New Roman" w:cs="Times New Roman"/>
          <w:b/>
          <w:bCs/>
          <w:iCs/>
          <w:sz w:val="24"/>
          <w:szCs w:val="24"/>
        </w:rPr>
      </w:pPr>
      <w:r w:rsidRPr="00F47A54">
        <w:rPr>
          <w:rFonts w:ascii="Times New Roman" w:eastAsia="Times New Roman" w:hAnsi="Times New Roman" w:cs="Times New Roman"/>
          <w:b/>
          <w:bCs/>
          <w:iCs/>
          <w:sz w:val="24"/>
          <w:szCs w:val="24"/>
        </w:rPr>
        <w:t>Note:</w:t>
      </w:r>
    </w:p>
    <w:p w14:paraId="3D7C8D9F" w14:textId="76A5101B" w:rsidR="002F261B" w:rsidRPr="00F47A54" w:rsidRDefault="00D65375">
      <w:pPr>
        <w:spacing w:line="480" w:lineRule="auto"/>
        <w:ind w:left="-630" w:right="-720"/>
        <w:jc w:val="both"/>
        <w:rPr>
          <w:rFonts w:ascii="Times New Roman" w:eastAsia="Times New Roman" w:hAnsi="Times New Roman" w:cs="Times New Roman"/>
          <w:i/>
          <w:sz w:val="24"/>
          <w:szCs w:val="24"/>
        </w:rPr>
      </w:pPr>
      <w:r w:rsidRPr="00F47A54">
        <w:rPr>
          <w:rFonts w:ascii="Times New Roman" w:eastAsia="Times New Roman" w:hAnsi="Times New Roman" w:cs="Times New Roman"/>
          <w:i/>
          <w:sz w:val="24"/>
          <w:szCs w:val="24"/>
          <w:highlight w:val="yellow"/>
        </w:rPr>
        <w:t xml:space="preserve">In the case of Ferrari, the average of its last three years' revenues indicated that approximately 80% of its total revenue was derived from its core business of manufacturing and selling cars and </w:t>
      </w:r>
      <w:r w:rsidR="00A33BD7" w:rsidRPr="00F47A54">
        <w:rPr>
          <w:rFonts w:ascii="Times New Roman" w:hAnsi="Times New Roman" w:cs="Times New Roman"/>
          <w:i/>
          <w:iCs/>
          <w:color w:val="000000"/>
          <w:sz w:val="24"/>
          <w:szCs w:val="24"/>
          <w:highlight w:val="yellow"/>
        </w:rPr>
        <w:t xml:space="preserve">considering this breakdown, we have decided to assign an 80-20 ratio to the valuation multiples. We have assigned 80% of the weightage to the multiples of the automotive sector, for which we have chosen Daimler and Mercedes as comparable, given their similar positioning in the luxury car market. The remaining 20% was allocated to the multiples of the luxury goods segment, for which we have taken Hermes as a comparable, considering its premium pricing and substantial margins. </w:t>
      </w:r>
      <w:r w:rsidRPr="00F47A54">
        <w:rPr>
          <w:rFonts w:ascii="Times New Roman" w:eastAsia="Times New Roman" w:hAnsi="Times New Roman" w:cs="Times New Roman"/>
          <w:i/>
          <w:sz w:val="24"/>
          <w:szCs w:val="24"/>
          <w:highlight w:val="yellow"/>
        </w:rPr>
        <w:t xml:space="preserve">Also, the EBITDA &amp; Debt from 2014 is considered since the available </w:t>
      </w:r>
      <w:r w:rsidR="00DB4368" w:rsidRPr="00F47A54">
        <w:rPr>
          <w:rFonts w:ascii="Times New Roman" w:eastAsia="Times New Roman" w:hAnsi="Times New Roman" w:cs="Times New Roman"/>
          <w:i/>
          <w:sz w:val="24"/>
          <w:szCs w:val="24"/>
          <w:highlight w:val="yellow"/>
        </w:rPr>
        <w:t>data for</w:t>
      </w:r>
      <w:r w:rsidRPr="00F47A54">
        <w:rPr>
          <w:rFonts w:ascii="Times New Roman" w:eastAsia="Times New Roman" w:hAnsi="Times New Roman" w:cs="Times New Roman"/>
          <w:i/>
          <w:sz w:val="24"/>
          <w:szCs w:val="24"/>
          <w:highlight w:val="yellow"/>
        </w:rPr>
        <w:t xml:space="preserve"> competitors belongs to 2014 and we wanted to maintain consistency in our report.</w:t>
      </w:r>
    </w:p>
    <w:p w14:paraId="072ECCA9" w14:textId="77777777" w:rsidR="00D65375" w:rsidRPr="00F47A54" w:rsidRDefault="00D65375">
      <w:pPr>
        <w:spacing w:line="480" w:lineRule="auto"/>
        <w:ind w:left="-630" w:right="-720"/>
        <w:jc w:val="both"/>
        <w:rPr>
          <w:rFonts w:ascii="Times New Roman" w:eastAsia="Times New Roman" w:hAnsi="Times New Roman" w:cs="Times New Roman"/>
          <w:i/>
          <w:sz w:val="24"/>
          <w:szCs w:val="24"/>
        </w:rPr>
      </w:pPr>
    </w:p>
    <w:tbl>
      <w:tblPr>
        <w:tblW w:w="9149" w:type="dxa"/>
        <w:tblLook w:val="04A0" w:firstRow="1" w:lastRow="0" w:firstColumn="1" w:lastColumn="0" w:noHBand="0" w:noVBand="1"/>
      </w:tblPr>
      <w:tblGrid>
        <w:gridCol w:w="6898"/>
        <w:gridCol w:w="2251"/>
      </w:tblGrid>
      <w:tr w:rsidR="00813587" w:rsidRPr="00F47A54" w14:paraId="2ED0E456" w14:textId="77777777" w:rsidTr="00DB4368">
        <w:trPr>
          <w:trHeight w:val="381"/>
        </w:trPr>
        <w:tc>
          <w:tcPr>
            <w:tcW w:w="689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57EACAF" w14:textId="77777777" w:rsidR="00813587" w:rsidRPr="00F47A54" w:rsidRDefault="00813587" w:rsidP="00813587">
            <w:pPr>
              <w:spacing w:line="240" w:lineRule="auto"/>
              <w:rPr>
                <w:rFonts w:ascii="Times New Roman" w:eastAsia="Times New Roman" w:hAnsi="Times New Roman" w:cs="Times New Roman"/>
                <w:color w:val="000000"/>
                <w:sz w:val="24"/>
                <w:szCs w:val="24"/>
                <w:lang w:val="en-IN"/>
              </w:rPr>
            </w:pPr>
            <w:r w:rsidRPr="00F47A54">
              <w:rPr>
                <w:rFonts w:ascii="Times New Roman" w:eastAsia="Times New Roman" w:hAnsi="Times New Roman" w:cs="Times New Roman"/>
                <w:color w:val="000000"/>
                <w:sz w:val="24"/>
                <w:szCs w:val="24"/>
              </w:rPr>
              <w:t>Average Car Business Multiple</w:t>
            </w:r>
          </w:p>
        </w:tc>
        <w:tc>
          <w:tcPr>
            <w:tcW w:w="2251" w:type="dxa"/>
            <w:tcBorders>
              <w:top w:val="single" w:sz="8" w:space="0" w:color="000000"/>
              <w:left w:val="nil"/>
              <w:bottom w:val="single" w:sz="8" w:space="0" w:color="000000"/>
              <w:right w:val="single" w:sz="8" w:space="0" w:color="000000"/>
            </w:tcBorders>
            <w:shd w:val="clear" w:color="auto" w:fill="auto"/>
            <w:vAlign w:val="center"/>
            <w:hideMark/>
          </w:tcPr>
          <w:p w14:paraId="27B39110" w14:textId="77777777" w:rsidR="00813587" w:rsidRPr="00F47A54" w:rsidRDefault="00813587" w:rsidP="00813587">
            <w:pPr>
              <w:spacing w:line="240" w:lineRule="auto"/>
              <w:jc w:val="right"/>
              <w:rPr>
                <w:rFonts w:ascii="Times New Roman" w:eastAsia="Times New Roman" w:hAnsi="Times New Roman" w:cs="Times New Roman"/>
                <w:i/>
                <w:iCs/>
                <w:color w:val="000000"/>
                <w:sz w:val="24"/>
                <w:szCs w:val="24"/>
                <w:lang w:val="en-IN"/>
              </w:rPr>
            </w:pPr>
            <w:r w:rsidRPr="00F47A54">
              <w:rPr>
                <w:rFonts w:ascii="Times New Roman" w:eastAsia="Times New Roman" w:hAnsi="Times New Roman" w:cs="Times New Roman"/>
                <w:i/>
                <w:iCs/>
                <w:color w:val="000000"/>
                <w:sz w:val="24"/>
                <w:szCs w:val="24"/>
              </w:rPr>
              <w:t>7.87</w:t>
            </w:r>
          </w:p>
        </w:tc>
      </w:tr>
      <w:tr w:rsidR="00813587" w:rsidRPr="00F47A54" w14:paraId="6CB28C5A" w14:textId="77777777" w:rsidTr="00DB4368">
        <w:trPr>
          <w:trHeight w:val="381"/>
        </w:trPr>
        <w:tc>
          <w:tcPr>
            <w:tcW w:w="6898" w:type="dxa"/>
            <w:tcBorders>
              <w:top w:val="nil"/>
              <w:left w:val="single" w:sz="8" w:space="0" w:color="000000"/>
              <w:bottom w:val="single" w:sz="8" w:space="0" w:color="000000"/>
              <w:right w:val="single" w:sz="8" w:space="0" w:color="000000"/>
            </w:tcBorders>
            <w:shd w:val="clear" w:color="auto" w:fill="auto"/>
            <w:vAlign w:val="center"/>
            <w:hideMark/>
          </w:tcPr>
          <w:p w14:paraId="1ED482B3" w14:textId="77777777" w:rsidR="00813587" w:rsidRPr="00F47A54" w:rsidRDefault="00813587" w:rsidP="00813587">
            <w:pPr>
              <w:spacing w:line="240" w:lineRule="auto"/>
              <w:rPr>
                <w:rFonts w:ascii="Times New Roman" w:eastAsia="Times New Roman" w:hAnsi="Times New Roman" w:cs="Times New Roman"/>
                <w:color w:val="000000"/>
                <w:sz w:val="24"/>
                <w:szCs w:val="24"/>
                <w:lang w:val="en-IN"/>
              </w:rPr>
            </w:pPr>
            <w:r w:rsidRPr="00F47A54">
              <w:rPr>
                <w:rFonts w:ascii="Times New Roman" w:eastAsia="Times New Roman" w:hAnsi="Times New Roman" w:cs="Times New Roman"/>
                <w:color w:val="000000"/>
                <w:sz w:val="24"/>
                <w:szCs w:val="24"/>
              </w:rPr>
              <w:t xml:space="preserve">Luxury Segment Multiple </w:t>
            </w:r>
          </w:p>
        </w:tc>
        <w:tc>
          <w:tcPr>
            <w:tcW w:w="2251" w:type="dxa"/>
            <w:tcBorders>
              <w:top w:val="nil"/>
              <w:left w:val="nil"/>
              <w:bottom w:val="single" w:sz="8" w:space="0" w:color="000000"/>
              <w:right w:val="single" w:sz="8" w:space="0" w:color="000000"/>
            </w:tcBorders>
            <w:shd w:val="clear" w:color="auto" w:fill="auto"/>
            <w:vAlign w:val="center"/>
            <w:hideMark/>
          </w:tcPr>
          <w:p w14:paraId="59A6BD21" w14:textId="77777777" w:rsidR="00813587" w:rsidRPr="00F47A54" w:rsidRDefault="00813587" w:rsidP="00813587">
            <w:pPr>
              <w:spacing w:line="240" w:lineRule="auto"/>
              <w:jc w:val="right"/>
              <w:rPr>
                <w:rFonts w:ascii="Times New Roman" w:eastAsia="Times New Roman" w:hAnsi="Times New Roman" w:cs="Times New Roman"/>
                <w:color w:val="000000"/>
                <w:sz w:val="24"/>
                <w:szCs w:val="24"/>
                <w:lang w:val="en-IN"/>
              </w:rPr>
            </w:pPr>
            <w:r w:rsidRPr="00F47A54">
              <w:rPr>
                <w:rFonts w:ascii="Times New Roman" w:eastAsia="Times New Roman" w:hAnsi="Times New Roman" w:cs="Times New Roman"/>
                <w:color w:val="000000"/>
                <w:sz w:val="24"/>
                <w:szCs w:val="24"/>
              </w:rPr>
              <w:t>22.91</w:t>
            </w:r>
          </w:p>
        </w:tc>
      </w:tr>
      <w:tr w:rsidR="00813587" w:rsidRPr="00F47A54" w14:paraId="27458369" w14:textId="77777777" w:rsidTr="00DB4368">
        <w:trPr>
          <w:trHeight w:val="208"/>
        </w:trPr>
        <w:tc>
          <w:tcPr>
            <w:tcW w:w="6898" w:type="dxa"/>
            <w:tcBorders>
              <w:top w:val="nil"/>
              <w:left w:val="single" w:sz="8" w:space="0" w:color="000000"/>
              <w:bottom w:val="single" w:sz="8" w:space="0" w:color="000000"/>
              <w:right w:val="single" w:sz="8" w:space="0" w:color="000000"/>
            </w:tcBorders>
            <w:shd w:val="clear" w:color="auto" w:fill="auto"/>
            <w:vAlign w:val="center"/>
            <w:hideMark/>
          </w:tcPr>
          <w:p w14:paraId="18BF5215" w14:textId="77777777" w:rsidR="00813587" w:rsidRPr="00F47A54" w:rsidRDefault="00813587" w:rsidP="00813587">
            <w:pPr>
              <w:spacing w:line="240" w:lineRule="auto"/>
              <w:rPr>
                <w:rFonts w:ascii="Times New Roman" w:eastAsia="Times New Roman" w:hAnsi="Times New Roman" w:cs="Times New Roman"/>
                <w:color w:val="000000"/>
                <w:sz w:val="24"/>
                <w:szCs w:val="24"/>
                <w:lang w:val="en-IN"/>
              </w:rPr>
            </w:pPr>
            <w:r w:rsidRPr="00F47A54">
              <w:rPr>
                <w:rFonts w:ascii="Times New Roman" w:eastAsia="Times New Roman" w:hAnsi="Times New Roman" w:cs="Times New Roman"/>
                <w:color w:val="000000"/>
                <w:sz w:val="24"/>
                <w:szCs w:val="24"/>
              </w:rPr>
              <w:t>Ferrari Multiple</w:t>
            </w:r>
          </w:p>
        </w:tc>
        <w:tc>
          <w:tcPr>
            <w:tcW w:w="2251" w:type="dxa"/>
            <w:tcBorders>
              <w:top w:val="nil"/>
              <w:left w:val="nil"/>
              <w:bottom w:val="single" w:sz="8" w:space="0" w:color="000000"/>
              <w:right w:val="single" w:sz="8" w:space="0" w:color="000000"/>
            </w:tcBorders>
            <w:shd w:val="clear" w:color="auto" w:fill="auto"/>
            <w:vAlign w:val="center"/>
            <w:hideMark/>
          </w:tcPr>
          <w:p w14:paraId="7EBCACFE" w14:textId="77777777" w:rsidR="00813587" w:rsidRPr="00F47A54" w:rsidRDefault="00813587" w:rsidP="00813587">
            <w:pPr>
              <w:spacing w:line="240" w:lineRule="auto"/>
              <w:jc w:val="right"/>
              <w:rPr>
                <w:rFonts w:ascii="Times New Roman" w:eastAsia="Times New Roman" w:hAnsi="Times New Roman" w:cs="Times New Roman"/>
                <w:color w:val="000000"/>
                <w:sz w:val="24"/>
                <w:szCs w:val="24"/>
                <w:lang w:val="en-IN"/>
              </w:rPr>
            </w:pPr>
            <w:r w:rsidRPr="00F47A54">
              <w:rPr>
                <w:rFonts w:ascii="Times New Roman" w:eastAsia="Times New Roman" w:hAnsi="Times New Roman" w:cs="Times New Roman"/>
                <w:color w:val="000000"/>
                <w:sz w:val="24"/>
                <w:szCs w:val="24"/>
              </w:rPr>
              <w:t>15.39</w:t>
            </w:r>
          </w:p>
        </w:tc>
      </w:tr>
      <w:tr w:rsidR="00813587" w:rsidRPr="00F47A54" w14:paraId="3E51353B" w14:textId="77777777" w:rsidTr="00DB4368">
        <w:trPr>
          <w:trHeight w:val="381"/>
        </w:trPr>
        <w:tc>
          <w:tcPr>
            <w:tcW w:w="6898" w:type="dxa"/>
            <w:tcBorders>
              <w:top w:val="nil"/>
              <w:left w:val="single" w:sz="8" w:space="0" w:color="000000"/>
              <w:bottom w:val="single" w:sz="8" w:space="0" w:color="000000"/>
              <w:right w:val="single" w:sz="8" w:space="0" w:color="000000"/>
            </w:tcBorders>
            <w:shd w:val="clear" w:color="auto" w:fill="auto"/>
            <w:vAlign w:val="center"/>
            <w:hideMark/>
          </w:tcPr>
          <w:p w14:paraId="30CF25CB" w14:textId="77777777" w:rsidR="00813587" w:rsidRPr="00F47A54" w:rsidRDefault="00813587" w:rsidP="00813587">
            <w:pPr>
              <w:spacing w:line="240" w:lineRule="auto"/>
              <w:rPr>
                <w:rFonts w:ascii="Times New Roman" w:eastAsia="Times New Roman" w:hAnsi="Times New Roman" w:cs="Times New Roman"/>
                <w:color w:val="000000"/>
                <w:sz w:val="24"/>
                <w:szCs w:val="24"/>
                <w:lang w:val="en-IN"/>
              </w:rPr>
            </w:pPr>
            <w:r w:rsidRPr="00F47A54">
              <w:rPr>
                <w:rFonts w:ascii="Times New Roman" w:eastAsia="Times New Roman" w:hAnsi="Times New Roman" w:cs="Times New Roman"/>
                <w:color w:val="000000"/>
                <w:sz w:val="24"/>
                <w:szCs w:val="24"/>
              </w:rPr>
              <w:t xml:space="preserve">EBITDA of Ferrari </w:t>
            </w:r>
          </w:p>
        </w:tc>
        <w:tc>
          <w:tcPr>
            <w:tcW w:w="2251" w:type="dxa"/>
            <w:tcBorders>
              <w:top w:val="nil"/>
              <w:left w:val="nil"/>
              <w:bottom w:val="single" w:sz="8" w:space="0" w:color="000000"/>
              <w:right w:val="single" w:sz="8" w:space="0" w:color="000000"/>
            </w:tcBorders>
            <w:shd w:val="clear" w:color="auto" w:fill="auto"/>
            <w:vAlign w:val="center"/>
            <w:hideMark/>
          </w:tcPr>
          <w:p w14:paraId="15E99DA3" w14:textId="77777777" w:rsidR="00813587" w:rsidRPr="00F47A54" w:rsidRDefault="00813587" w:rsidP="00813587">
            <w:pPr>
              <w:spacing w:line="240" w:lineRule="auto"/>
              <w:jc w:val="right"/>
              <w:rPr>
                <w:rFonts w:ascii="Times New Roman" w:eastAsia="Times New Roman" w:hAnsi="Times New Roman" w:cs="Times New Roman"/>
                <w:i/>
                <w:iCs/>
                <w:color w:val="000000"/>
                <w:sz w:val="24"/>
                <w:szCs w:val="24"/>
                <w:lang w:val="en-IN"/>
              </w:rPr>
            </w:pPr>
            <w:r w:rsidRPr="00F47A54">
              <w:rPr>
                <w:rFonts w:ascii="Times New Roman" w:eastAsia="Times New Roman" w:hAnsi="Times New Roman" w:cs="Times New Roman"/>
                <w:i/>
                <w:iCs/>
                <w:color w:val="000000"/>
                <w:sz w:val="24"/>
                <w:szCs w:val="24"/>
              </w:rPr>
              <w:t>678.45</w:t>
            </w:r>
          </w:p>
        </w:tc>
      </w:tr>
      <w:tr w:rsidR="00813587" w:rsidRPr="00F47A54" w14:paraId="1B209349" w14:textId="77777777" w:rsidTr="00DB4368">
        <w:trPr>
          <w:trHeight w:val="208"/>
        </w:trPr>
        <w:tc>
          <w:tcPr>
            <w:tcW w:w="6898" w:type="dxa"/>
            <w:tcBorders>
              <w:top w:val="nil"/>
              <w:left w:val="single" w:sz="8" w:space="0" w:color="000000"/>
              <w:bottom w:val="single" w:sz="8" w:space="0" w:color="000000"/>
              <w:right w:val="single" w:sz="8" w:space="0" w:color="000000"/>
            </w:tcBorders>
            <w:shd w:val="clear" w:color="auto" w:fill="auto"/>
            <w:vAlign w:val="center"/>
            <w:hideMark/>
          </w:tcPr>
          <w:p w14:paraId="4C73E90E" w14:textId="77777777" w:rsidR="00813587" w:rsidRPr="00F47A54" w:rsidRDefault="00813587" w:rsidP="00813587">
            <w:pPr>
              <w:spacing w:line="240" w:lineRule="auto"/>
              <w:rPr>
                <w:rFonts w:ascii="Times New Roman" w:eastAsia="Times New Roman" w:hAnsi="Times New Roman" w:cs="Times New Roman"/>
                <w:color w:val="000000"/>
                <w:sz w:val="24"/>
                <w:szCs w:val="24"/>
                <w:lang w:val="en-IN"/>
              </w:rPr>
            </w:pPr>
            <w:r w:rsidRPr="00F47A54">
              <w:rPr>
                <w:rFonts w:ascii="Times New Roman" w:eastAsia="Times New Roman" w:hAnsi="Times New Roman" w:cs="Times New Roman"/>
                <w:color w:val="000000"/>
                <w:sz w:val="24"/>
                <w:szCs w:val="24"/>
              </w:rPr>
              <w:t>Enterprise Value</w:t>
            </w:r>
          </w:p>
        </w:tc>
        <w:tc>
          <w:tcPr>
            <w:tcW w:w="2251" w:type="dxa"/>
            <w:tcBorders>
              <w:top w:val="nil"/>
              <w:left w:val="nil"/>
              <w:bottom w:val="single" w:sz="8" w:space="0" w:color="000000"/>
              <w:right w:val="single" w:sz="8" w:space="0" w:color="000000"/>
            </w:tcBorders>
            <w:shd w:val="clear" w:color="auto" w:fill="auto"/>
            <w:vAlign w:val="center"/>
            <w:hideMark/>
          </w:tcPr>
          <w:p w14:paraId="15C0A903" w14:textId="77777777" w:rsidR="00813587" w:rsidRPr="00F47A54" w:rsidRDefault="00813587" w:rsidP="00813587">
            <w:pPr>
              <w:spacing w:line="240" w:lineRule="auto"/>
              <w:jc w:val="right"/>
              <w:rPr>
                <w:rFonts w:ascii="Times New Roman" w:eastAsia="Times New Roman" w:hAnsi="Times New Roman" w:cs="Times New Roman"/>
                <w:color w:val="000000"/>
                <w:sz w:val="24"/>
                <w:szCs w:val="24"/>
                <w:lang w:val="en-IN"/>
              </w:rPr>
            </w:pPr>
            <w:r w:rsidRPr="00F47A54">
              <w:rPr>
                <w:rFonts w:ascii="Times New Roman" w:eastAsia="Times New Roman" w:hAnsi="Times New Roman" w:cs="Times New Roman"/>
                <w:color w:val="000000"/>
                <w:sz w:val="24"/>
                <w:szCs w:val="24"/>
              </w:rPr>
              <w:t>10441.52</w:t>
            </w:r>
          </w:p>
        </w:tc>
      </w:tr>
      <w:tr w:rsidR="00813587" w:rsidRPr="00F47A54" w14:paraId="73108250" w14:textId="77777777" w:rsidTr="00DB4368">
        <w:trPr>
          <w:trHeight w:val="381"/>
        </w:trPr>
        <w:tc>
          <w:tcPr>
            <w:tcW w:w="6898" w:type="dxa"/>
            <w:tcBorders>
              <w:top w:val="nil"/>
              <w:left w:val="single" w:sz="8" w:space="0" w:color="000000"/>
              <w:bottom w:val="single" w:sz="8" w:space="0" w:color="000000"/>
              <w:right w:val="single" w:sz="8" w:space="0" w:color="000000"/>
            </w:tcBorders>
            <w:shd w:val="clear" w:color="auto" w:fill="auto"/>
            <w:vAlign w:val="center"/>
            <w:hideMark/>
          </w:tcPr>
          <w:p w14:paraId="4BBF1E07" w14:textId="77777777" w:rsidR="00813587" w:rsidRPr="00F47A54" w:rsidRDefault="00813587" w:rsidP="00813587">
            <w:pPr>
              <w:spacing w:line="240" w:lineRule="auto"/>
              <w:rPr>
                <w:rFonts w:ascii="Times New Roman" w:eastAsia="Times New Roman" w:hAnsi="Times New Roman" w:cs="Times New Roman"/>
                <w:color w:val="000000"/>
                <w:sz w:val="24"/>
                <w:szCs w:val="24"/>
                <w:lang w:val="en-IN"/>
              </w:rPr>
            </w:pPr>
            <w:r w:rsidRPr="00F47A54">
              <w:rPr>
                <w:rFonts w:ascii="Times New Roman" w:eastAsia="Times New Roman" w:hAnsi="Times New Roman" w:cs="Times New Roman"/>
                <w:color w:val="000000"/>
                <w:sz w:val="24"/>
                <w:szCs w:val="24"/>
              </w:rPr>
              <w:t>Debt (including short term)</w:t>
            </w:r>
          </w:p>
        </w:tc>
        <w:tc>
          <w:tcPr>
            <w:tcW w:w="2251" w:type="dxa"/>
            <w:tcBorders>
              <w:top w:val="nil"/>
              <w:left w:val="nil"/>
              <w:bottom w:val="single" w:sz="8" w:space="0" w:color="000000"/>
              <w:right w:val="single" w:sz="8" w:space="0" w:color="000000"/>
            </w:tcBorders>
            <w:shd w:val="clear" w:color="auto" w:fill="auto"/>
            <w:vAlign w:val="center"/>
            <w:hideMark/>
          </w:tcPr>
          <w:p w14:paraId="7DEFC975" w14:textId="77777777" w:rsidR="00813587" w:rsidRPr="00F47A54" w:rsidRDefault="00813587" w:rsidP="00813587">
            <w:pPr>
              <w:spacing w:line="240" w:lineRule="auto"/>
              <w:jc w:val="right"/>
              <w:rPr>
                <w:rFonts w:ascii="Times New Roman" w:eastAsia="Times New Roman" w:hAnsi="Times New Roman" w:cs="Times New Roman"/>
                <w:color w:val="000000"/>
                <w:sz w:val="24"/>
                <w:szCs w:val="24"/>
                <w:lang w:val="en-IN"/>
              </w:rPr>
            </w:pPr>
            <w:r w:rsidRPr="00F47A54">
              <w:rPr>
                <w:rFonts w:ascii="Times New Roman" w:eastAsia="Times New Roman" w:hAnsi="Times New Roman" w:cs="Times New Roman"/>
                <w:color w:val="000000"/>
                <w:sz w:val="24"/>
                <w:szCs w:val="24"/>
              </w:rPr>
              <w:t>2163</w:t>
            </w:r>
          </w:p>
        </w:tc>
      </w:tr>
      <w:tr w:rsidR="00813587" w:rsidRPr="00F47A54" w14:paraId="455E1313" w14:textId="77777777" w:rsidTr="00DB4368">
        <w:trPr>
          <w:trHeight w:val="208"/>
        </w:trPr>
        <w:tc>
          <w:tcPr>
            <w:tcW w:w="6898" w:type="dxa"/>
            <w:tcBorders>
              <w:top w:val="nil"/>
              <w:left w:val="single" w:sz="8" w:space="0" w:color="000000"/>
              <w:bottom w:val="single" w:sz="8" w:space="0" w:color="000000"/>
              <w:right w:val="single" w:sz="8" w:space="0" w:color="000000"/>
            </w:tcBorders>
            <w:shd w:val="clear" w:color="auto" w:fill="auto"/>
            <w:vAlign w:val="center"/>
            <w:hideMark/>
          </w:tcPr>
          <w:p w14:paraId="5B643E28" w14:textId="77777777" w:rsidR="00813587" w:rsidRPr="00F47A54" w:rsidRDefault="00813587" w:rsidP="00813587">
            <w:pPr>
              <w:spacing w:line="240" w:lineRule="auto"/>
              <w:rPr>
                <w:rFonts w:ascii="Times New Roman" w:eastAsia="Times New Roman" w:hAnsi="Times New Roman" w:cs="Times New Roman"/>
                <w:color w:val="000000"/>
                <w:sz w:val="24"/>
                <w:szCs w:val="24"/>
                <w:lang w:val="en-IN"/>
              </w:rPr>
            </w:pPr>
            <w:r w:rsidRPr="00F47A54">
              <w:rPr>
                <w:rFonts w:ascii="Times New Roman" w:eastAsia="Times New Roman" w:hAnsi="Times New Roman" w:cs="Times New Roman"/>
                <w:color w:val="000000"/>
                <w:sz w:val="24"/>
                <w:szCs w:val="24"/>
              </w:rPr>
              <w:t>Cash</w:t>
            </w:r>
          </w:p>
        </w:tc>
        <w:tc>
          <w:tcPr>
            <w:tcW w:w="2251" w:type="dxa"/>
            <w:tcBorders>
              <w:top w:val="nil"/>
              <w:left w:val="nil"/>
              <w:bottom w:val="single" w:sz="8" w:space="0" w:color="000000"/>
              <w:right w:val="single" w:sz="8" w:space="0" w:color="000000"/>
            </w:tcBorders>
            <w:shd w:val="clear" w:color="auto" w:fill="auto"/>
            <w:vAlign w:val="center"/>
            <w:hideMark/>
          </w:tcPr>
          <w:p w14:paraId="2FB1718E" w14:textId="77777777" w:rsidR="00813587" w:rsidRPr="00F47A54" w:rsidRDefault="00813587" w:rsidP="00813587">
            <w:pPr>
              <w:spacing w:line="240" w:lineRule="auto"/>
              <w:jc w:val="right"/>
              <w:rPr>
                <w:rFonts w:ascii="Times New Roman" w:eastAsia="Times New Roman" w:hAnsi="Times New Roman" w:cs="Times New Roman"/>
                <w:color w:val="000000"/>
                <w:sz w:val="24"/>
                <w:szCs w:val="24"/>
                <w:lang w:val="en-IN"/>
              </w:rPr>
            </w:pPr>
            <w:r w:rsidRPr="00F47A54">
              <w:rPr>
                <w:rFonts w:ascii="Times New Roman" w:eastAsia="Times New Roman" w:hAnsi="Times New Roman" w:cs="Times New Roman"/>
                <w:color w:val="000000"/>
                <w:sz w:val="24"/>
                <w:szCs w:val="24"/>
              </w:rPr>
              <w:t>1077</w:t>
            </w:r>
          </w:p>
        </w:tc>
      </w:tr>
      <w:tr w:rsidR="00813587" w:rsidRPr="00F47A54" w14:paraId="7151F1B7" w14:textId="77777777" w:rsidTr="00DB4368">
        <w:trPr>
          <w:trHeight w:val="381"/>
        </w:trPr>
        <w:tc>
          <w:tcPr>
            <w:tcW w:w="6898" w:type="dxa"/>
            <w:tcBorders>
              <w:top w:val="nil"/>
              <w:left w:val="single" w:sz="8" w:space="0" w:color="000000"/>
              <w:bottom w:val="single" w:sz="8" w:space="0" w:color="000000"/>
              <w:right w:val="single" w:sz="8" w:space="0" w:color="000000"/>
            </w:tcBorders>
            <w:shd w:val="clear" w:color="auto" w:fill="auto"/>
            <w:vAlign w:val="center"/>
            <w:hideMark/>
          </w:tcPr>
          <w:p w14:paraId="450EAC79" w14:textId="77777777" w:rsidR="00813587" w:rsidRPr="00F47A54" w:rsidRDefault="00813587" w:rsidP="00813587">
            <w:pPr>
              <w:spacing w:line="240" w:lineRule="auto"/>
              <w:rPr>
                <w:rFonts w:ascii="Times New Roman" w:eastAsia="Times New Roman" w:hAnsi="Times New Roman" w:cs="Times New Roman"/>
                <w:color w:val="000000"/>
                <w:sz w:val="24"/>
                <w:szCs w:val="24"/>
                <w:lang w:val="en-IN"/>
              </w:rPr>
            </w:pPr>
            <w:r w:rsidRPr="00F47A54">
              <w:rPr>
                <w:rFonts w:ascii="Times New Roman" w:eastAsia="Times New Roman" w:hAnsi="Times New Roman" w:cs="Times New Roman"/>
                <w:color w:val="000000"/>
                <w:sz w:val="24"/>
                <w:szCs w:val="24"/>
              </w:rPr>
              <w:t>Equity (EV - DEBT + CASH)</w:t>
            </w:r>
          </w:p>
        </w:tc>
        <w:tc>
          <w:tcPr>
            <w:tcW w:w="2251" w:type="dxa"/>
            <w:tcBorders>
              <w:top w:val="nil"/>
              <w:left w:val="nil"/>
              <w:bottom w:val="single" w:sz="8" w:space="0" w:color="000000"/>
              <w:right w:val="single" w:sz="8" w:space="0" w:color="000000"/>
            </w:tcBorders>
            <w:shd w:val="clear" w:color="auto" w:fill="auto"/>
            <w:vAlign w:val="center"/>
            <w:hideMark/>
          </w:tcPr>
          <w:p w14:paraId="5EFB7F5D" w14:textId="77777777" w:rsidR="00813587" w:rsidRPr="00F47A54" w:rsidRDefault="00813587" w:rsidP="00813587">
            <w:pPr>
              <w:spacing w:line="240" w:lineRule="auto"/>
              <w:jc w:val="right"/>
              <w:rPr>
                <w:rFonts w:ascii="Times New Roman" w:eastAsia="Times New Roman" w:hAnsi="Times New Roman" w:cs="Times New Roman"/>
                <w:color w:val="000000"/>
                <w:sz w:val="24"/>
                <w:szCs w:val="24"/>
                <w:lang w:val="en-IN"/>
              </w:rPr>
            </w:pPr>
            <w:r w:rsidRPr="00F47A54">
              <w:rPr>
                <w:rFonts w:ascii="Times New Roman" w:eastAsia="Times New Roman" w:hAnsi="Times New Roman" w:cs="Times New Roman"/>
                <w:color w:val="000000"/>
                <w:sz w:val="24"/>
                <w:szCs w:val="24"/>
              </w:rPr>
              <w:t>9355.52</w:t>
            </w:r>
          </w:p>
        </w:tc>
      </w:tr>
    </w:tbl>
    <w:p w14:paraId="53BE444D" w14:textId="77777777" w:rsidR="002F261B" w:rsidRDefault="002F261B" w:rsidP="00813587">
      <w:pPr>
        <w:spacing w:line="480" w:lineRule="auto"/>
        <w:ind w:right="-720"/>
        <w:jc w:val="both"/>
      </w:pPr>
    </w:p>
    <w:p w14:paraId="262FA013" w14:textId="77777777" w:rsidR="00F47A54" w:rsidRDefault="00F47A54" w:rsidP="00D65375">
      <w:pPr>
        <w:spacing w:line="480" w:lineRule="auto"/>
        <w:ind w:left="90" w:right="-720" w:firstLine="1350"/>
        <w:jc w:val="both"/>
        <w:rPr>
          <w:rFonts w:ascii="Times New Roman" w:eastAsia="Times New Roman" w:hAnsi="Times New Roman" w:cs="Times New Roman"/>
          <w:b/>
          <w:color w:val="111111"/>
          <w:u w:val="single"/>
        </w:rPr>
      </w:pPr>
    </w:p>
    <w:p w14:paraId="46553126" w14:textId="77777777" w:rsidR="00F47A54" w:rsidRDefault="00F47A54" w:rsidP="00D65375">
      <w:pPr>
        <w:spacing w:line="480" w:lineRule="auto"/>
        <w:ind w:left="90" w:right="-720" w:firstLine="1350"/>
        <w:jc w:val="both"/>
        <w:rPr>
          <w:rFonts w:ascii="Times New Roman" w:eastAsia="Times New Roman" w:hAnsi="Times New Roman" w:cs="Times New Roman"/>
          <w:b/>
          <w:color w:val="111111"/>
          <w:u w:val="single"/>
        </w:rPr>
      </w:pPr>
    </w:p>
    <w:p w14:paraId="5C66DCB3" w14:textId="77777777" w:rsidR="00F47A54" w:rsidRDefault="00F47A54" w:rsidP="00D65375">
      <w:pPr>
        <w:spacing w:line="480" w:lineRule="auto"/>
        <w:ind w:left="90" w:right="-720" w:firstLine="1350"/>
        <w:jc w:val="both"/>
        <w:rPr>
          <w:rFonts w:ascii="Times New Roman" w:eastAsia="Times New Roman" w:hAnsi="Times New Roman" w:cs="Times New Roman"/>
          <w:b/>
          <w:color w:val="111111"/>
          <w:u w:val="single"/>
        </w:rPr>
      </w:pPr>
    </w:p>
    <w:p w14:paraId="0211177D" w14:textId="77777777" w:rsidR="00F47A54" w:rsidRDefault="00F47A54" w:rsidP="00D65375">
      <w:pPr>
        <w:spacing w:line="480" w:lineRule="auto"/>
        <w:ind w:left="90" w:right="-720" w:firstLine="1350"/>
        <w:jc w:val="both"/>
        <w:rPr>
          <w:rFonts w:ascii="Times New Roman" w:eastAsia="Times New Roman" w:hAnsi="Times New Roman" w:cs="Times New Roman"/>
          <w:b/>
          <w:color w:val="111111"/>
          <w:u w:val="single"/>
        </w:rPr>
      </w:pPr>
    </w:p>
    <w:p w14:paraId="08E33DA8" w14:textId="77777777" w:rsidR="00F47A54" w:rsidRDefault="00F47A54" w:rsidP="00D65375">
      <w:pPr>
        <w:spacing w:line="480" w:lineRule="auto"/>
        <w:ind w:left="90" w:right="-720" w:firstLine="1350"/>
        <w:jc w:val="both"/>
        <w:rPr>
          <w:rFonts w:ascii="Times New Roman" w:eastAsia="Times New Roman" w:hAnsi="Times New Roman" w:cs="Times New Roman"/>
          <w:b/>
          <w:color w:val="111111"/>
          <w:u w:val="single"/>
        </w:rPr>
      </w:pPr>
    </w:p>
    <w:p w14:paraId="59236B8F" w14:textId="77777777" w:rsidR="00F47A54" w:rsidRDefault="00F47A54" w:rsidP="00D65375">
      <w:pPr>
        <w:spacing w:line="480" w:lineRule="auto"/>
        <w:ind w:left="90" w:right="-720" w:firstLine="1350"/>
        <w:jc w:val="both"/>
        <w:rPr>
          <w:rFonts w:ascii="Times New Roman" w:eastAsia="Times New Roman" w:hAnsi="Times New Roman" w:cs="Times New Roman"/>
          <w:b/>
          <w:color w:val="111111"/>
          <w:u w:val="single"/>
        </w:rPr>
      </w:pPr>
    </w:p>
    <w:p w14:paraId="0428A7BF" w14:textId="77777777" w:rsidR="00F47A54" w:rsidRDefault="00F47A54" w:rsidP="00D65375">
      <w:pPr>
        <w:spacing w:line="480" w:lineRule="auto"/>
        <w:ind w:left="90" w:right="-720" w:firstLine="1350"/>
        <w:jc w:val="both"/>
        <w:rPr>
          <w:rFonts w:ascii="Times New Roman" w:eastAsia="Times New Roman" w:hAnsi="Times New Roman" w:cs="Times New Roman"/>
          <w:b/>
          <w:color w:val="111111"/>
          <w:u w:val="single"/>
        </w:rPr>
      </w:pPr>
    </w:p>
    <w:p w14:paraId="2FBA203B" w14:textId="77777777" w:rsidR="00F47A54" w:rsidRDefault="00F47A54" w:rsidP="00D65375">
      <w:pPr>
        <w:spacing w:line="480" w:lineRule="auto"/>
        <w:ind w:left="90" w:right="-720" w:firstLine="1350"/>
        <w:jc w:val="both"/>
        <w:rPr>
          <w:rFonts w:ascii="Times New Roman" w:eastAsia="Times New Roman" w:hAnsi="Times New Roman" w:cs="Times New Roman"/>
          <w:b/>
          <w:color w:val="111111"/>
          <w:u w:val="single"/>
        </w:rPr>
      </w:pPr>
    </w:p>
    <w:p w14:paraId="1945007B" w14:textId="0D772B05" w:rsidR="00D65375" w:rsidRPr="00D65375" w:rsidRDefault="00000000" w:rsidP="00D65375">
      <w:pPr>
        <w:spacing w:line="480" w:lineRule="auto"/>
        <w:ind w:left="90" w:right="-720" w:firstLine="1350"/>
        <w:jc w:val="both"/>
        <w:rPr>
          <w:rFonts w:ascii="Times New Roman" w:eastAsia="Times New Roman" w:hAnsi="Times New Roman" w:cs="Times New Roman"/>
          <w:b/>
          <w:color w:val="111111"/>
          <w:u w:val="single"/>
        </w:rPr>
      </w:pPr>
      <w:r>
        <w:rPr>
          <w:rFonts w:ascii="Times New Roman" w:eastAsia="Times New Roman" w:hAnsi="Times New Roman" w:cs="Times New Roman"/>
          <w:b/>
          <w:color w:val="111111"/>
          <w:u w:val="single"/>
        </w:rPr>
        <w:t>Evaluating Ferrari's Value in 2015 through the DCF Approach</w:t>
      </w:r>
      <w:r w:rsidR="00813587">
        <w:rPr>
          <w:rFonts w:ascii="Times New Roman" w:eastAsia="Times New Roman" w:hAnsi="Times New Roman" w:cs="Times New Roman"/>
          <w:b/>
          <w:color w:val="111111"/>
          <w:u w:val="single"/>
        </w:rPr>
        <w:t xml:space="preserve"> </w:t>
      </w:r>
    </w:p>
    <w:p w14:paraId="055A235C" w14:textId="60A44702" w:rsidR="002F261B" w:rsidRPr="00813587" w:rsidRDefault="00000000" w:rsidP="00D65375">
      <w:pPr>
        <w:spacing w:line="480" w:lineRule="auto"/>
        <w:ind w:left="-630" w:right="-720"/>
        <w:jc w:val="both"/>
        <w:rPr>
          <w:rFonts w:ascii="Times New Roman" w:eastAsia="Times New Roman" w:hAnsi="Times New Roman" w:cs="Times New Roman"/>
          <w:b/>
          <w:color w:val="111111"/>
          <w:u w:val="single"/>
        </w:rPr>
      </w:pPr>
      <w:r>
        <w:t xml:space="preserve">The DCF approach estimates Ferrari's intrinsic value in 2015, expressed in US dollars, by examining historical financial data and estimating future cash flows. This valuation technique </w:t>
      </w:r>
      <w:r w:rsidR="00D65375">
        <w:t>considers</w:t>
      </w:r>
      <w:r>
        <w:t xml:space="preserve"> a variety of aspects related to Ferrari's financial performance and growth potential, finally delivering a comprehensive appraisal of its value.</w:t>
      </w:r>
    </w:p>
    <w:p w14:paraId="6E0B3C96" w14:textId="77777777" w:rsidR="002F261B" w:rsidRDefault="002F261B">
      <w:pPr>
        <w:ind w:left="-630" w:right="-720"/>
      </w:pPr>
    </w:p>
    <w:tbl>
      <w:tblPr>
        <w:tblW w:w="9449" w:type="dxa"/>
        <w:tblLook w:val="04A0" w:firstRow="1" w:lastRow="0" w:firstColumn="1" w:lastColumn="0" w:noHBand="0" w:noVBand="1"/>
      </w:tblPr>
      <w:tblGrid>
        <w:gridCol w:w="2542"/>
        <w:gridCol w:w="1279"/>
        <w:gridCol w:w="938"/>
        <w:gridCol w:w="938"/>
        <w:gridCol w:w="938"/>
        <w:gridCol w:w="938"/>
        <w:gridCol w:w="938"/>
        <w:gridCol w:w="938"/>
      </w:tblGrid>
      <w:tr w:rsidR="00DB4368" w:rsidRPr="00DB4368" w14:paraId="6F7ADF1A" w14:textId="77777777" w:rsidTr="00DB4368">
        <w:trPr>
          <w:trHeight w:val="353"/>
        </w:trPr>
        <w:tc>
          <w:tcPr>
            <w:tcW w:w="2542"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C48A658" w14:textId="77777777" w:rsidR="00DB4368" w:rsidRPr="00DB4368" w:rsidRDefault="00DB4368" w:rsidP="00DB4368">
            <w:pPr>
              <w:spacing w:line="240" w:lineRule="auto"/>
              <w:rPr>
                <w:rFonts w:eastAsia="Times New Roman"/>
                <w:b/>
                <w:bCs/>
                <w:color w:val="000000"/>
                <w:sz w:val="20"/>
                <w:szCs w:val="20"/>
                <w:lang w:val="en-IN"/>
              </w:rPr>
            </w:pPr>
            <w:r w:rsidRPr="00DB4368">
              <w:rPr>
                <w:rFonts w:eastAsia="Times New Roman"/>
                <w:b/>
                <w:bCs/>
                <w:sz w:val="20"/>
                <w:szCs w:val="20"/>
              </w:rPr>
              <w:t>FCFF method</w:t>
            </w:r>
          </w:p>
        </w:tc>
        <w:tc>
          <w:tcPr>
            <w:tcW w:w="1279" w:type="dxa"/>
            <w:tcBorders>
              <w:top w:val="single" w:sz="8" w:space="0" w:color="CCCCCC"/>
              <w:left w:val="nil"/>
              <w:bottom w:val="single" w:sz="8" w:space="0" w:color="000000"/>
              <w:right w:val="single" w:sz="8" w:space="0" w:color="CCCCCC"/>
            </w:tcBorders>
            <w:shd w:val="clear" w:color="auto" w:fill="auto"/>
            <w:vAlign w:val="center"/>
            <w:hideMark/>
          </w:tcPr>
          <w:p w14:paraId="6A225D5A"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c>
          <w:tcPr>
            <w:tcW w:w="938" w:type="dxa"/>
            <w:tcBorders>
              <w:top w:val="single" w:sz="8" w:space="0" w:color="CCCCCC"/>
              <w:left w:val="nil"/>
              <w:bottom w:val="single" w:sz="8" w:space="0" w:color="CCCCCC"/>
              <w:right w:val="single" w:sz="8" w:space="0" w:color="CCCCCC"/>
            </w:tcBorders>
            <w:shd w:val="clear" w:color="auto" w:fill="auto"/>
            <w:vAlign w:val="center"/>
            <w:hideMark/>
          </w:tcPr>
          <w:p w14:paraId="4364284D"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c>
          <w:tcPr>
            <w:tcW w:w="938" w:type="dxa"/>
            <w:tcBorders>
              <w:top w:val="single" w:sz="8" w:space="0" w:color="CCCCCC"/>
              <w:left w:val="nil"/>
              <w:bottom w:val="single" w:sz="8" w:space="0" w:color="CCCCCC"/>
              <w:right w:val="single" w:sz="8" w:space="0" w:color="CCCCCC"/>
            </w:tcBorders>
            <w:shd w:val="clear" w:color="auto" w:fill="auto"/>
            <w:vAlign w:val="center"/>
            <w:hideMark/>
          </w:tcPr>
          <w:p w14:paraId="746AED4F"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c>
          <w:tcPr>
            <w:tcW w:w="938" w:type="dxa"/>
            <w:tcBorders>
              <w:top w:val="single" w:sz="8" w:space="0" w:color="CCCCCC"/>
              <w:left w:val="nil"/>
              <w:bottom w:val="single" w:sz="8" w:space="0" w:color="CCCCCC"/>
              <w:right w:val="single" w:sz="8" w:space="0" w:color="CCCCCC"/>
            </w:tcBorders>
            <w:shd w:val="clear" w:color="auto" w:fill="auto"/>
            <w:vAlign w:val="center"/>
            <w:hideMark/>
          </w:tcPr>
          <w:p w14:paraId="451ED9A6"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c>
          <w:tcPr>
            <w:tcW w:w="938" w:type="dxa"/>
            <w:tcBorders>
              <w:top w:val="single" w:sz="8" w:space="0" w:color="CCCCCC"/>
              <w:left w:val="nil"/>
              <w:bottom w:val="single" w:sz="8" w:space="0" w:color="CCCCCC"/>
              <w:right w:val="single" w:sz="8" w:space="0" w:color="CCCCCC"/>
            </w:tcBorders>
            <w:shd w:val="clear" w:color="auto" w:fill="auto"/>
            <w:vAlign w:val="center"/>
            <w:hideMark/>
          </w:tcPr>
          <w:p w14:paraId="4B908926"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c>
          <w:tcPr>
            <w:tcW w:w="938" w:type="dxa"/>
            <w:tcBorders>
              <w:top w:val="single" w:sz="8" w:space="0" w:color="CCCCCC"/>
              <w:left w:val="nil"/>
              <w:bottom w:val="single" w:sz="8" w:space="0" w:color="CCCCCC"/>
              <w:right w:val="single" w:sz="8" w:space="0" w:color="CCCCCC"/>
            </w:tcBorders>
            <w:shd w:val="clear" w:color="auto" w:fill="auto"/>
            <w:vAlign w:val="center"/>
            <w:hideMark/>
          </w:tcPr>
          <w:p w14:paraId="02EA5A77"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c>
          <w:tcPr>
            <w:tcW w:w="938" w:type="dxa"/>
            <w:tcBorders>
              <w:top w:val="single" w:sz="8" w:space="0" w:color="CCCCCC"/>
              <w:left w:val="nil"/>
              <w:bottom w:val="single" w:sz="8" w:space="0" w:color="CCCCCC"/>
              <w:right w:val="single" w:sz="8" w:space="0" w:color="CCCCCC"/>
            </w:tcBorders>
            <w:shd w:val="clear" w:color="auto" w:fill="auto"/>
            <w:vAlign w:val="center"/>
            <w:hideMark/>
          </w:tcPr>
          <w:p w14:paraId="739D2AAB"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r>
      <w:tr w:rsidR="00DB4368" w:rsidRPr="00DB4368" w14:paraId="1B39ED6B" w14:textId="77777777" w:rsidTr="00DB4368">
        <w:trPr>
          <w:trHeight w:val="353"/>
        </w:trPr>
        <w:tc>
          <w:tcPr>
            <w:tcW w:w="2542" w:type="dxa"/>
            <w:tcBorders>
              <w:top w:val="nil"/>
              <w:left w:val="single" w:sz="8" w:space="0" w:color="000000"/>
              <w:bottom w:val="single" w:sz="8" w:space="0" w:color="000000"/>
              <w:right w:val="single" w:sz="8" w:space="0" w:color="000000"/>
            </w:tcBorders>
            <w:shd w:val="clear" w:color="auto" w:fill="auto"/>
            <w:vAlign w:val="center"/>
            <w:hideMark/>
          </w:tcPr>
          <w:p w14:paraId="57CDD876" w14:textId="7334559D" w:rsidR="00DB4368" w:rsidRPr="00DB4368" w:rsidRDefault="00DB4368" w:rsidP="00DB4368">
            <w:pPr>
              <w:spacing w:line="240" w:lineRule="auto"/>
              <w:rPr>
                <w:rFonts w:eastAsia="Times New Roman"/>
                <w:b/>
                <w:bCs/>
                <w:color w:val="000000"/>
                <w:sz w:val="20"/>
                <w:szCs w:val="20"/>
                <w:lang w:val="en-IN"/>
              </w:rPr>
            </w:pPr>
            <w:r w:rsidRPr="00DB4368">
              <w:rPr>
                <w:rFonts w:eastAsia="Times New Roman"/>
                <w:b/>
                <w:bCs/>
                <w:color w:val="000000"/>
                <w:sz w:val="20"/>
                <w:szCs w:val="20"/>
              </w:rPr>
              <w:t>Ferrari</w:t>
            </w:r>
            <w:r>
              <w:rPr>
                <w:rFonts w:eastAsia="Times New Roman"/>
                <w:b/>
                <w:bCs/>
                <w:color w:val="000000"/>
                <w:sz w:val="20"/>
                <w:szCs w:val="20"/>
              </w:rPr>
              <w:t xml:space="preserve"> </w:t>
            </w:r>
            <w:r w:rsidRPr="00DB4368">
              <w:rPr>
                <w:rFonts w:eastAsia="Times New Roman"/>
                <w:b/>
                <w:bCs/>
                <w:color w:val="000000"/>
                <w:sz w:val="20"/>
                <w:szCs w:val="20"/>
              </w:rPr>
              <w:t>(FCFF)</w:t>
            </w:r>
          </w:p>
        </w:tc>
        <w:tc>
          <w:tcPr>
            <w:tcW w:w="1279" w:type="dxa"/>
            <w:tcBorders>
              <w:top w:val="nil"/>
              <w:left w:val="nil"/>
              <w:bottom w:val="single" w:sz="8" w:space="0" w:color="000000"/>
              <w:right w:val="single" w:sz="8" w:space="0" w:color="000000"/>
            </w:tcBorders>
            <w:shd w:val="clear" w:color="auto" w:fill="auto"/>
            <w:vAlign w:val="center"/>
            <w:hideMark/>
          </w:tcPr>
          <w:p w14:paraId="0EF615FD" w14:textId="7A8A5958" w:rsidR="00DB4368" w:rsidRPr="00DB4368" w:rsidRDefault="00DB4368" w:rsidP="00DB4368">
            <w:pPr>
              <w:spacing w:line="240" w:lineRule="auto"/>
              <w:rPr>
                <w:rFonts w:eastAsia="Times New Roman"/>
                <w:b/>
                <w:bCs/>
                <w:color w:val="000000"/>
                <w:sz w:val="20"/>
                <w:szCs w:val="20"/>
                <w:lang w:val="en-IN"/>
              </w:rPr>
            </w:pPr>
            <w:r>
              <w:rPr>
                <w:rFonts w:eastAsia="Times New Roman"/>
                <w:b/>
                <w:bCs/>
                <w:color w:val="000000"/>
                <w:sz w:val="20"/>
                <w:szCs w:val="20"/>
              </w:rPr>
              <w:t xml:space="preserve"> </w:t>
            </w:r>
            <w:r w:rsidRPr="00DB4368">
              <w:rPr>
                <w:rFonts w:eastAsia="Times New Roman"/>
                <w:b/>
                <w:bCs/>
                <w:color w:val="000000"/>
                <w:sz w:val="20"/>
                <w:szCs w:val="20"/>
              </w:rPr>
              <w:t>In Millions</w:t>
            </w:r>
          </w:p>
        </w:tc>
        <w:tc>
          <w:tcPr>
            <w:tcW w:w="938" w:type="dxa"/>
            <w:tcBorders>
              <w:top w:val="nil"/>
              <w:left w:val="nil"/>
              <w:bottom w:val="single" w:sz="8" w:space="0" w:color="000000"/>
              <w:right w:val="single" w:sz="8" w:space="0" w:color="CCCCCC"/>
            </w:tcBorders>
            <w:shd w:val="clear" w:color="auto" w:fill="auto"/>
            <w:vAlign w:val="center"/>
            <w:hideMark/>
          </w:tcPr>
          <w:p w14:paraId="11B64CB3"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c>
          <w:tcPr>
            <w:tcW w:w="938" w:type="dxa"/>
            <w:tcBorders>
              <w:top w:val="nil"/>
              <w:left w:val="nil"/>
              <w:bottom w:val="single" w:sz="8" w:space="0" w:color="000000"/>
              <w:right w:val="single" w:sz="8" w:space="0" w:color="CCCCCC"/>
            </w:tcBorders>
            <w:shd w:val="clear" w:color="auto" w:fill="auto"/>
            <w:vAlign w:val="center"/>
            <w:hideMark/>
          </w:tcPr>
          <w:p w14:paraId="19A934F0"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c>
          <w:tcPr>
            <w:tcW w:w="938" w:type="dxa"/>
            <w:tcBorders>
              <w:top w:val="nil"/>
              <w:left w:val="nil"/>
              <w:bottom w:val="single" w:sz="8" w:space="0" w:color="000000"/>
              <w:right w:val="single" w:sz="8" w:space="0" w:color="CCCCCC"/>
            </w:tcBorders>
            <w:shd w:val="clear" w:color="auto" w:fill="auto"/>
            <w:vAlign w:val="center"/>
            <w:hideMark/>
          </w:tcPr>
          <w:p w14:paraId="0B60A0B9"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c>
          <w:tcPr>
            <w:tcW w:w="938" w:type="dxa"/>
            <w:tcBorders>
              <w:top w:val="nil"/>
              <w:left w:val="nil"/>
              <w:bottom w:val="single" w:sz="8" w:space="0" w:color="000000"/>
              <w:right w:val="single" w:sz="8" w:space="0" w:color="CCCCCC"/>
            </w:tcBorders>
            <w:shd w:val="clear" w:color="auto" w:fill="auto"/>
            <w:vAlign w:val="center"/>
            <w:hideMark/>
          </w:tcPr>
          <w:p w14:paraId="1502A244"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c>
          <w:tcPr>
            <w:tcW w:w="938" w:type="dxa"/>
            <w:tcBorders>
              <w:top w:val="nil"/>
              <w:left w:val="nil"/>
              <w:bottom w:val="single" w:sz="8" w:space="0" w:color="000000"/>
              <w:right w:val="single" w:sz="8" w:space="0" w:color="CCCCCC"/>
            </w:tcBorders>
            <w:shd w:val="clear" w:color="auto" w:fill="auto"/>
            <w:vAlign w:val="center"/>
            <w:hideMark/>
          </w:tcPr>
          <w:p w14:paraId="2117C201"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c>
          <w:tcPr>
            <w:tcW w:w="938" w:type="dxa"/>
            <w:tcBorders>
              <w:top w:val="nil"/>
              <w:left w:val="nil"/>
              <w:bottom w:val="single" w:sz="8" w:space="0" w:color="000000"/>
              <w:right w:val="single" w:sz="8" w:space="0" w:color="CCCCCC"/>
            </w:tcBorders>
            <w:shd w:val="clear" w:color="auto" w:fill="auto"/>
            <w:vAlign w:val="center"/>
            <w:hideMark/>
          </w:tcPr>
          <w:p w14:paraId="277A55CA"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r>
      <w:tr w:rsidR="00DB4368" w:rsidRPr="00DB4368" w14:paraId="1F43CD2F" w14:textId="77777777" w:rsidTr="00DB4368">
        <w:trPr>
          <w:trHeight w:val="353"/>
        </w:trPr>
        <w:tc>
          <w:tcPr>
            <w:tcW w:w="2542" w:type="dxa"/>
            <w:tcBorders>
              <w:top w:val="nil"/>
              <w:left w:val="single" w:sz="8" w:space="0" w:color="000000"/>
              <w:bottom w:val="single" w:sz="8" w:space="0" w:color="000000"/>
              <w:right w:val="single" w:sz="8" w:space="0" w:color="000000"/>
            </w:tcBorders>
            <w:shd w:val="clear" w:color="auto" w:fill="auto"/>
            <w:vAlign w:val="center"/>
            <w:hideMark/>
          </w:tcPr>
          <w:p w14:paraId="1855DCD8"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c>
          <w:tcPr>
            <w:tcW w:w="1279" w:type="dxa"/>
            <w:tcBorders>
              <w:top w:val="nil"/>
              <w:left w:val="nil"/>
              <w:bottom w:val="single" w:sz="8" w:space="0" w:color="000000"/>
              <w:right w:val="single" w:sz="8" w:space="0" w:color="000000"/>
            </w:tcBorders>
            <w:shd w:val="clear" w:color="auto" w:fill="auto"/>
            <w:vAlign w:val="center"/>
            <w:hideMark/>
          </w:tcPr>
          <w:p w14:paraId="3105FC13" w14:textId="77777777" w:rsidR="00DB4368" w:rsidRPr="00DB4368" w:rsidRDefault="00DB4368" w:rsidP="00DB4368">
            <w:pPr>
              <w:spacing w:line="240" w:lineRule="auto"/>
              <w:jc w:val="right"/>
              <w:rPr>
                <w:rFonts w:eastAsia="Times New Roman"/>
                <w:b/>
                <w:bCs/>
                <w:color w:val="000000"/>
                <w:sz w:val="20"/>
                <w:szCs w:val="20"/>
                <w:lang w:val="en-IN"/>
              </w:rPr>
            </w:pPr>
            <w:r w:rsidRPr="00DB4368">
              <w:rPr>
                <w:rFonts w:eastAsia="Times New Roman"/>
                <w:b/>
                <w:bCs/>
                <w:color w:val="000000"/>
                <w:sz w:val="20"/>
                <w:szCs w:val="20"/>
              </w:rPr>
              <w:t>2014</w:t>
            </w:r>
          </w:p>
        </w:tc>
        <w:tc>
          <w:tcPr>
            <w:tcW w:w="938" w:type="dxa"/>
            <w:tcBorders>
              <w:top w:val="nil"/>
              <w:left w:val="nil"/>
              <w:bottom w:val="single" w:sz="8" w:space="0" w:color="000000"/>
              <w:right w:val="single" w:sz="8" w:space="0" w:color="000000"/>
            </w:tcBorders>
            <w:shd w:val="clear" w:color="auto" w:fill="auto"/>
            <w:vAlign w:val="center"/>
            <w:hideMark/>
          </w:tcPr>
          <w:p w14:paraId="4DA421D2" w14:textId="77777777" w:rsidR="00DB4368" w:rsidRPr="00DB4368" w:rsidRDefault="00DB4368" w:rsidP="00DB4368">
            <w:pPr>
              <w:spacing w:line="240" w:lineRule="auto"/>
              <w:jc w:val="right"/>
              <w:rPr>
                <w:rFonts w:eastAsia="Times New Roman"/>
                <w:b/>
                <w:bCs/>
                <w:color w:val="000000"/>
                <w:sz w:val="20"/>
                <w:szCs w:val="20"/>
                <w:lang w:val="en-IN"/>
              </w:rPr>
            </w:pPr>
            <w:r w:rsidRPr="00DB4368">
              <w:rPr>
                <w:rFonts w:eastAsia="Times New Roman"/>
                <w:b/>
                <w:bCs/>
                <w:color w:val="000000"/>
                <w:sz w:val="20"/>
                <w:szCs w:val="20"/>
              </w:rPr>
              <w:t>2015</w:t>
            </w:r>
          </w:p>
        </w:tc>
        <w:tc>
          <w:tcPr>
            <w:tcW w:w="938" w:type="dxa"/>
            <w:tcBorders>
              <w:top w:val="nil"/>
              <w:left w:val="nil"/>
              <w:bottom w:val="single" w:sz="8" w:space="0" w:color="000000"/>
              <w:right w:val="single" w:sz="8" w:space="0" w:color="000000"/>
            </w:tcBorders>
            <w:shd w:val="clear" w:color="auto" w:fill="auto"/>
            <w:vAlign w:val="center"/>
            <w:hideMark/>
          </w:tcPr>
          <w:p w14:paraId="2CB2429E" w14:textId="77777777" w:rsidR="00DB4368" w:rsidRPr="00DB4368" w:rsidRDefault="00DB4368" w:rsidP="00DB4368">
            <w:pPr>
              <w:spacing w:line="240" w:lineRule="auto"/>
              <w:jc w:val="right"/>
              <w:rPr>
                <w:rFonts w:eastAsia="Times New Roman"/>
                <w:b/>
                <w:bCs/>
                <w:color w:val="000000"/>
                <w:sz w:val="20"/>
                <w:szCs w:val="20"/>
                <w:lang w:val="en-IN"/>
              </w:rPr>
            </w:pPr>
            <w:r w:rsidRPr="00DB4368">
              <w:rPr>
                <w:rFonts w:eastAsia="Times New Roman"/>
                <w:b/>
                <w:bCs/>
                <w:color w:val="000000"/>
                <w:sz w:val="20"/>
                <w:szCs w:val="20"/>
              </w:rPr>
              <w:t>2016</w:t>
            </w:r>
          </w:p>
        </w:tc>
        <w:tc>
          <w:tcPr>
            <w:tcW w:w="938" w:type="dxa"/>
            <w:tcBorders>
              <w:top w:val="nil"/>
              <w:left w:val="nil"/>
              <w:bottom w:val="single" w:sz="8" w:space="0" w:color="000000"/>
              <w:right w:val="single" w:sz="8" w:space="0" w:color="000000"/>
            </w:tcBorders>
            <w:shd w:val="clear" w:color="auto" w:fill="auto"/>
            <w:vAlign w:val="center"/>
            <w:hideMark/>
          </w:tcPr>
          <w:p w14:paraId="4DB26C42" w14:textId="77777777" w:rsidR="00DB4368" w:rsidRPr="00DB4368" w:rsidRDefault="00DB4368" w:rsidP="00DB4368">
            <w:pPr>
              <w:spacing w:line="240" w:lineRule="auto"/>
              <w:jc w:val="right"/>
              <w:rPr>
                <w:rFonts w:eastAsia="Times New Roman"/>
                <w:b/>
                <w:bCs/>
                <w:color w:val="000000"/>
                <w:sz w:val="20"/>
                <w:szCs w:val="20"/>
                <w:lang w:val="en-IN"/>
              </w:rPr>
            </w:pPr>
            <w:r w:rsidRPr="00DB4368">
              <w:rPr>
                <w:rFonts w:eastAsia="Times New Roman"/>
                <w:b/>
                <w:bCs/>
                <w:color w:val="000000"/>
                <w:sz w:val="20"/>
                <w:szCs w:val="20"/>
              </w:rPr>
              <w:t>2017</w:t>
            </w:r>
          </w:p>
        </w:tc>
        <w:tc>
          <w:tcPr>
            <w:tcW w:w="938" w:type="dxa"/>
            <w:tcBorders>
              <w:top w:val="nil"/>
              <w:left w:val="nil"/>
              <w:bottom w:val="single" w:sz="8" w:space="0" w:color="000000"/>
              <w:right w:val="single" w:sz="8" w:space="0" w:color="000000"/>
            </w:tcBorders>
            <w:shd w:val="clear" w:color="auto" w:fill="auto"/>
            <w:vAlign w:val="center"/>
            <w:hideMark/>
          </w:tcPr>
          <w:p w14:paraId="50EFF70B" w14:textId="77777777" w:rsidR="00DB4368" w:rsidRPr="00DB4368" w:rsidRDefault="00DB4368" w:rsidP="00DB4368">
            <w:pPr>
              <w:spacing w:line="240" w:lineRule="auto"/>
              <w:jc w:val="right"/>
              <w:rPr>
                <w:rFonts w:eastAsia="Times New Roman"/>
                <w:b/>
                <w:bCs/>
                <w:color w:val="000000"/>
                <w:sz w:val="20"/>
                <w:szCs w:val="20"/>
                <w:lang w:val="en-IN"/>
              </w:rPr>
            </w:pPr>
            <w:r w:rsidRPr="00DB4368">
              <w:rPr>
                <w:rFonts w:eastAsia="Times New Roman"/>
                <w:b/>
                <w:bCs/>
                <w:color w:val="000000"/>
                <w:sz w:val="20"/>
                <w:szCs w:val="20"/>
              </w:rPr>
              <w:t>2018</w:t>
            </w:r>
          </w:p>
        </w:tc>
        <w:tc>
          <w:tcPr>
            <w:tcW w:w="938" w:type="dxa"/>
            <w:tcBorders>
              <w:top w:val="nil"/>
              <w:left w:val="nil"/>
              <w:bottom w:val="single" w:sz="8" w:space="0" w:color="000000"/>
              <w:right w:val="single" w:sz="8" w:space="0" w:color="000000"/>
            </w:tcBorders>
            <w:shd w:val="clear" w:color="auto" w:fill="auto"/>
            <w:vAlign w:val="center"/>
            <w:hideMark/>
          </w:tcPr>
          <w:p w14:paraId="20E53D63" w14:textId="77777777" w:rsidR="00DB4368" w:rsidRPr="00DB4368" w:rsidRDefault="00DB4368" w:rsidP="00DB4368">
            <w:pPr>
              <w:spacing w:line="240" w:lineRule="auto"/>
              <w:jc w:val="right"/>
              <w:rPr>
                <w:rFonts w:eastAsia="Times New Roman"/>
                <w:b/>
                <w:bCs/>
                <w:color w:val="000000"/>
                <w:sz w:val="20"/>
                <w:szCs w:val="20"/>
                <w:lang w:val="en-IN"/>
              </w:rPr>
            </w:pPr>
            <w:r w:rsidRPr="00DB4368">
              <w:rPr>
                <w:rFonts w:eastAsia="Times New Roman"/>
                <w:b/>
                <w:bCs/>
                <w:color w:val="000000"/>
                <w:sz w:val="20"/>
                <w:szCs w:val="20"/>
              </w:rPr>
              <w:t>2019</w:t>
            </w:r>
          </w:p>
        </w:tc>
        <w:tc>
          <w:tcPr>
            <w:tcW w:w="938" w:type="dxa"/>
            <w:tcBorders>
              <w:top w:val="nil"/>
              <w:left w:val="nil"/>
              <w:bottom w:val="single" w:sz="8" w:space="0" w:color="000000"/>
              <w:right w:val="single" w:sz="8" w:space="0" w:color="000000"/>
            </w:tcBorders>
            <w:shd w:val="clear" w:color="auto" w:fill="auto"/>
            <w:vAlign w:val="center"/>
            <w:hideMark/>
          </w:tcPr>
          <w:p w14:paraId="1570B105" w14:textId="77777777" w:rsidR="00DB4368" w:rsidRPr="00DB4368" w:rsidRDefault="00DB4368" w:rsidP="00DB4368">
            <w:pPr>
              <w:spacing w:line="240" w:lineRule="auto"/>
              <w:jc w:val="right"/>
              <w:rPr>
                <w:rFonts w:eastAsia="Times New Roman"/>
                <w:b/>
                <w:bCs/>
                <w:color w:val="000000"/>
                <w:sz w:val="20"/>
                <w:szCs w:val="20"/>
                <w:lang w:val="en-IN"/>
              </w:rPr>
            </w:pPr>
            <w:r w:rsidRPr="00DB4368">
              <w:rPr>
                <w:rFonts w:eastAsia="Times New Roman"/>
                <w:b/>
                <w:bCs/>
                <w:color w:val="000000"/>
                <w:sz w:val="20"/>
                <w:szCs w:val="20"/>
              </w:rPr>
              <w:t>2020</w:t>
            </w:r>
          </w:p>
        </w:tc>
      </w:tr>
      <w:tr w:rsidR="00DB4368" w:rsidRPr="00DB4368" w14:paraId="60CC8CF5" w14:textId="77777777" w:rsidTr="00DB4368">
        <w:trPr>
          <w:trHeight w:val="353"/>
        </w:trPr>
        <w:tc>
          <w:tcPr>
            <w:tcW w:w="2542" w:type="dxa"/>
            <w:tcBorders>
              <w:top w:val="nil"/>
              <w:left w:val="single" w:sz="8" w:space="0" w:color="000000"/>
              <w:bottom w:val="single" w:sz="8" w:space="0" w:color="000000"/>
              <w:right w:val="single" w:sz="8" w:space="0" w:color="000000"/>
            </w:tcBorders>
            <w:shd w:val="clear" w:color="auto" w:fill="auto"/>
            <w:vAlign w:val="center"/>
            <w:hideMark/>
          </w:tcPr>
          <w:p w14:paraId="072338AD" w14:textId="77777777" w:rsidR="00DB4368" w:rsidRPr="00DB4368" w:rsidRDefault="00DB4368" w:rsidP="00DB4368">
            <w:pPr>
              <w:spacing w:line="240" w:lineRule="auto"/>
              <w:rPr>
                <w:rFonts w:eastAsia="Times New Roman"/>
                <w:b/>
                <w:bCs/>
                <w:color w:val="000000"/>
                <w:sz w:val="20"/>
                <w:szCs w:val="20"/>
                <w:lang w:val="en-IN"/>
              </w:rPr>
            </w:pPr>
            <w:r w:rsidRPr="00DB4368">
              <w:rPr>
                <w:rFonts w:eastAsia="Times New Roman"/>
                <w:b/>
                <w:bCs/>
                <w:color w:val="000000"/>
                <w:sz w:val="20"/>
                <w:szCs w:val="20"/>
              </w:rPr>
              <w:t>AVG operational profit</w:t>
            </w:r>
          </w:p>
        </w:tc>
        <w:tc>
          <w:tcPr>
            <w:tcW w:w="1279" w:type="dxa"/>
            <w:tcBorders>
              <w:top w:val="nil"/>
              <w:left w:val="nil"/>
              <w:bottom w:val="single" w:sz="8" w:space="0" w:color="000000"/>
              <w:right w:val="single" w:sz="8" w:space="0" w:color="000000"/>
            </w:tcBorders>
            <w:shd w:val="clear" w:color="auto" w:fill="auto"/>
            <w:vAlign w:val="center"/>
            <w:hideMark/>
          </w:tcPr>
          <w:p w14:paraId="6D420BF4"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398</w:t>
            </w:r>
          </w:p>
        </w:tc>
        <w:tc>
          <w:tcPr>
            <w:tcW w:w="938" w:type="dxa"/>
            <w:tcBorders>
              <w:top w:val="nil"/>
              <w:left w:val="nil"/>
              <w:bottom w:val="single" w:sz="8" w:space="0" w:color="000000"/>
              <w:right w:val="single" w:sz="8" w:space="0" w:color="000000"/>
            </w:tcBorders>
            <w:shd w:val="clear" w:color="auto" w:fill="auto"/>
            <w:vAlign w:val="center"/>
            <w:hideMark/>
          </w:tcPr>
          <w:p w14:paraId="19D177F2"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447</w:t>
            </w:r>
          </w:p>
        </w:tc>
        <w:tc>
          <w:tcPr>
            <w:tcW w:w="938" w:type="dxa"/>
            <w:tcBorders>
              <w:top w:val="nil"/>
              <w:left w:val="nil"/>
              <w:bottom w:val="single" w:sz="8" w:space="0" w:color="000000"/>
              <w:right w:val="single" w:sz="8" w:space="0" w:color="000000"/>
            </w:tcBorders>
            <w:shd w:val="clear" w:color="auto" w:fill="auto"/>
            <w:vAlign w:val="center"/>
            <w:hideMark/>
          </w:tcPr>
          <w:p w14:paraId="13F32C66"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508</w:t>
            </w:r>
          </w:p>
        </w:tc>
        <w:tc>
          <w:tcPr>
            <w:tcW w:w="938" w:type="dxa"/>
            <w:tcBorders>
              <w:top w:val="nil"/>
              <w:left w:val="nil"/>
              <w:bottom w:val="single" w:sz="8" w:space="0" w:color="000000"/>
              <w:right w:val="single" w:sz="8" w:space="0" w:color="000000"/>
            </w:tcBorders>
            <w:shd w:val="clear" w:color="auto" w:fill="auto"/>
            <w:vAlign w:val="center"/>
            <w:hideMark/>
          </w:tcPr>
          <w:p w14:paraId="72FB0258"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567</w:t>
            </w:r>
          </w:p>
        </w:tc>
        <w:tc>
          <w:tcPr>
            <w:tcW w:w="938" w:type="dxa"/>
            <w:tcBorders>
              <w:top w:val="nil"/>
              <w:left w:val="nil"/>
              <w:bottom w:val="single" w:sz="8" w:space="0" w:color="000000"/>
              <w:right w:val="single" w:sz="8" w:space="0" w:color="000000"/>
            </w:tcBorders>
            <w:shd w:val="clear" w:color="auto" w:fill="auto"/>
            <w:vAlign w:val="center"/>
            <w:hideMark/>
          </w:tcPr>
          <w:p w14:paraId="2295DA23"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624</w:t>
            </w:r>
          </w:p>
        </w:tc>
        <w:tc>
          <w:tcPr>
            <w:tcW w:w="938" w:type="dxa"/>
            <w:tcBorders>
              <w:top w:val="nil"/>
              <w:left w:val="nil"/>
              <w:bottom w:val="single" w:sz="8" w:space="0" w:color="000000"/>
              <w:right w:val="single" w:sz="8" w:space="0" w:color="000000"/>
            </w:tcBorders>
            <w:shd w:val="clear" w:color="auto" w:fill="auto"/>
            <w:vAlign w:val="center"/>
            <w:hideMark/>
          </w:tcPr>
          <w:p w14:paraId="69DE4768"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669</w:t>
            </w:r>
          </w:p>
        </w:tc>
        <w:tc>
          <w:tcPr>
            <w:tcW w:w="938" w:type="dxa"/>
            <w:tcBorders>
              <w:top w:val="nil"/>
              <w:left w:val="nil"/>
              <w:bottom w:val="single" w:sz="8" w:space="0" w:color="000000"/>
              <w:right w:val="single" w:sz="8" w:space="0" w:color="000000"/>
            </w:tcBorders>
            <w:shd w:val="clear" w:color="auto" w:fill="auto"/>
            <w:vAlign w:val="center"/>
            <w:hideMark/>
          </w:tcPr>
          <w:p w14:paraId="0F6640B1"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682</w:t>
            </w:r>
          </w:p>
        </w:tc>
      </w:tr>
      <w:tr w:rsidR="00DB4368" w:rsidRPr="00DB4368" w14:paraId="1C7E43EC" w14:textId="77777777" w:rsidTr="00DB4368">
        <w:trPr>
          <w:trHeight w:val="353"/>
        </w:trPr>
        <w:tc>
          <w:tcPr>
            <w:tcW w:w="2542" w:type="dxa"/>
            <w:tcBorders>
              <w:top w:val="nil"/>
              <w:left w:val="single" w:sz="8" w:space="0" w:color="000000"/>
              <w:bottom w:val="single" w:sz="8" w:space="0" w:color="000000"/>
              <w:right w:val="single" w:sz="8" w:space="0" w:color="000000"/>
            </w:tcBorders>
            <w:shd w:val="clear" w:color="auto" w:fill="auto"/>
            <w:vAlign w:val="center"/>
            <w:hideMark/>
          </w:tcPr>
          <w:p w14:paraId="224877DC" w14:textId="77777777" w:rsidR="00DB4368" w:rsidRPr="00DB4368" w:rsidRDefault="00DB4368" w:rsidP="00DB4368">
            <w:pPr>
              <w:spacing w:line="240" w:lineRule="auto"/>
              <w:rPr>
                <w:rFonts w:eastAsia="Times New Roman"/>
                <w:b/>
                <w:bCs/>
                <w:color w:val="000000"/>
                <w:sz w:val="20"/>
                <w:szCs w:val="20"/>
                <w:lang w:val="en-IN"/>
              </w:rPr>
            </w:pPr>
            <w:r w:rsidRPr="00DB4368">
              <w:rPr>
                <w:rFonts w:eastAsia="Times New Roman"/>
                <w:b/>
                <w:bCs/>
                <w:color w:val="000000"/>
                <w:sz w:val="20"/>
                <w:szCs w:val="20"/>
              </w:rPr>
              <w:t>NOPAT</w:t>
            </w:r>
          </w:p>
        </w:tc>
        <w:tc>
          <w:tcPr>
            <w:tcW w:w="1279" w:type="dxa"/>
            <w:tcBorders>
              <w:top w:val="nil"/>
              <w:left w:val="nil"/>
              <w:bottom w:val="single" w:sz="8" w:space="0" w:color="000000"/>
              <w:right w:val="single" w:sz="8" w:space="0" w:color="000000"/>
            </w:tcBorders>
            <w:shd w:val="clear" w:color="auto" w:fill="auto"/>
            <w:vAlign w:val="center"/>
            <w:hideMark/>
          </w:tcPr>
          <w:p w14:paraId="512AF921"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246.76</w:t>
            </w:r>
          </w:p>
        </w:tc>
        <w:tc>
          <w:tcPr>
            <w:tcW w:w="938" w:type="dxa"/>
            <w:tcBorders>
              <w:top w:val="nil"/>
              <w:left w:val="nil"/>
              <w:bottom w:val="single" w:sz="8" w:space="0" w:color="000000"/>
              <w:right w:val="single" w:sz="8" w:space="0" w:color="000000"/>
            </w:tcBorders>
            <w:shd w:val="clear" w:color="auto" w:fill="auto"/>
            <w:vAlign w:val="center"/>
            <w:hideMark/>
          </w:tcPr>
          <w:p w14:paraId="78A44864"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277.14</w:t>
            </w:r>
          </w:p>
        </w:tc>
        <w:tc>
          <w:tcPr>
            <w:tcW w:w="938" w:type="dxa"/>
            <w:tcBorders>
              <w:top w:val="nil"/>
              <w:left w:val="nil"/>
              <w:bottom w:val="single" w:sz="8" w:space="0" w:color="000000"/>
              <w:right w:val="single" w:sz="8" w:space="0" w:color="000000"/>
            </w:tcBorders>
            <w:shd w:val="clear" w:color="auto" w:fill="auto"/>
            <w:vAlign w:val="center"/>
            <w:hideMark/>
          </w:tcPr>
          <w:p w14:paraId="517A29A0"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314.96</w:t>
            </w:r>
          </w:p>
        </w:tc>
        <w:tc>
          <w:tcPr>
            <w:tcW w:w="938" w:type="dxa"/>
            <w:tcBorders>
              <w:top w:val="nil"/>
              <w:left w:val="nil"/>
              <w:bottom w:val="single" w:sz="8" w:space="0" w:color="000000"/>
              <w:right w:val="single" w:sz="8" w:space="0" w:color="000000"/>
            </w:tcBorders>
            <w:shd w:val="clear" w:color="auto" w:fill="auto"/>
            <w:vAlign w:val="center"/>
            <w:hideMark/>
          </w:tcPr>
          <w:p w14:paraId="569BBE5C"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351.54</w:t>
            </w:r>
          </w:p>
        </w:tc>
        <w:tc>
          <w:tcPr>
            <w:tcW w:w="938" w:type="dxa"/>
            <w:tcBorders>
              <w:top w:val="nil"/>
              <w:left w:val="nil"/>
              <w:bottom w:val="single" w:sz="8" w:space="0" w:color="000000"/>
              <w:right w:val="single" w:sz="8" w:space="0" w:color="000000"/>
            </w:tcBorders>
            <w:shd w:val="clear" w:color="auto" w:fill="auto"/>
            <w:vAlign w:val="center"/>
            <w:hideMark/>
          </w:tcPr>
          <w:p w14:paraId="2FE2A418"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386.88</w:t>
            </w:r>
          </w:p>
        </w:tc>
        <w:tc>
          <w:tcPr>
            <w:tcW w:w="938" w:type="dxa"/>
            <w:tcBorders>
              <w:top w:val="nil"/>
              <w:left w:val="nil"/>
              <w:bottom w:val="single" w:sz="8" w:space="0" w:color="000000"/>
              <w:right w:val="single" w:sz="8" w:space="0" w:color="000000"/>
            </w:tcBorders>
            <w:shd w:val="clear" w:color="auto" w:fill="auto"/>
            <w:vAlign w:val="center"/>
            <w:hideMark/>
          </w:tcPr>
          <w:p w14:paraId="24BDE9F0"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414.78</w:t>
            </w:r>
          </w:p>
        </w:tc>
        <w:tc>
          <w:tcPr>
            <w:tcW w:w="938" w:type="dxa"/>
            <w:tcBorders>
              <w:top w:val="nil"/>
              <w:left w:val="nil"/>
              <w:bottom w:val="single" w:sz="8" w:space="0" w:color="000000"/>
              <w:right w:val="single" w:sz="8" w:space="0" w:color="000000"/>
            </w:tcBorders>
            <w:shd w:val="clear" w:color="auto" w:fill="auto"/>
            <w:vAlign w:val="center"/>
            <w:hideMark/>
          </w:tcPr>
          <w:p w14:paraId="24C45F07"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422.84</w:t>
            </w:r>
          </w:p>
        </w:tc>
      </w:tr>
      <w:tr w:rsidR="00DB4368" w:rsidRPr="00DB4368" w14:paraId="7FD49BE5" w14:textId="77777777" w:rsidTr="00DB4368">
        <w:trPr>
          <w:trHeight w:val="353"/>
        </w:trPr>
        <w:tc>
          <w:tcPr>
            <w:tcW w:w="2542" w:type="dxa"/>
            <w:tcBorders>
              <w:top w:val="nil"/>
              <w:left w:val="single" w:sz="8" w:space="0" w:color="000000"/>
              <w:bottom w:val="single" w:sz="8" w:space="0" w:color="000000"/>
              <w:right w:val="single" w:sz="8" w:space="0" w:color="000000"/>
            </w:tcBorders>
            <w:shd w:val="clear" w:color="auto" w:fill="auto"/>
            <w:vAlign w:val="center"/>
            <w:hideMark/>
          </w:tcPr>
          <w:p w14:paraId="330066F0" w14:textId="77777777" w:rsidR="00DB4368" w:rsidRPr="00DB4368" w:rsidRDefault="00DB4368" w:rsidP="00DB4368">
            <w:pPr>
              <w:spacing w:line="240" w:lineRule="auto"/>
              <w:rPr>
                <w:rFonts w:eastAsia="Times New Roman"/>
                <w:b/>
                <w:bCs/>
                <w:color w:val="000000"/>
                <w:sz w:val="20"/>
                <w:szCs w:val="20"/>
                <w:lang w:val="en-IN"/>
              </w:rPr>
            </w:pPr>
            <w:r w:rsidRPr="00DB4368">
              <w:rPr>
                <w:rFonts w:eastAsia="Times New Roman"/>
                <w:b/>
                <w:bCs/>
                <w:color w:val="000000"/>
                <w:sz w:val="20"/>
                <w:szCs w:val="20"/>
              </w:rPr>
              <w:t>Depreciation</w:t>
            </w:r>
          </w:p>
        </w:tc>
        <w:tc>
          <w:tcPr>
            <w:tcW w:w="1279" w:type="dxa"/>
            <w:tcBorders>
              <w:top w:val="nil"/>
              <w:left w:val="nil"/>
              <w:bottom w:val="single" w:sz="8" w:space="0" w:color="000000"/>
              <w:right w:val="single" w:sz="8" w:space="0" w:color="000000"/>
            </w:tcBorders>
            <w:shd w:val="clear" w:color="auto" w:fill="auto"/>
            <w:vAlign w:val="center"/>
            <w:hideMark/>
          </w:tcPr>
          <w:p w14:paraId="3179D37D"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c>
          <w:tcPr>
            <w:tcW w:w="938" w:type="dxa"/>
            <w:tcBorders>
              <w:top w:val="nil"/>
              <w:left w:val="nil"/>
              <w:bottom w:val="single" w:sz="8" w:space="0" w:color="000000"/>
              <w:right w:val="single" w:sz="8" w:space="0" w:color="000000"/>
            </w:tcBorders>
            <w:shd w:val="clear" w:color="auto" w:fill="auto"/>
            <w:vAlign w:val="center"/>
            <w:hideMark/>
          </w:tcPr>
          <w:p w14:paraId="29B33522"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317</w:t>
            </w:r>
          </w:p>
        </w:tc>
        <w:tc>
          <w:tcPr>
            <w:tcW w:w="938" w:type="dxa"/>
            <w:tcBorders>
              <w:top w:val="nil"/>
              <w:left w:val="nil"/>
              <w:bottom w:val="single" w:sz="8" w:space="0" w:color="000000"/>
              <w:right w:val="single" w:sz="8" w:space="0" w:color="000000"/>
            </w:tcBorders>
            <w:shd w:val="clear" w:color="auto" w:fill="auto"/>
            <w:vAlign w:val="center"/>
            <w:hideMark/>
          </w:tcPr>
          <w:p w14:paraId="5B0A2135"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339</w:t>
            </w:r>
          </w:p>
        </w:tc>
        <w:tc>
          <w:tcPr>
            <w:tcW w:w="938" w:type="dxa"/>
            <w:tcBorders>
              <w:top w:val="nil"/>
              <w:left w:val="nil"/>
              <w:bottom w:val="single" w:sz="8" w:space="0" w:color="000000"/>
              <w:right w:val="single" w:sz="8" w:space="0" w:color="000000"/>
            </w:tcBorders>
            <w:shd w:val="clear" w:color="auto" w:fill="auto"/>
            <w:vAlign w:val="center"/>
            <w:hideMark/>
          </w:tcPr>
          <w:p w14:paraId="2EA8CF83"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345</w:t>
            </w:r>
          </w:p>
        </w:tc>
        <w:tc>
          <w:tcPr>
            <w:tcW w:w="938" w:type="dxa"/>
            <w:tcBorders>
              <w:top w:val="nil"/>
              <w:left w:val="nil"/>
              <w:bottom w:val="single" w:sz="8" w:space="0" w:color="000000"/>
              <w:right w:val="single" w:sz="8" w:space="0" w:color="000000"/>
            </w:tcBorders>
            <w:shd w:val="clear" w:color="auto" w:fill="auto"/>
            <w:vAlign w:val="center"/>
            <w:hideMark/>
          </w:tcPr>
          <w:p w14:paraId="1D2DA597"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353</w:t>
            </w:r>
          </w:p>
        </w:tc>
        <w:tc>
          <w:tcPr>
            <w:tcW w:w="938" w:type="dxa"/>
            <w:tcBorders>
              <w:top w:val="nil"/>
              <w:left w:val="nil"/>
              <w:bottom w:val="single" w:sz="8" w:space="0" w:color="000000"/>
              <w:right w:val="single" w:sz="8" w:space="0" w:color="000000"/>
            </w:tcBorders>
            <w:shd w:val="clear" w:color="auto" w:fill="auto"/>
            <w:vAlign w:val="center"/>
            <w:hideMark/>
          </w:tcPr>
          <w:p w14:paraId="7B3652E4"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369</w:t>
            </w:r>
          </w:p>
        </w:tc>
        <w:tc>
          <w:tcPr>
            <w:tcW w:w="938" w:type="dxa"/>
            <w:tcBorders>
              <w:top w:val="nil"/>
              <w:left w:val="nil"/>
              <w:bottom w:val="single" w:sz="8" w:space="0" w:color="000000"/>
              <w:right w:val="single" w:sz="8" w:space="0" w:color="000000"/>
            </w:tcBorders>
            <w:shd w:val="clear" w:color="auto" w:fill="auto"/>
            <w:vAlign w:val="center"/>
            <w:hideMark/>
          </w:tcPr>
          <w:p w14:paraId="6E16E824"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r>
      <w:tr w:rsidR="00DB4368" w:rsidRPr="00DB4368" w14:paraId="44F97B12" w14:textId="77777777" w:rsidTr="00DB4368">
        <w:trPr>
          <w:trHeight w:val="353"/>
        </w:trPr>
        <w:tc>
          <w:tcPr>
            <w:tcW w:w="2542" w:type="dxa"/>
            <w:tcBorders>
              <w:top w:val="nil"/>
              <w:left w:val="single" w:sz="8" w:space="0" w:color="000000"/>
              <w:bottom w:val="single" w:sz="8" w:space="0" w:color="000000"/>
              <w:right w:val="single" w:sz="8" w:space="0" w:color="000000"/>
            </w:tcBorders>
            <w:shd w:val="clear" w:color="auto" w:fill="auto"/>
            <w:vAlign w:val="center"/>
            <w:hideMark/>
          </w:tcPr>
          <w:p w14:paraId="1A6D92E9" w14:textId="77777777" w:rsidR="00DB4368" w:rsidRPr="00DB4368" w:rsidRDefault="00DB4368" w:rsidP="00DB4368">
            <w:pPr>
              <w:spacing w:line="240" w:lineRule="auto"/>
              <w:rPr>
                <w:rFonts w:eastAsia="Times New Roman"/>
                <w:b/>
                <w:bCs/>
                <w:color w:val="000000"/>
                <w:sz w:val="20"/>
                <w:szCs w:val="20"/>
                <w:lang w:val="en-IN"/>
              </w:rPr>
            </w:pPr>
            <w:r w:rsidRPr="00DB4368">
              <w:rPr>
                <w:rFonts w:eastAsia="Times New Roman"/>
                <w:b/>
                <w:bCs/>
                <w:color w:val="000000"/>
                <w:sz w:val="20"/>
                <w:szCs w:val="20"/>
              </w:rPr>
              <w:t>Change in PPE</w:t>
            </w:r>
          </w:p>
        </w:tc>
        <w:tc>
          <w:tcPr>
            <w:tcW w:w="1279" w:type="dxa"/>
            <w:tcBorders>
              <w:top w:val="nil"/>
              <w:left w:val="nil"/>
              <w:bottom w:val="single" w:sz="8" w:space="0" w:color="000000"/>
              <w:right w:val="single" w:sz="8" w:space="0" w:color="000000"/>
            </w:tcBorders>
            <w:shd w:val="clear" w:color="auto" w:fill="auto"/>
            <w:vAlign w:val="center"/>
            <w:hideMark/>
          </w:tcPr>
          <w:p w14:paraId="78A9ABB7"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c>
          <w:tcPr>
            <w:tcW w:w="938" w:type="dxa"/>
            <w:tcBorders>
              <w:top w:val="nil"/>
              <w:left w:val="nil"/>
              <w:bottom w:val="single" w:sz="8" w:space="0" w:color="000000"/>
              <w:right w:val="single" w:sz="8" w:space="0" w:color="000000"/>
            </w:tcBorders>
            <w:shd w:val="clear" w:color="auto" w:fill="auto"/>
            <w:vAlign w:val="center"/>
            <w:hideMark/>
          </w:tcPr>
          <w:p w14:paraId="202D78BA"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81</w:t>
            </w:r>
          </w:p>
        </w:tc>
        <w:tc>
          <w:tcPr>
            <w:tcW w:w="938" w:type="dxa"/>
            <w:tcBorders>
              <w:top w:val="nil"/>
              <w:left w:val="nil"/>
              <w:bottom w:val="single" w:sz="8" w:space="0" w:color="000000"/>
              <w:right w:val="single" w:sz="8" w:space="0" w:color="000000"/>
            </w:tcBorders>
            <w:shd w:val="clear" w:color="auto" w:fill="auto"/>
            <w:vAlign w:val="center"/>
            <w:hideMark/>
          </w:tcPr>
          <w:p w14:paraId="0B7D4B1E"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66</w:t>
            </w:r>
          </w:p>
        </w:tc>
        <w:tc>
          <w:tcPr>
            <w:tcW w:w="938" w:type="dxa"/>
            <w:tcBorders>
              <w:top w:val="nil"/>
              <w:left w:val="nil"/>
              <w:bottom w:val="single" w:sz="8" w:space="0" w:color="000000"/>
              <w:right w:val="single" w:sz="8" w:space="0" w:color="000000"/>
            </w:tcBorders>
            <w:shd w:val="clear" w:color="auto" w:fill="auto"/>
            <w:vAlign w:val="center"/>
            <w:hideMark/>
          </w:tcPr>
          <w:p w14:paraId="60B785AE"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19</w:t>
            </w:r>
          </w:p>
        </w:tc>
        <w:tc>
          <w:tcPr>
            <w:tcW w:w="938" w:type="dxa"/>
            <w:tcBorders>
              <w:top w:val="nil"/>
              <w:left w:val="nil"/>
              <w:bottom w:val="single" w:sz="8" w:space="0" w:color="000000"/>
              <w:right w:val="single" w:sz="8" w:space="0" w:color="000000"/>
            </w:tcBorders>
            <w:shd w:val="clear" w:color="auto" w:fill="auto"/>
            <w:vAlign w:val="center"/>
            <w:hideMark/>
          </w:tcPr>
          <w:p w14:paraId="7B903E7F"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23</w:t>
            </w:r>
          </w:p>
        </w:tc>
        <w:tc>
          <w:tcPr>
            <w:tcW w:w="938" w:type="dxa"/>
            <w:tcBorders>
              <w:top w:val="nil"/>
              <w:left w:val="nil"/>
              <w:bottom w:val="single" w:sz="8" w:space="0" w:color="000000"/>
              <w:right w:val="single" w:sz="8" w:space="0" w:color="000000"/>
            </w:tcBorders>
            <w:shd w:val="clear" w:color="auto" w:fill="auto"/>
            <w:vAlign w:val="center"/>
            <w:hideMark/>
          </w:tcPr>
          <w:p w14:paraId="67BA899E"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47</w:t>
            </w:r>
          </w:p>
        </w:tc>
        <w:tc>
          <w:tcPr>
            <w:tcW w:w="938" w:type="dxa"/>
            <w:tcBorders>
              <w:top w:val="nil"/>
              <w:left w:val="nil"/>
              <w:bottom w:val="single" w:sz="8" w:space="0" w:color="000000"/>
              <w:right w:val="single" w:sz="8" w:space="0" w:color="000000"/>
            </w:tcBorders>
            <w:shd w:val="clear" w:color="auto" w:fill="auto"/>
            <w:vAlign w:val="center"/>
            <w:hideMark/>
          </w:tcPr>
          <w:p w14:paraId="7A3E596C"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22</w:t>
            </w:r>
          </w:p>
        </w:tc>
      </w:tr>
      <w:tr w:rsidR="00DB4368" w:rsidRPr="00DB4368" w14:paraId="25CD7389" w14:textId="77777777" w:rsidTr="00DB4368">
        <w:trPr>
          <w:trHeight w:val="353"/>
        </w:trPr>
        <w:tc>
          <w:tcPr>
            <w:tcW w:w="2542" w:type="dxa"/>
            <w:tcBorders>
              <w:top w:val="nil"/>
              <w:left w:val="single" w:sz="8" w:space="0" w:color="000000"/>
              <w:bottom w:val="single" w:sz="8" w:space="0" w:color="000000"/>
              <w:right w:val="single" w:sz="8" w:space="0" w:color="000000"/>
            </w:tcBorders>
            <w:shd w:val="clear" w:color="auto" w:fill="auto"/>
            <w:vAlign w:val="center"/>
            <w:hideMark/>
          </w:tcPr>
          <w:p w14:paraId="31F33EAD" w14:textId="77777777" w:rsidR="00DB4368" w:rsidRPr="00DB4368" w:rsidRDefault="00DB4368" w:rsidP="00DB4368">
            <w:pPr>
              <w:spacing w:line="240" w:lineRule="auto"/>
              <w:rPr>
                <w:rFonts w:eastAsia="Times New Roman"/>
                <w:b/>
                <w:bCs/>
                <w:color w:val="000000"/>
                <w:sz w:val="20"/>
                <w:szCs w:val="20"/>
                <w:lang w:val="en-IN"/>
              </w:rPr>
            </w:pPr>
            <w:r w:rsidRPr="00DB4368">
              <w:rPr>
                <w:rFonts w:eastAsia="Times New Roman"/>
                <w:b/>
                <w:bCs/>
                <w:color w:val="000000"/>
                <w:sz w:val="20"/>
                <w:szCs w:val="20"/>
              </w:rPr>
              <w:t>Change in NWC</w:t>
            </w:r>
          </w:p>
        </w:tc>
        <w:tc>
          <w:tcPr>
            <w:tcW w:w="1279" w:type="dxa"/>
            <w:tcBorders>
              <w:top w:val="nil"/>
              <w:left w:val="nil"/>
              <w:bottom w:val="single" w:sz="8" w:space="0" w:color="000000"/>
              <w:right w:val="single" w:sz="8" w:space="0" w:color="000000"/>
            </w:tcBorders>
            <w:shd w:val="clear" w:color="auto" w:fill="auto"/>
            <w:vAlign w:val="center"/>
            <w:hideMark/>
          </w:tcPr>
          <w:p w14:paraId="5BB84438"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c>
          <w:tcPr>
            <w:tcW w:w="938" w:type="dxa"/>
            <w:tcBorders>
              <w:top w:val="nil"/>
              <w:left w:val="nil"/>
              <w:bottom w:val="single" w:sz="8" w:space="0" w:color="000000"/>
              <w:right w:val="single" w:sz="8" w:space="0" w:color="000000"/>
            </w:tcBorders>
            <w:shd w:val="clear" w:color="auto" w:fill="auto"/>
            <w:vAlign w:val="center"/>
            <w:hideMark/>
          </w:tcPr>
          <w:p w14:paraId="471DFC39"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88</w:t>
            </w:r>
          </w:p>
        </w:tc>
        <w:tc>
          <w:tcPr>
            <w:tcW w:w="938" w:type="dxa"/>
            <w:tcBorders>
              <w:top w:val="nil"/>
              <w:left w:val="nil"/>
              <w:bottom w:val="single" w:sz="8" w:space="0" w:color="000000"/>
              <w:right w:val="single" w:sz="8" w:space="0" w:color="000000"/>
            </w:tcBorders>
            <w:shd w:val="clear" w:color="auto" w:fill="auto"/>
            <w:vAlign w:val="center"/>
            <w:hideMark/>
          </w:tcPr>
          <w:p w14:paraId="6461F56A"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54</w:t>
            </w:r>
          </w:p>
        </w:tc>
        <w:tc>
          <w:tcPr>
            <w:tcW w:w="938" w:type="dxa"/>
            <w:tcBorders>
              <w:top w:val="nil"/>
              <w:left w:val="nil"/>
              <w:bottom w:val="single" w:sz="8" w:space="0" w:color="000000"/>
              <w:right w:val="single" w:sz="8" w:space="0" w:color="000000"/>
            </w:tcBorders>
            <w:shd w:val="clear" w:color="auto" w:fill="auto"/>
            <w:vAlign w:val="center"/>
            <w:hideMark/>
          </w:tcPr>
          <w:p w14:paraId="1D10D421"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49</w:t>
            </w:r>
          </w:p>
        </w:tc>
        <w:tc>
          <w:tcPr>
            <w:tcW w:w="938" w:type="dxa"/>
            <w:tcBorders>
              <w:top w:val="nil"/>
              <w:left w:val="nil"/>
              <w:bottom w:val="single" w:sz="8" w:space="0" w:color="000000"/>
              <w:right w:val="single" w:sz="8" w:space="0" w:color="000000"/>
            </w:tcBorders>
            <w:shd w:val="clear" w:color="auto" w:fill="auto"/>
            <w:vAlign w:val="center"/>
            <w:hideMark/>
          </w:tcPr>
          <w:p w14:paraId="29A6A9B1"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131</w:t>
            </w:r>
          </w:p>
        </w:tc>
        <w:tc>
          <w:tcPr>
            <w:tcW w:w="938" w:type="dxa"/>
            <w:tcBorders>
              <w:top w:val="nil"/>
              <w:left w:val="nil"/>
              <w:bottom w:val="single" w:sz="8" w:space="0" w:color="000000"/>
              <w:right w:val="single" w:sz="8" w:space="0" w:color="000000"/>
            </w:tcBorders>
            <w:shd w:val="clear" w:color="auto" w:fill="auto"/>
            <w:vAlign w:val="center"/>
            <w:hideMark/>
          </w:tcPr>
          <w:p w14:paraId="79C8AB83"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128</w:t>
            </w:r>
          </w:p>
        </w:tc>
        <w:tc>
          <w:tcPr>
            <w:tcW w:w="938" w:type="dxa"/>
            <w:tcBorders>
              <w:top w:val="nil"/>
              <w:left w:val="nil"/>
              <w:bottom w:val="single" w:sz="8" w:space="0" w:color="000000"/>
              <w:right w:val="single" w:sz="8" w:space="0" w:color="000000"/>
            </w:tcBorders>
            <w:shd w:val="clear" w:color="auto" w:fill="auto"/>
            <w:vAlign w:val="center"/>
            <w:hideMark/>
          </w:tcPr>
          <w:p w14:paraId="2268B3FB"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38</w:t>
            </w:r>
          </w:p>
        </w:tc>
      </w:tr>
      <w:tr w:rsidR="00DB4368" w:rsidRPr="00DB4368" w14:paraId="5577726B" w14:textId="77777777" w:rsidTr="00DB4368">
        <w:trPr>
          <w:trHeight w:val="353"/>
        </w:trPr>
        <w:tc>
          <w:tcPr>
            <w:tcW w:w="2542" w:type="dxa"/>
            <w:tcBorders>
              <w:top w:val="nil"/>
              <w:left w:val="single" w:sz="8" w:space="0" w:color="000000"/>
              <w:bottom w:val="single" w:sz="8" w:space="0" w:color="000000"/>
              <w:right w:val="single" w:sz="8" w:space="0" w:color="000000"/>
            </w:tcBorders>
            <w:shd w:val="clear" w:color="auto" w:fill="auto"/>
            <w:vAlign w:val="center"/>
            <w:hideMark/>
          </w:tcPr>
          <w:p w14:paraId="55D60FF5" w14:textId="77777777" w:rsidR="00DB4368" w:rsidRPr="00DB4368" w:rsidRDefault="00DB4368" w:rsidP="00DB4368">
            <w:pPr>
              <w:spacing w:line="240" w:lineRule="auto"/>
              <w:rPr>
                <w:rFonts w:eastAsia="Times New Roman"/>
                <w:b/>
                <w:bCs/>
                <w:color w:val="000000"/>
                <w:sz w:val="20"/>
                <w:szCs w:val="20"/>
                <w:lang w:val="en-IN"/>
              </w:rPr>
            </w:pPr>
            <w:r w:rsidRPr="00DB4368">
              <w:rPr>
                <w:rFonts w:eastAsia="Times New Roman"/>
                <w:b/>
                <w:bCs/>
                <w:color w:val="000000"/>
                <w:sz w:val="20"/>
                <w:szCs w:val="20"/>
              </w:rPr>
              <w:t>FCFF</w:t>
            </w:r>
          </w:p>
        </w:tc>
        <w:tc>
          <w:tcPr>
            <w:tcW w:w="1279" w:type="dxa"/>
            <w:tcBorders>
              <w:top w:val="nil"/>
              <w:left w:val="nil"/>
              <w:bottom w:val="single" w:sz="8" w:space="0" w:color="000000"/>
              <w:right w:val="single" w:sz="8" w:space="0" w:color="000000"/>
            </w:tcBorders>
            <w:shd w:val="clear" w:color="auto" w:fill="auto"/>
            <w:vAlign w:val="center"/>
            <w:hideMark/>
          </w:tcPr>
          <w:p w14:paraId="102F04E5"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 </w:t>
            </w:r>
          </w:p>
        </w:tc>
        <w:tc>
          <w:tcPr>
            <w:tcW w:w="938" w:type="dxa"/>
            <w:tcBorders>
              <w:top w:val="nil"/>
              <w:left w:val="nil"/>
              <w:bottom w:val="single" w:sz="8" w:space="0" w:color="000000"/>
              <w:right w:val="single" w:sz="8" w:space="0" w:color="000000"/>
            </w:tcBorders>
            <w:shd w:val="clear" w:color="auto" w:fill="auto"/>
            <w:vAlign w:val="center"/>
            <w:hideMark/>
          </w:tcPr>
          <w:p w14:paraId="76DB8554"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424</w:t>
            </w:r>
          </w:p>
        </w:tc>
        <w:tc>
          <w:tcPr>
            <w:tcW w:w="938" w:type="dxa"/>
            <w:tcBorders>
              <w:top w:val="nil"/>
              <w:left w:val="nil"/>
              <w:bottom w:val="single" w:sz="8" w:space="0" w:color="000000"/>
              <w:right w:val="single" w:sz="8" w:space="0" w:color="000000"/>
            </w:tcBorders>
            <w:shd w:val="clear" w:color="auto" w:fill="auto"/>
            <w:vAlign w:val="center"/>
            <w:hideMark/>
          </w:tcPr>
          <w:p w14:paraId="5E96D3EF"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534</w:t>
            </w:r>
          </w:p>
        </w:tc>
        <w:tc>
          <w:tcPr>
            <w:tcW w:w="938" w:type="dxa"/>
            <w:tcBorders>
              <w:top w:val="nil"/>
              <w:left w:val="nil"/>
              <w:bottom w:val="single" w:sz="8" w:space="0" w:color="000000"/>
              <w:right w:val="single" w:sz="8" w:space="0" w:color="000000"/>
            </w:tcBorders>
            <w:shd w:val="clear" w:color="auto" w:fill="auto"/>
            <w:vAlign w:val="center"/>
            <w:hideMark/>
          </w:tcPr>
          <w:p w14:paraId="5B4D71BB"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629</w:t>
            </w:r>
          </w:p>
        </w:tc>
        <w:tc>
          <w:tcPr>
            <w:tcW w:w="938" w:type="dxa"/>
            <w:tcBorders>
              <w:top w:val="nil"/>
              <w:left w:val="nil"/>
              <w:bottom w:val="single" w:sz="8" w:space="0" w:color="000000"/>
              <w:right w:val="single" w:sz="8" w:space="0" w:color="000000"/>
            </w:tcBorders>
            <w:shd w:val="clear" w:color="auto" w:fill="auto"/>
            <w:vAlign w:val="center"/>
            <w:hideMark/>
          </w:tcPr>
          <w:p w14:paraId="45110114"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586</w:t>
            </w:r>
          </w:p>
        </w:tc>
        <w:tc>
          <w:tcPr>
            <w:tcW w:w="938" w:type="dxa"/>
            <w:tcBorders>
              <w:top w:val="nil"/>
              <w:left w:val="nil"/>
              <w:bottom w:val="single" w:sz="8" w:space="0" w:color="000000"/>
              <w:right w:val="single" w:sz="8" w:space="0" w:color="000000"/>
            </w:tcBorders>
            <w:shd w:val="clear" w:color="auto" w:fill="auto"/>
            <w:vAlign w:val="center"/>
            <w:hideMark/>
          </w:tcPr>
          <w:p w14:paraId="3863368E"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609</w:t>
            </w:r>
          </w:p>
        </w:tc>
        <w:tc>
          <w:tcPr>
            <w:tcW w:w="938" w:type="dxa"/>
            <w:tcBorders>
              <w:top w:val="nil"/>
              <w:left w:val="nil"/>
              <w:bottom w:val="single" w:sz="8" w:space="0" w:color="000000"/>
              <w:right w:val="single" w:sz="8" w:space="0" w:color="000000"/>
            </w:tcBorders>
            <w:shd w:val="clear" w:color="auto" w:fill="auto"/>
            <w:vAlign w:val="center"/>
            <w:hideMark/>
          </w:tcPr>
          <w:p w14:paraId="5130BAB4"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364</w:t>
            </w:r>
          </w:p>
        </w:tc>
      </w:tr>
    </w:tbl>
    <w:p w14:paraId="42A8263E" w14:textId="77777777" w:rsidR="002F261B" w:rsidRDefault="002F261B">
      <w:pPr>
        <w:spacing w:line="480" w:lineRule="auto"/>
        <w:ind w:left="-630" w:right="-720"/>
        <w:jc w:val="both"/>
      </w:pPr>
    </w:p>
    <w:p w14:paraId="47CFDE35" w14:textId="412BD31E" w:rsidR="002F261B" w:rsidRDefault="00000000">
      <w:pPr>
        <w:spacing w:line="480" w:lineRule="auto"/>
        <w:ind w:left="-630" w:right="-720"/>
        <w:jc w:val="both"/>
        <w:rPr>
          <w:rFonts w:ascii="Times New Roman" w:eastAsia="Times New Roman" w:hAnsi="Times New Roman" w:cs="Times New Roman"/>
          <w:i/>
        </w:rPr>
      </w:pPr>
      <w:r>
        <w:rPr>
          <w:rFonts w:ascii="Times New Roman" w:eastAsia="Times New Roman" w:hAnsi="Times New Roman" w:cs="Times New Roman"/>
          <w:b/>
        </w:rPr>
        <w:t>Growth Rate:</w:t>
      </w:r>
      <w:r>
        <w:rPr>
          <w:rFonts w:ascii="Times New Roman" w:eastAsia="Times New Roman" w:hAnsi="Times New Roman" w:cs="Times New Roman"/>
        </w:rPr>
        <w:t xml:space="preserve">  </w:t>
      </w:r>
      <w:r>
        <w:rPr>
          <w:rFonts w:ascii="Times New Roman" w:eastAsia="Times New Roman" w:hAnsi="Times New Roman" w:cs="Times New Roman"/>
          <w:i/>
        </w:rPr>
        <w:t xml:space="preserve">In order to calculate the average growth rate, we considered </w:t>
      </w:r>
      <w:r w:rsidR="00DB4368">
        <w:rPr>
          <w:rFonts w:ascii="Times New Roman" w:eastAsia="Times New Roman" w:hAnsi="Times New Roman" w:cs="Times New Roman"/>
          <w:i/>
        </w:rPr>
        <w:t>all</w:t>
      </w:r>
      <w:r>
        <w:rPr>
          <w:rFonts w:ascii="Times New Roman" w:eastAsia="Times New Roman" w:hAnsi="Times New Roman" w:cs="Times New Roman"/>
          <w:i/>
        </w:rPr>
        <w:t xml:space="preserve"> the six relevant luxury brands that were given to us in the excel and took an average of it, which provided us with a 3.5% overall average to be used for the calculations. Although, we see that there is high potential for growth in the luxury goods sector, however overall projected growth in the automotive sector is comparatively difficult to achieve because of the high amount of capital investment required for it. So, we have made an explicit assumption of 2% for growth rate.</w:t>
      </w:r>
    </w:p>
    <w:p w14:paraId="0C8C6E40" w14:textId="77777777" w:rsidR="002F261B" w:rsidRDefault="002F261B">
      <w:pPr>
        <w:spacing w:line="240" w:lineRule="auto"/>
        <w:ind w:left="-630" w:right="-720"/>
        <w:rPr>
          <w:sz w:val="20"/>
          <w:szCs w:val="20"/>
        </w:rPr>
      </w:pPr>
    </w:p>
    <w:tbl>
      <w:tblPr>
        <w:tblW w:w="8344" w:type="dxa"/>
        <w:tblLook w:val="04A0" w:firstRow="1" w:lastRow="0" w:firstColumn="1" w:lastColumn="0" w:noHBand="0" w:noVBand="1"/>
      </w:tblPr>
      <w:tblGrid>
        <w:gridCol w:w="6290"/>
        <w:gridCol w:w="2054"/>
      </w:tblGrid>
      <w:tr w:rsidR="00DB4368" w:rsidRPr="00DB4368" w14:paraId="4C935283" w14:textId="77777777" w:rsidTr="00DB4368">
        <w:trPr>
          <w:trHeight w:val="253"/>
        </w:trPr>
        <w:tc>
          <w:tcPr>
            <w:tcW w:w="629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087012A"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Growth Rate</w:t>
            </w:r>
          </w:p>
        </w:tc>
        <w:tc>
          <w:tcPr>
            <w:tcW w:w="2054" w:type="dxa"/>
            <w:tcBorders>
              <w:top w:val="single" w:sz="8" w:space="0" w:color="000000"/>
              <w:left w:val="nil"/>
              <w:bottom w:val="single" w:sz="8" w:space="0" w:color="000000"/>
              <w:right w:val="single" w:sz="8" w:space="0" w:color="000000"/>
            </w:tcBorders>
            <w:shd w:val="clear" w:color="auto" w:fill="auto"/>
            <w:vAlign w:val="center"/>
            <w:hideMark/>
          </w:tcPr>
          <w:p w14:paraId="46447D9A"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2.00%</w:t>
            </w:r>
          </w:p>
        </w:tc>
      </w:tr>
      <w:tr w:rsidR="00DB4368" w:rsidRPr="00DB4368" w14:paraId="288819F8" w14:textId="77777777" w:rsidTr="00DB4368">
        <w:trPr>
          <w:trHeight w:val="253"/>
        </w:trPr>
        <w:tc>
          <w:tcPr>
            <w:tcW w:w="6290" w:type="dxa"/>
            <w:tcBorders>
              <w:top w:val="nil"/>
              <w:left w:val="single" w:sz="8" w:space="0" w:color="000000"/>
              <w:bottom w:val="single" w:sz="8" w:space="0" w:color="000000"/>
              <w:right w:val="single" w:sz="8" w:space="0" w:color="000000"/>
            </w:tcBorders>
            <w:shd w:val="clear" w:color="auto" w:fill="auto"/>
            <w:vAlign w:val="center"/>
            <w:hideMark/>
          </w:tcPr>
          <w:p w14:paraId="4AD15610"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Discount Rate (Given)</w:t>
            </w:r>
          </w:p>
        </w:tc>
        <w:tc>
          <w:tcPr>
            <w:tcW w:w="2054" w:type="dxa"/>
            <w:tcBorders>
              <w:top w:val="nil"/>
              <w:left w:val="nil"/>
              <w:bottom w:val="single" w:sz="8" w:space="0" w:color="000000"/>
              <w:right w:val="single" w:sz="8" w:space="0" w:color="000000"/>
            </w:tcBorders>
            <w:shd w:val="clear" w:color="auto" w:fill="auto"/>
            <w:vAlign w:val="center"/>
            <w:hideMark/>
          </w:tcPr>
          <w:p w14:paraId="5BDF81EC"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5%</w:t>
            </w:r>
          </w:p>
        </w:tc>
      </w:tr>
      <w:tr w:rsidR="00DB4368" w:rsidRPr="00DB4368" w14:paraId="37880912" w14:textId="77777777" w:rsidTr="00DB4368">
        <w:trPr>
          <w:trHeight w:val="253"/>
        </w:trPr>
        <w:tc>
          <w:tcPr>
            <w:tcW w:w="6290" w:type="dxa"/>
            <w:tcBorders>
              <w:top w:val="nil"/>
              <w:left w:val="single" w:sz="8" w:space="0" w:color="000000"/>
              <w:bottom w:val="single" w:sz="8" w:space="0" w:color="000000"/>
              <w:right w:val="single" w:sz="8" w:space="0" w:color="000000"/>
            </w:tcBorders>
            <w:shd w:val="clear" w:color="auto" w:fill="auto"/>
            <w:vAlign w:val="center"/>
            <w:hideMark/>
          </w:tcPr>
          <w:p w14:paraId="085913C4"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Terminal Value FCFF(2021) / Kc - g</w:t>
            </w:r>
          </w:p>
        </w:tc>
        <w:tc>
          <w:tcPr>
            <w:tcW w:w="2054" w:type="dxa"/>
            <w:tcBorders>
              <w:top w:val="nil"/>
              <w:left w:val="nil"/>
              <w:bottom w:val="single" w:sz="8" w:space="0" w:color="000000"/>
              <w:right w:val="single" w:sz="8" w:space="0" w:color="000000"/>
            </w:tcBorders>
            <w:shd w:val="clear" w:color="auto" w:fill="auto"/>
            <w:vAlign w:val="center"/>
            <w:hideMark/>
          </w:tcPr>
          <w:p w14:paraId="5C58036B"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12376</w:t>
            </w:r>
          </w:p>
        </w:tc>
      </w:tr>
      <w:tr w:rsidR="00DB4368" w:rsidRPr="00DB4368" w14:paraId="240985E0" w14:textId="77777777" w:rsidTr="00DB4368">
        <w:trPr>
          <w:trHeight w:val="253"/>
        </w:trPr>
        <w:tc>
          <w:tcPr>
            <w:tcW w:w="6290" w:type="dxa"/>
            <w:tcBorders>
              <w:top w:val="nil"/>
              <w:left w:val="single" w:sz="8" w:space="0" w:color="000000"/>
              <w:bottom w:val="single" w:sz="8" w:space="0" w:color="000000"/>
              <w:right w:val="single" w:sz="8" w:space="0" w:color="000000"/>
            </w:tcBorders>
            <w:shd w:val="clear" w:color="auto" w:fill="auto"/>
            <w:vAlign w:val="center"/>
            <w:hideMark/>
          </w:tcPr>
          <w:p w14:paraId="78D0D246"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PV of terminal value</w:t>
            </w:r>
          </w:p>
        </w:tc>
        <w:tc>
          <w:tcPr>
            <w:tcW w:w="2054" w:type="dxa"/>
            <w:tcBorders>
              <w:top w:val="nil"/>
              <w:left w:val="nil"/>
              <w:bottom w:val="single" w:sz="8" w:space="0" w:color="000000"/>
              <w:right w:val="single" w:sz="8" w:space="0" w:color="000000"/>
            </w:tcBorders>
            <w:shd w:val="clear" w:color="auto" w:fill="auto"/>
            <w:vAlign w:val="center"/>
            <w:hideMark/>
          </w:tcPr>
          <w:p w14:paraId="7E1FC65B" w14:textId="56E54356" w:rsidR="00DB4368" w:rsidRPr="00DB4368" w:rsidRDefault="00DB4368" w:rsidP="00DB4368">
            <w:pPr>
              <w:spacing w:line="240" w:lineRule="auto"/>
              <w:jc w:val="center"/>
              <w:rPr>
                <w:rFonts w:eastAsia="Times New Roman"/>
                <w:color w:val="000000"/>
                <w:sz w:val="20"/>
                <w:szCs w:val="20"/>
                <w:lang w:val="en-IN"/>
              </w:rPr>
            </w:pPr>
            <w:r>
              <w:rPr>
                <w:rFonts w:eastAsia="Times New Roman"/>
                <w:color w:val="000000"/>
                <w:sz w:val="20"/>
                <w:szCs w:val="20"/>
              </w:rPr>
              <w:t xml:space="preserve">                    </w:t>
            </w:r>
            <w:r w:rsidRPr="00DB4368">
              <w:rPr>
                <w:rFonts w:eastAsia="Times New Roman"/>
                <w:color w:val="000000"/>
                <w:sz w:val="20"/>
                <w:szCs w:val="20"/>
              </w:rPr>
              <w:t>9235.16</w:t>
            </w:r>
          </w:p>
        </w:tc>
      </w:tr>
      <w:tr w:rsidR="00DB4368" w:rsidRPr="00DB4368" w14:paraId="5B0934FA" w14:textId="77777777" w:rsidTr="00DB4368">
        <w:trPr>
          <w:trHeight w:val="253"/>
        </w:trPr>
        <w:tc>
          <w:tcPr>
            <w:tcW w:w="6290" w:type="dxa"/>
            <w:tcBorders>
              <w:top w:val="nil"/>
              <w:left w:val="single" w:sz="8" w:space="0" w:color="000000"/>
              <w:bottom w:val="single" w:sz="8" w:space="0" w:color="000000"/>
              <w:right w:val="single" w:sz="8" w:space="0" w:color="000000"/>
            </w:tcBorders>
            <w:shd w:val="clear" w:color="auto" w:fill="auto"/>
            <w:vAlign w:val="center"/>
            <w:hideMark/>
          </w:tcPr>
          <w:p w14:paraId="1C619CBF"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PV of Cash Flows</w:t>
            </w:r>
          </w:p>
        </w:tc>
        <w:tc>
          <w:tcPr>
            <w:tcW w:w="2054" w:type="dxa"/>
            <w:tcBorders>
              <w:top w:val="nil"/>
              <w:left w:val="nil"/>
              <w:bottom w:val="single" w:sz="8" w:space="0" w:color="000000"/>
              <w:right w:val="single" w:sz="8" w:space="0" w:color="000000"/>
            </w:tcBorders>
            <w:shd w:val="clear" w:color="auto" w:fill="auto"/>
            <w:vAlign w:val="center"/>
            <w:hideMark/>
          </w:tcPr>
          <w:p w14:paraId="67C711F8"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2662.41</w:t>
            </w:r>
          </w:p>
        </w:tc>
      </w:tr>
      <w:tr w:rsidR="00DB4368" w:rsidRPr="00DB4368" w14:paraId="06ABD339" w14:textId="77777777" w:rsidTr="00DB4368">
        <w:trPr>
          <w:trHeight w:val="253"/>
        </w:trPr>
        <w:tc>
          <w:tcPr>
            <w:tcW w:w="6290" w:type="dxa"/>
            <w:tcBorders>
              <w:top w:val="nil"/>
              <w:left w:val="single" w:sz="8" w:space="0" w:color="000000"/>
              <w:bottom w:val="single" w:sz="8" w:space="0" w:color="000000"/>
              <w:right w:val="single" w:sz="8" w:space="0" w:color="000000"/>
            </w:tcBorders>
            <w:shd w:val="clear" w:color="auto" w:fill="auto"/>
            <w:vAlign w:val="center"/>
            <w:hideMark/>
          </w:tcPr>
          <w:p w14:paraId="0B424B84"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Value of Firm</w:t>
            </w:r>
          </w:p>
        </w:tc>
        <w:tc>
          <w:tcPr>
            <w:tcW w:w="2054" w:type="dxa"/>
            <w:tcBorders>
              <w:top w:val="nil"/>
              <w:left w:val="nil"/>
              <w:bottom w:val="single" w:sz="8" w:space="0" w:color="000000"/>
              <w:right w:val="single" w:sz="8" w:space="0" w:color="000000"/>
            </w:tcBorders>
            <w:shd w:val="clear" w:color="auto" w:fill="auto"/>
            <w:vAlign w:val="center"/>
            <w:hideMark/>
          </w:tcPr>
          <w:p w14:paraId="0957C1A0"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11897.57</w:t>
            </w:r>
          </w:p>
        </w:tc>
      </w:tr>
      <w:tr w:rsidR="00DB4368" w:rsidRPr="00DB4368" w14:paraId="5E0687ED" w14:textId="77777777" w:rsidTr="00DB4368">
        <w:trPr>
          <w:trHeight w:val="253"/>
        </w:trPr>
        <w:tc>
          <w:tcPr>
            <w:tcW w:w="6290" w:type="dxa"/>
            <w:tcBorders>
              <w:top w:val="nil"/>
              <w:left w:val="single" w:sz="8" w:space="0" w:color="000000"/>
              <w:bottom w:val="single" w:sz="8" w:space="0" w:color="000000"/>
              <w:right w:val="single" w:sz="8" w:space="0" w:color="000000"/>
            </w:tcBorders>
            <w:shd w:val="clear" w:color="auto" w:fill="auto"/>
            <w:vAlign w:val="center"/>
            <w:hideMark/>
          </w:tcPr>
          <w:p w14:paraId="08D2D8C0"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Value of Debt (Including short term)</w:t>
            </w:r>
          </w:p>
        </w:tc>
        <w:tc>
          <w:tcPr>
            <w:tcW w:w="2054" w:type="dxa"/>
            <w:tcBorders>
              <w:top w:val="nil"/>
              <w:left w:val="nil"/>
              <w:bottom w:val="single" w:sz="8" w:space="0" w:color="000000"/>
              <w:right w:val="single" w:sz="8" w:space="0" w:color="000000"/>
            </w:tcBorders>
            <w:shd w:val="clear" w:color="auto" w:fill="auto"/>
            <w:vAlign w:val="center"/>
            <w:hideMark/>
          </w:tcPr>
          <w:p w14:paraId="1BD1E337"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2163</w:t>
            </w:r>
          </w:p>
        </w:tc>
      </w:tr>
      <w:tr w:rsidR="00DB4368" w:rsidRPr="00DB4368" w14:paraId="2B8B430C" w14:textId="77777777" w:rsidTr="00F47A54">
        <w:trPr>
          <w:trHeight w:val="432"/>
        </w:trPr>
        <w:tc>
          <w:tcPr>
            <w:tcW w:w="6290" w:type="dxa"/>
            <w:tcBorders>
              <w:top w:val="nil"/>
              <w:left w:val="single" w:sz="8" w:space="0" w:color="000000"/>
              <w:bottom w:val="nil"/>
              <w:right w:val="single" w:sz="8" w:space="0" w:color="000000"/>
            </w:tcBorders>
            <w:shd w:val="clear" w:color="auto" w:fill="auto"/>
            <w:vAlign w:val="center"/>
            <w:hideMark/>
          </w:tcPr>
          <w:p w14:paraId="3B996BDC" w14:textId="77777777" w:rsidR="00DB4368" w:rsidRPr="00DB4368" w:rsidRDefault="00DB4368" w:rsidP="00DB4368">
            <w:pPr>
              <w:spacing w:line="240" w:lineRule="auto"/>
              <w:rPr>
                <w:rFonts w:eastAsia="Times New Roman"/>
                <w:color w:val="000000"/>
                <w:sz w:val="20"/>
                <w:szCs w:val="20"/>
                <w:lang w:val="en-IN"/>
              </w:rPr>
            </w:pPr>
            <w:r w:rsidRPr="00DB4368">
              <w:rPr>
                <w:rFonts w:eastAsia="Times New Roman"/>
                <w:color w:val="000000"/>
                <w:sz w:val="20"/>
                <w:szCs w:val="20"/>
              </w:rPr>
              <w:t>Value of Equity ( Value of firm - Value of Debt)</w:t>
            </w:r>
          </w:p>
        </w:tc>
        <w:tc>
          <w:tcPr>
            <w:tcW w:w="2054" w:type="dxa"/>
            <w:tcBorders>
              <w:top w:val="nil"/>
              <w:left w:val="nil"/>
              <w:bottom w:val="nil"/>
              <w:right w:val="single" w:sz="8" w:space="0" w:color="000000"/>
            </w:tcBorders>
            <w:shd w:val="clear" w:color="auto" w:fill="auto"/>
            <w:vAlign w:val="center"/>
            <w:hideMark/>
          </w:tcPr>
          <w:p w14:paraId="07CBABD2" w14:textId="77777777" w:rsidR="00DB4368" w:rsidRPr="00DB4368" w:rsidRDefault="00DB4368" w:rsidP="00DB4368">
            <w:pPr>
              <w:spacing w:line="240" w:lineRule="auto"/>
              <w:jc w:val="right"/>
              <w:rPr>
                <w:rFonts w:eastAsia="Times New Roman"/>
                <w:color w:val="000000"/>
                <w:sz w:val="20"/>
                <w:szCs w:val="20"/>
                <w:lang w:val="en-IN"/>
              </w:rPr>
            </w:pPr>
            <w:r w:rsidRPr="00DB4368">
              <w:rPr>
                <w:rFonts w:eastAsia="Times New Roman"/>
                <w:color w:val="000000"/>
                <w:sz w:val="20"/>
                <w:szCs w:val="20"/>
              </w:rPr>
              <w:t>9734.57</w:t>
            </w:r>
          </w:p>
        </w:tc>
      </w:tr>
      <w:tr w:rsidR="00F47A54" w:rsidRPr="00DB4368" w14:paraId="3C7EA701" w14:textId="77777777" w:rsidTr="00DB4368">
        <w:trPr>
          <w:trHeight w:val="432"/>
        </w:trPr>
        <w:tc>
          <w:tcPr>
            <w:tcW w:w="6290" w:type="dxa"/>
            <w:tcBorders>
              <w:top w:val="nil"/>
              <w:left w:val="single" w:sz="8" w:space="0" w:color="000000"/>
              <w:bottom w:val="single" w:sz="8" w:space="0" w:color="000000"/>
              <w:right w:val="single" w:sz="8" w:space="0" w:color="000000"/>
            </w:tcBorders>
            <w:shd w:val="clear" w:color="auto" w:fill="auto"/>
            <w:vAlign w:val="center"/>
          </w:tcPr>
          <w:p w14:paraId="441D953F" w14:textId="77777777" w:rsidR="00F47A54" w:rsidRPr="00DB4368" w:rsidRDefault="00F47A54" w:rsidP="00DB4368">
            <w:pPr>
              <w:spacing w:line="240" w:lineRule="auto"/>
              <w:rPr>
                <w:rFonts w:eastAsia="Times New Roman"/>
                <w:color w:val="000000"/>
                <w:sz w:val="20"/>
                <w:szCs w:val="20"/>
              </w:rPr>
            </w:pPr>
          </w:p>
        </w:tc>
        <w:tc>
          <w:tcPr>
            <w:tcW w:w="2054" w:type="dxa"/>
            <w:tcBorders>
              <w:top w:val="nil"/>
              <w:left w:val="nil"/>
              <w:bottom w:val="single" w:sz="8" w:space="0" w:color="000000"/>
              <w:right w:val="single" w:sz="8" w:space="0" w:color="000000"/>
            </w:tcBorders>
            <w:shd w:val="clear" w:color="auto" w:fill="auto"/>
            <w:vAlign w:val="center"/>
          </w:tcPr>
          <w:p w14:paraId="3DF35E8A" w14:textId="77777777" w:rsidR="00F47A54" w:rsidRPr="00DB4368" w:rsidRDefault="00F47A54" w:rsidP="00DB4368">
            <w:pPr>
              <w:spacing w:line="240" w:lineRule="auto"/>
              <w:jc w:val="right"/>
              <w:rPr>
                <w:rFonts w:eastAsia="Times New Roman"/>
                <w:color w:val="000000"/>
                <w:sz w:val="20"/>
                <w:szCs w:val="20"/>
              </w:rPr>
            </w:pPr>
          </w:p>
        </w:tc>
      </w:tr>
    </w:tbl>
    <w:p w14:paraId="402FFE5B" w14:textId="77777777" w:rsidR="002F261B" w:rsidRDefault="002F261B">
      <w:pPr>
        <w:ind w:left="-630" w:right="-720"/>
      </w:pPr>
    </w:p>
    <w:p w14:paraId="2BF2A232" w14:textId="77777777" w:rsidR="00F47A54" w:rsidRDefault="00F47A54">
      <w:pPr>
        <w:spacing w:line="480" w:lineRule="auto"/>
        <w:ind w:left="-630" w:right="-720"/>
        <w:jc w:val="both"/>
        <w:rPr>
          <w:rFonts w:ascii="Times New Roman" w:eastAsia="Times New Roman" w:hAnsi="Times New Roman" w:cs="Times New Roman"/>
          <w:b/>
          <w:bCs/>
          <w:iCs/>
        </w:rPr>
      </w:pPr>
    </w:p>
    <w:p w14:paraId="74016B8C" w14:textId="77777777" w:rsidR="00F47A54" w:rsidRDefault="00F47A54">
      <w:pPr>
        <w:spacing w:line="480" w:lineRule="auto"/>
        <w:ind w:left="-630" w:right="-720"/>
        <w:jc w:val="both"/>
        <w:rPr>
          <w:rFonts w:ascii="Times New Roman" w:eastAsia="Times New Roman" w:hAnsi="Times New Roman" w:cs="Times New Roman"/>
          <w:b/>
          <w:bCs/>
          <w:iCs/>
        </w:rPr>
      </w:pPr>
    </w:p>
    <w:p w14:paraId="50F7D1F0" w14:textId="164519F4" w:rsidR="00D65375" w:rsidRPr="00D65375" w:rsidRDefault="00D65375">
      <w:pPr>
        <w:spacing w:line="480" w:lineRule="auto"/>
        <w:ind w:left="-630" w:right="-720"/>
        <w:jc w:val="both"/>
        <w:rPr>
          <w:rFonts w:ascii="Times New Roman" w:eastAsia="Times New Roman" w:hAnsi="Times New Roman" w:cs="Times New Roman"/>
          <w:b/>
          <w:bCs/>
          <w:iCs/>
        </w:rPr>
      </w:pPr>
      <w:r w:rsidRPr="00D65375">
        <w:rPr>
          <w:rFonts w:ascii="Times New Roman" w:eastAsia="Times New Roman" w:hAnsi="Times New Roman" w:cs="Times New Roman"/>
          <w:b/>
          <w:bCs/>
          <w:iCs/>
        </w:rPr>
        <w:t>Note:</w:t>
      </w:r>
    </w:p>
    <w:p w14:paraId="0C3DCE84" w14:textId="1A913DAD" w:rsidR="002F261B" w:rsidRDefault="00000000">
      <w:pPr>
        <w:spacing w:line="480" w:lineRule="auto"/>
        <w:ind w:left="-630" w:right="-720"/>
        <w:jc w:val="both"/>
        <w:rPr>
          <w:rFonts w:ascii="Times New Roman" w:eastAsia="Times New Roman" w:hAnsi="Times New Roman" w:cs="Times New Roman"/>
          <w:i/>
        </w:rPr>
      </w:pPr>
      <w:r>
        <w:rPr>
          <w:rFonts w:ascii="Times New Roman" w:eastAsia="Times New Roman" w:hAnsi="Times New Roman" w:cs="Times New Roman"/>
          <w:i/>
        </w:rPr>
        <w:t xml:space="preserve">It is important to note that two different approaches were employed in the valuation analysis of Ferrari: the multiples approach and the discounted cash flow (DCF) approach. In the multiples approach, data from comparable companies were utilized, and the available data for these companies pertained to the year 2014. Therefore, </w:t>
      </w:r>
      <w:r w:rsidR="00D65375">
        <w:rPr>
          <w:rFonts w:ascii="Times New Roman" w:eastAsia="Times New Roman" w:hAnsi="Times New Roman" w:cs="Times New Roman"/>
          <w:i/>
        </w:rPr>
        <w:t>to</w:t>
      </w:r>
      <w:r>
        <w:rPr>
          <w:rFonts w:ascii="Times New Roman" w:eastAsia="Times New Roman" w:hAnsi="Times New Roman" w:cs="Times New Roman"/>
          <w:i/>
        </w:rPr>
        <w:t xml:space="preserve"> maintain comparability between the approaches, the multiples approach was conducted using the 2014 data. </w:t>
      </w:r>
    </w:p>
    <w:p w14:paraId="3A284F2F" w14:textId="77777777" w:rsidR="002F261B" w:rsidRDefault="00000000">
      <w:pPr>
        <w:spacing w:line="480" w:lineRule="auto"/>
        <w:ind w:left="-630" w:right="-720"/>
        <w:jc w:val="both"/>
        <w:rPr>
          <w:rFonts w:ascii="Times New Roman" w:eastAsia="Times New Roman" w:hAnsi="Times New Roman" w:cs="Times New Roman"/>
          <w:i/>
        </w:rPr>
      </w:pPr>
      <w:r>
        <w:rPr>
          <w:rFonts w:ascii="Times New Roman" w:eastAsia="Times New Roman" w:hAnsi="Times New Roman" w:cs="Times New Roman"/>
          <w:i/>
        </w:rPr>
        <w:t xml:space="preserve">To ensure consistency and comparability with the multiples approach, the DCF analysis utilized data from 2014 as well. The projected cash flows were discounted back to the beginning of 2015, aligning with the timeframe of the multiples approach. </w:t>
      </w:r>
    </w:p>
    <w:p w14:paraId="2FFE6966" w14:textId="125C22DB" w:rsidR="00D65375" w:rsidRPr="00D65375" w:rsidRDefault="00000000" w:rsidP="00D65375">
      <w:pPr>
        <w:spacing w:line="480" w:lineRule="auto"/>
        <w:ind w:left="-630" w:right="-720" w:firstLine="810"/>
        <w:jc w:val="both"/>
        <w:rPr>
          <w:rFonts w:ascii="Times New Roman" w:eastAsia="Times New Roman" w:hAnsi="Times New Roman" w:cs="Times New Roman"/>
          <w:i/>
        </w:rPr>
      </w:pPr>
      <w:r>
        <w:rPr>
          <w:rFonts w:ascii="Times New Roman" w:eastAsia="Times New Roman" w:hAnsi="Times New Roman" w:cs="Times New Roman"/>
          <w:i/>
        </w:rPr>
        <w:t>By adopting this methodology, both approaches used the same data year for their respective analyses. This approach facilitated a comprehensive and meaningful comparison between the multiples and DCF valuations, allowing for a more robust assessment of Ferrari's market worth.</w:t>
      </w:r>
    </w:p>
    <w:p w14:paraId="7A33B0DB" w14:textId="132A9F93" w:rsidR="00D65375" w:rsidRPr="00D65375" w:rsidRDefault="00000000" w:rsidP="00D65375">
      <w:pPr>
        <w:spacing w:line="480" w:lineRule="auto"/>
        <w:ind w:left="-630" w:right="-720"/>
        <w:jc w:val="both"/>
        <w:rPr>
          <w:rFonts w:ascii="Times New Roman" w:eastAsia="Times New Roman" w:hAnsi="Times New Roman" w:cs="Times New Roman"/>
          <w:b/>
        </w:rPr>
      </w:pPr>
      <w:r>
        <w:rPr>
          <w:rFonts w:ascii="Times New Roman" w:eastAsia="Times New Roman" w:hAnsi="Times New Roman" w:cs="Times New Roman"/>
          <w:b/>
        </w:rPr>
        <w:t xml:space="preserve">Share Price Calculation: </w:t>
      </w:r>
      <w:r w:rsidR="00D65375">
        <w:rPr>
          <w:rFonts w:ascii="Times New Roman" w:eastAsia="Times New Roman" w:hAnsi="Times New Roman" w:cs="Times New Roman"/>
        </w:rPr>
        <w:t>To</w:t>
      </w:r>
      <w:r>
        <w:rPr>
          <w:rFonts w:ascii="Times New Roman" w:eastAsia="Times New Roman" w:hAnsi="Times New Roman" w:cs="Times New Roman"/>
        </w:rPr>
        <w:t xml:space="preserve"> calculate the share </w:t>
      </w:r>
      <w:r w:rsidR="00DB4368">
        <w:rPr>
          <w:rFonts w:ascii="Times New Roman" w:eastAsia="Times New Roman" w:hAnsi="Times New Roman" w:cs="Times New Roman"/>
        </w:rPr>
        <w:t>price,</w:t>
      </w:r>
      <w:r>
        <w:rPr>
          <w:rFonts w:ascii="Times New Roman" w:eastAsia="Times New Roman" w:hAnsi="Times New Roman" w:cs="Times New Roman"/>
        </w:rPr>
        <w:t xml:space="preserve"> we need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outstanding shares. So, prior to the IPO, Ferrari had a total of 172 million outstanding shares. However, as part of its strategic initiatives, the company decided to issue an additional 17.5 million shares of fresh equity. This issuance resulted in an increase in the total outstanding shares of Ferrari to 189 million.</w:t>
      </w:r>
    </w:p>
    <w:tbl>
      <w:tblPr>
        <w:tblW w:w="9910" w:type="dxa"/>
        <w:tblInd w:w="-714" w:type="dxa"/>
        <w:tblLook w:val="04A0" w:firstRow="1" w:lastRow="0" w:firstColumn="1" w:lastColumn="0" w:noHBand="0" w:noVBand="1"/>
      </w:tblPr>
      <w:tblGrid>
        <w:gridCol w:w="3441"/>
        <w:gridCol w:w="1515"/>
        <w:gridCol w:w="274"/>
        <w:gridCol w:w="3114"/>
        <w:gridCol w:w="1566"/>
      </w:tblGrid>
      <w:tr w:rsidR="00DB4368" w:rsidRPr="00DB4368" w14:paraId="17967E68" w14:textId="77777777" w:rsidTr="00DB4368">
        <w:trPr>
          <w:trHeight w:val="487"/>
        </w:trPr>
        <w:tc>
          <w:tcPr>
            <w:tcW w:w="49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6C8FA7" w14:textId="77777777" w:rsidR="00DB4368" w:rsidRPr="00DB4368" w:rsidRDefault="00DB4368" w:rsidP="00DB4368">
            <w:pPr>
              <w:spacing w:line="240" w:lineRule="auto"/>
              <w:rPr>
                <w:rFonts w:ascii="Times New Roman" w:eastAsia="Times New Roman" w:hAnsi="Times New Roman" w:cs="Times New Roman"/>
                <w:b/>
                <w:bCs/>
                <w:i/>
                <w:iCs/>
                <w:color w:val="000000"/>
                <w:sz w:val="20"/>
                <w:szCs w:val="20"/>
                <w:lang w:val="en-IN"/>
              </w:rPr>
            </w:pPr>
            <w:r w:rsidRPr="00DB4368">
              <w:rPr>
                <w:rFonts w:ascii="Times New Roman" w:eastAsia="Times New Roman" w:hAnsi="Times New Roman" w:cs="Times New Roman"/>
                <w:b/>
                <w:bCs/>
                <w:i/>
                <w:iCs/>
                <w:color w:val="000000"/>
                <w:sz w:val="20"/>
                <w:szCs w:val="20"/>
              </w:rPr>
              <w:t>Stock price using Multiples approach</w:t>
            </w:r>
          </w:p>
        </w:tc>
        <w:tc>
          <w:tcPr>
            <w:tcW w:w="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CFC15F" w14:textId="77777777" w:rsidR="00DB4368" w:rsidRPr="00DB4368" w:rsidRDefault="00DB4368" w:rsidP="00DB4368">
            <w:pPr>
              <w:spacing w:line="240" w:lineRule="auto"/>
              <w:jc w:val="center"/>
              <w:rPr>
                <w:rFonts w:ascii="Times New Roman" w:eastAsia="Times New Roman" w:hAnsi="Times New Roman" w:cs="Times New Roman"/>
                <w:b/>
                <w:bCs/>
                <w:i/>
                <w:iCs/>
                <w:color w:val="000000"/>
                <w:sz w:val="20"/>
                <w:szCs w:val="20"/>
                <w:lang w:val="en-IN"/>
              </w:rPr>
            </w:pPr>
            <w:r w:rsidRPr="00DB4368">
              <w:rPr>
                <w:rFonts w:ascii="Times New Roman" w:eastAsia="Times New Roman" w:hAnsi="Times New Roman" w:cs="Times New Roman"/>
                <w:b/>
                <w:bCs/>
                <w:i/>
                <w:iCs/>
                <w:color w:val="000000"/>
                <w:sz w:val="20"/>
                <w:szCs w:val="20"/>
              </w:rPr>
              <w:t> </w:t>
            </w:r>
          </w:p>
        </w:tc>
        <w:tc>
          <w:tcPr>
            <w:tcW w:w="4680" w:type="dxa"/>
            <w:gridSpan w:val="2"/>
            <w:tcBorders>
              <w:top w:val="single" w:sz="4" w:space="0" w:color="auto"/>
              <w:left w:val="nil"/>
              <w:bottom w:val="single" w:sz="4" w:space="0" w:color="auto"/>
              <w:right w:val="single" w:sz="4" w:space="0" w:color="auto"/>
            </w:tcBorders>
            <w:shd w:val="clear" w:color="auto" w:fill="auto"/>
            <w:vAlign w:val="center"/>
            <w:hideMark/>
          </w:tcPr>
          <w:p w14:paraId="4B3A5332" w14:textId="77777777" w:rsidR="00DB4368" w:rsidRPr="00DB4368" w:rsidRDefault="00DB4368" w:rsidP="00DB4368">
            <w:pPr>
              <w:spacing w:line="240" w:lineRule="auto"/>
              <w:rPr>
                <w:rFonts w:ascii="Times New Roman" w:eastAsia="Times New Roman" w:hAnsi="Times New Roman" w:cs="Times New Roman"/>
                <w:b/>
                <w:bCs/>
                <w:i/>
                <w:iCs/>
                <w:color w:val="000000"/>
                <w:sz w:val="20"/>
                <w:szCs w:val="20"/>
                <w:lang w:val="en-IN"/>
              </w:rPr>
            </w:pPr>
            <w:r w:rsidRPr="00DB4368">
              <w:rPr>
                <w:rFonts w:ascii="Times New Roman" w:eastAsia="Times New Roman" w:hAnsi="Times New Roman" w:cs="Times New Roman"/>
                <w:b/>
                <w:bCs/>
                <w:i/>
                <w:iCs/>
                <w:color w:val="000000"/>
                <w:sz w:val="20"/>
                <w:szCs w:val="20"/>
              </w:rPr>
              <w:t xml:space="preserve">                 Stock price using DCF approach</w:t>
            </w:r>
          </w:p>
        </w:tc>
      </w:tr>
      <w:tr w:rsidR="00DB4368" w:rsidRPr="00DB4368" w14:paraId="2F981DFB" w14:textId="77777777" w:rsidTr="00DB4368">
        <w:trPr>
          <w:trHeight w:val="408"/>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037C1C13" w14:textId="77777777" w:rsidR="00DB4368" w:rsidRPr="00DB4368" w:rsidRDefault="00DB4368" w:rsidP="00DB4368">
            <w:pPr>
              <w:spacing w:line="240" w:lineRule="auto"/>
              <w:jc w:val="both"/>
              <w:rPr>
                <w:rFonts w:ascii="Times New Roman" w:eastAsia="Times New Roman" w:hAnsi="Times New Roman" w:cs="Times New Roman"/>
                <w:color w:val="000000"/>
                <w:sz w:val="20"/>
                <w:szCs w:val="20"/>
                <w:lang w:val="en-IN"/>
              </w:rPr>
            </w:pPr>
            <w:r w:rsidRPr="00DB4368">
              <w:rPr>
                <w:rFonts w:ascii="Times New Roman" w:eastAsia="Times New Roman" w:hAnsi="Times New Roman" w:cs="Times New Roman"/>
                <w:color w:val="000000"/>
                <w:sz w:val="20"/>
                <w:szCs w:val="20"/>
              </w:rPr>
              <w:t>Value of equity</w:t>
            </w:r>
          </w:p>
        </w:tc>
        <w:tc>
          <w:tcPr>
            <w:tcW w:w="1514" w:type="dxa"/>
            <w:tcBorders>
              <w:top w:val="nil"/>
              <w:left w:val="nil"/>
              <w:bottom w:val="single" w:sz="4" w:space="0" w:color="auto"/>
              <w:right w:val="single" w:sz="4" w:space="0" w:color="auto"/>
            </w:tcBorders>
            <w:shd w:val="clear" w:color="auto" w:fill="auto"/>
            <w:vAlign w:val="center"/>
            <w:hideMark/>
          </w:tcPr>
          <w:p w14:paraId="4B4DB289" w14:textId="77777777" w:rsidR="00DB4368" w:rsidRPr="00DB4368" w:rsidRDefault="00DB4368" w:rsidP="00DB4368">
            <w:pPr>
              <w:spacing w:line="240" w:lineRule="auto"/>
              <w:jc w:val="both"/>
              <w:rPr>
                <w:rFonts w:ascii="Times New Roman" w:eastAsia="Times New Roman" w:hAnsi="Times New Roman" w:cs="Times New Roman"/>
                <w:color w:val="000000"/>
                <w:sz w:val="20"/>
                <w:szCs w:val="20"/>
                <w:lang w:val="en-IN"/>
              </w:rPr>
            </w:pPr>
            <w:r w:rsidRPr="00DB4368">
              <w:rPr>
                <w:rFonts w:ascii="Times New Roman" w:eastAsia="Times New Roman" w:hAnsi="Times New Roman" w:cs="Times New Roman"/>
                <w:color w:val="000000"/>
                <w:sz w:val="20"/>
                <w:szCs w:val="20"/>
              </w:rPr>
              <w:t>9355.52 million</w:t>
            </w:r>
          </w:p>
        </w:tc>
        <w:tc>
          <w:tcPr>
            <w:tcW w:w="274" w:type="dxa"/>
            <w:vMerge/>
            <w:tcBorders>
              <w:top w:val="single" w:sz="4" w:space="0" w:color="auto"/>
              <w:left w:val="single" w:sz="4" w:space="0" w:color="auto"/>
              <w:bottom w:val="single" w:sz="4" w:space="0" w:color="auto"/>
              <w:right w:val="single" w:sz="4" w:space="0" w:color="auto"/>
            </w:tcBorders>
            <w:vAlign w:val="center"/>
            <w:hideMark/>
          </w:tcPr>
          <w:p w14:paraId="7EC6FCFE" w14:textId="77777777" w:rsidR="00DB4368" w:rsidRPr="00DB4368" w:rsidRDefault="00DB4368" w:rsidP="00DB4368">
            <w:pPr>
              <w:spacing w:line="240" w:lineRule="auto"/>
              <w:rPr>
                <w:rFonts w:ascii="Times New Roman" w:eastAsia="Times New Roman" w:hAnsi="Times New Roman" w:cs="Times New Roman"/>
                <w:b/>
                <w:bCs/>
                <w:i/>
                <w:iCs/>
                <w:color w:val="000000"/>
                <w:sz w:val="20"/>
                <w:szCs w:val="20"/>
                <w:lang w:val="en-IN"/>
              </w:rPr>
            </w:pPr>
          </w:p>
        </w:tc>
        <w:tc>
          <w:tcPr>
            <w:tcW w:w="3114" w:type="dxa"/>
            <w:tcBorders>
              <w:top w:val="nil"/>
              <w:left w:val="nil"/>
              <w:bottom w:val="single" w:sz="4" w:space="0" w:color="auto"/>
              <w:right w:val="single" w:sz="4" w:space="0" w:color="auto"/>
            </w:tcBorders>
            <w:shd w:val="clear" w:color="auto" w:fill="auto"/>
            <w:vAlign w:val="center"/>
            <w:hideMark/>
          </w:tcPr>
          <w:p w14:paraId="32E4AA90" w14:textId="77777777" w:rsidR="00DB4368" w:rsidRPr="00DB4368" w:rsidRDefault="00DB4368" w:rsidP="00DB4368">
            <w:pPr>
              <w:spacing w:line="240" w:lineRule="auto"/>
              <w:rPr>
                <w:rFonts w:ascii="Times New Roman" w:eastAsia="Times New Roman" w:hAnsi="Times New Roman" w:cs="Times New Roman"/>
                <w:color w:val="000000"/>
                <w:sz w:val="20"/>
                <w:szCs w:val="20"/>
                <w:lang w:val="en-IN"/>
              </w:rPr>
            </w:pPr>
            <w:r w:rsidRPr="00DB4368">
              <w:rPr>
                <w:rFonts w:ascii="Times New Roman" w:eastAsia="Times New Roman" w:hAnsi="Times New Roman" w:cs="Times New Roman"/>
                <w:color w:val="000000"/>
                <w:sz w:val="20"/>
                <w:szCs w:val="20"/>
              </w:rPr>
              <w:t xml:space="preserve">Value of equity </w:t>
            </w:r>
          </w:p>
        </w:tc>
        <w:tc>
          <w:tcPr>
            <w:tcW w:w="1566" w:type="dxa"/>
            <w:tcBorders>
              <w:top w:val="nil"/>
              <w:left w:val="nil"/>
              <w:bottom w:val="single" w:sz="4" w:space="0" w:color="auto"/>
              <w:right w:val="single" w:sz="4" w:space="0" w:color="auto"/>
            </w:tcBorders>
            <w:shd w:val="clear" w:color="auto" w:fill="auto"/>
            <w:vAlign w:val="center"/>
            <w:hideMark/>
          </w:tcPr>
          <w:p w14:paraId="09702DC2" w14:textId="77777777" w:rsidR="00DB4368" w:rsidRPr="00DB4368" w:rsidRDefault="00DB4368" w:rsidP="00DB4368">
            <w:pPr>
              <w:spacing w:line="240" w:lineRule="auto"/>
              <w:rPr>
                <w:rFonts w:ascii="Times New Roman" w:eastAsia="Times New Roman" w:hAnsi="Times New Roman" w:cs="Times New Roman"/>
                <w:color w:val="000000"/>
                <w:sz w:val="20"/>
                <w:szCs w:val="20"/>
                <w:lang w:val="en-IN"/>
              </w:rPr>
            </w:pPr>
            <w:r w:rsidRPr="00DB4368">
              <w:rPr>
                <w:rFonts w:ascii="Times New Roman" w:eastAsia="Times New Roman" w:hAnsi="Times New Roman" w:cs="Times New Roman"/>
                <w:color w:val="000000"/>
                <w:sz w:val="20"/>
                <w:szCs w:val="20"/>
              </w:rPr>
              <w:t>9734.57 mill</w:t>
            </w:r>
          </w:p>
        </w:tc>
      </w:tr>
      <w:tr w:rsidR="00DB4368" w:rsidRPr="00DB4368" w14:paraId="2F8A8C11" w14:textId="77777777" w:rsidTr="00DB4368">
        <w:trPr>
          <w:trHeight w:val="428"/>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79C2E9FE" w14:textId="77777777" w:rsidR="00DB4368" w:rsidRPr="00DB4368" w:rsidRDefault="00DB4368" w:rsidP="00DB4368">
            <w:pPr>
              <w:spacing w:line="240" w:lineRule="auto"/>
              <w:jc w:val="both"/>
              <w:rPr>
                <w:rFonts w:ascii="Times New Roman" w:eastAsia="Times New Roman" w:hAnsi="Times New Roman" w:cs="Times New Roman"/>
                <w:color w:val="000000"/>
                <w:sz w:val="20"/>
                <w:szCs w:val="20"/>
                <w:lang w:val="en-IN"/>
              </w:rPr>
            </w:pPr>
            <w:r w:rsidRPr="00DB4368">
              <w:rPr>
                <w:rFonts w:ascii="Times New Roman" w:eastAsia="Times New Roman" w:hAnsi="Times New Roman" w:cs="Times New Roman"/>
                <w:color w:val="000000"/>
                <w:sz w:val="20"/>
                <w:szCs w:val="20"/>
              </w:rPr>
              <w:t>Number of shares</w:t>
            </w:r>
          </w:p>
        </w:tc>
        <w:tc>
          <w:tcPr>
            <w:tcW w:w="1514" w:type="dxa"/>
            <w:tcBorders>
              <w:top w:val="nil"/>
              <w:left w:val="nil"/>
              <w:bottom w:val="single" w:sz="4" w:space="0" w:color="auto"/>
              <w:right w:val="single" w:sz="4" w:space="0" w:color="auto"/>
            </w:tcBorders>
            <w:shd w:val="clear" w:color="auto" w:fill="auto"/>
            <w:vAlign w:val="center"/>
            <w:hideMark/>
          </w:tcPr>
          <w:p w14:paraId="45979DE0" w14:textId="77777777" w:rsidR="00DB4368" w:rsidRPr="00DB4368" w:rsidRDefault="00DB4368" w:rsidP="00DB4368">
            <w:pPr>
              <w:spacing w:line="240" w:lineRule="auto"/>
              <w:jc w:val="both"/>
              <w:rPr>
                <w:rFonts w:ascii="Times New Roman" w:eastAsia="Times New Roman" w:hAnsi="Times New Roman" w:cs="Times New Roman"/>
                <w:color w:val="000000"/>
                <w:sz w:val="20"/>
                <w:szCs w:val="20"/>
                <w:lang w:val="en-IN"/>
              </w:rPr>
            </w:pPr>
            <w:r w:rsidRPr="00DB4368">
              <w:rPr>
                <w:rFonts w:ascii="Times New Roman" w:eastAsia="Times New Roman" w:hAnsi="Times New Roman" w:cs="Times New Roman"/>
                <w:color w:val="000000"/>
                <w:sz w:val="20"/>
                <w:szCs w:val="20"/>
              </w:rPr>
              <w:t>189 million</w:t>
            </w:r>
          </w:p>
        </w:tc>
        <w:tc>
          <w:tcPr>
            <w:tcW w:w="274" w:type="dxa"/>
            <w:vMerge/>
            <w:tcBorders>
              <w:top w:val="single" w:sz="4" w:space="0" w:color="auto"/>
              <w:left w:val="single" w:sz="4" w:space="0" w:color="auto"/>
              <w:bottom w:val="single" w:sz="4" w:space="0" w:color="auto"/>
              <w:right w:val="single" w:sz="4" w:space="0" w:color="auto"/>
            </w:tcBorders>
            <w:vAlign w:val="center"/>
            <w:hideMark/>
          </w:tcPr>
          <w:p w14:paraId="649063BA" w14:textId="77777777" w:rsidR="00DB4368" w:rsidRPr="00DB4368" w:rsidRDefault="00DB4368" w:rsidP="00DB4368">
            <w:pPr>
              <w:spacing w:line="240" w:lineRule="auto"/>
              <w:rPr>
                <w:rFonts w:ascii="Times New Roman" w:eastAsia="Times New Roman" w:hAnsi="Times New Roman" w:cs="Times New Roman"/>
                <w:b/>
                <w:bCs/>
                <w:i/>
                <w:iCs/>
                <w:color w:val="000000"/>
                <w:sz w:val="20"/>
                <w:szCs w:val="20"/>
                <w:lang w:val="en-IN"/>
              </w:rPr>
            </w:pPr>
          </w:p>
        </w:tc>
        <w:tc>
          <w:tcPr>
            <w:tcW w:w="3114" w:type="dxa"/>
            <w:tcBorders>
              <w:top w:val="nil"/>
              <w:left w:val="nil"/>
              <w:bottom w:val="single" w:sz="4" w:space="0" w:color="auto"/>
              <w:right w:val="single" w:sz="4" w:space="0" w:color="auto"/>
            </w:tcBorders>
            <w:shd w:val="clear" w:color="auto" w:fill="auto"/>
            <w:vAlign w:val="center"/>
            <w:hideMark/>
          </w:tcPr>
          <w:p w14:paraId="124ED01B" w14:textId="77777777" w:rsidR="00DB4368" w:rsidRPr="00DB4368" w:rsidRDefault="00DB4368" w:rsidP="00DB4368">
            <w:pPr>
              <w:spacing w:line="240" w:lineRule="auto"/>
              <w:jc w:val="both"/>
              <w:rPr>
                <w:rFonts w:ascii="Times New Roman" w:eastAsia="Times New Roman" w:hAnsi="Times New Roman" w:cs="Times New Roman"/>
                <w:color w:val="000000"/>
                <w:sz w:val="20"/>
                <w:szCs w:val="20"/>
                <w:lang w:val="en-IN"/>
              </w:rPr>
            </w:pPr>
            <w:r w:rsidRPr="00DB4368">
              <w:rPr>
                <w:rFonts w:ascii="Times New Roman" w:eastAsia="Times New Roman" w:hAnsi="Times New Roman" w:cs="Times New Roman"/>
                <w:color w:val="000000"/>
                <w:sz w:val="20"/>
                <w:szCs w:val="20"/>
              </w:rPr>
              <w:t>Number of shares</w:t>
            </w:r>
          </w:p>
        </w:tc>
        <w:tc>
          <w:tcPr>
            <w:tcW w:w="1566" w:type="dxa"/>
            <w:tcBorders>
              <w:top w:val="nil"/>
              <w:left w:val="nil"/>
              <w:bottom w:val="single" w:sz="4" w:space="0" w:color="auto"/>
              <w:right w:val="single" w:sz="4" w:space="0" w:color="auto"/>
            </w:tcBorders>
            <w:shd w:val="clear" w:color="auto" w:fill="auto"/>
            <w:vAlign w:val="center"/>
            <w:hideMark/>
          </w:tcPr>
          <w:p w14:paraId="7492671C" w14:textId="77777777" w:rsidR="00DB4368" w:rsidRPr="00DB4368" w:rsidRDefault="00DB4368" w:rsidP="00DB4368">
            <w:pPr>
              <w:spacing w:line="240" w:lineRule="auto"/>
              <w:jc w:val="both"/>
              <w:rPr>
                <w:rFonts w:ascii="Times New Roman" w:eastAsia="Times New Roman" w:hAnsi="Times New Roman" w:cs="Times New Roman"/>
                <w:color w:val="000000"/>
                <w:sz w:val="20"/>
                <w:szCs w:val="20"/>
                <w:lang w:val="en-IN"/>
              </w:rPr>
            </w:pPr>
            <w:r w:rsidRPr="00DB4368">
              <w:rPr>
                <w:rFonts w:ascii="Times New Roman" w:eastAsia="Times New Roman" w:hAnsi="Times New Roman" w:cs="Times New Roman"/>
                <w:color w:val="000000"/>
                <w:sz w:val="20"/>
                <w:szCs w:val="20"/>
              </w:rPr>
              <w:t>189 million</w:t>
            </w:r>
          </w:p>
        </w:tc>
      </w:tr>
      <w:tr w:rsidR="00DB4368" w:rsidRPr="00DB4368" w14:paraId="29F9A359" w14:textId="77777777" w:rsidTr="00DB4368">
        <w:trPr>
          <w:trHeight w:val="421"/>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712C3B6B" w14:textId="77777777" w:rsidR="00DB4368" w:rsidRPr="00DB4368" w:rsidRDefault="00DB4368" w:rsidP="00DB4368">
            <w:pPr>
              <w:spacing w:line="240" w:lineRule="auto"/>
              <w:jc w:val="both"/>
              <w:rPr>
                <w:rFonts w:ascii="Times New Roman" w:eastAsia="Times New Roman" w:hAnsi="Times New Roman" w:cs="Times New Roman"/>
                <w:color w:val="000000"/>
                <w:sz w:val="20"/>
                <w:szCs w:val="20"/>
                <w:lang w:val="en-IN"/>
              </w:rPr>
            </w:pPr>
            <w:r w:rsidRPr="00DB4368">
              <w:rPr>
                <w:rFonts w:ascii="Times New Roman" w:eastAsia="Times New Roman" w:hAnsi="Times New Roman" w:cs="Times New Roman"/>
                <w:color w:val="000000"/>
                <w:sz w:val="20"/>
                <w:szCs w:val="20"/>
              </w:rPr>
              <w:t>Stock Price</w:t>
            </w:r>
          </w:p>
        </w:tc>
        <w:tc>
          <w:tcPr>
            <w:tcW w:w="1514" w:type="dxa"/>
            <w:tcBorders>
              <w:top w:val="nil"/>
              <w:left w:val="nil"/>
              <w:bottom w:val="single" w:sz="4" w:space="0" w:color="auto"/>
              <w:right w:val="single" w:sz="4" w:space="0" w:color="auto"/>
            </w:tcBorders>
            <w:shd w:val="clear" w:color="auto" w:fill="auto"/>
            <w:vAlign w:val="center"/>
            <w:hideMark/>
          </w:tcPr>
          <w:p w14:paraId="48F07081" w14:textId="77777777" w:rsidR="00DB4368" w:rsidRPr="00DB4368" w:rsidRDefault="00DB4368" w:rsidP="00DB4368">
            <w:pPr>
              <w:spacing w:line="240" w:lineRule="auto"/>
              <w:jc w:val="both"/>
              <w:rPr>
                <w:rFonts w:ascii="Times New Roman" w:eastAsia="Times New Roman" w:hAnsi="Times New Roman" w:cs="Times New Roman"/>
                <w:color w:val="000000"/>
                <w:sz w:val="20"/>
                <w:szCs w:val="20"/>
                <w:lang w:val="en-IN"/>
              </w:rPr>
            </w:pPr>
            <w:r w:rsidRPr="00DB4368">
              <w:rPr>
                <w:rFonts w:ascii="Times New Roman" w:eastAsia="Times New Roman" w:hAnsi="Times New Roman" w:cs="Times New Roman"/>
                <w:color w:val="000000"/>
                <w:sz w:val="20"/>
                <w:szCs w:val="20"/>
              </w:rPr>
              <w:t>49.5</w:t>
            </w:r>
          </w:p>
        </w:tc>
        <w:tc>
          <w:tcPr>
            <w:tcW w:w="274" w:type="dxa"/>
            <w:vMerge/>
            <w:tcBorders>
              <w:top w:val="single" w:sz="4" w:space="0" w:color="auto"/>
              <w:left w:val="single" w:sz="4" w:space="0" w:color="auto"/>
              <w:bottom w:val="single" w:sz="4" w:space="0" w:color="auto"/>
              <w:right w:val="single" w:sz="4" w:space="0" w:color="auto"/>
            </w:tcBorders>
            <w:vAlign w:val="center"/>
            <w:hideMark/>
          </w:tcPr>
          <w:p w14:paraId="4B18EFC9" w14:textId="77777777" w:rsidR="00DB4368" w:rsidRPr="00DB4368" w:rsidRDefault="00DB4368" w:rsidP="00DB4368">
            <w:pPr>
              <w:spacing w:line="240" w:lineRule="auto"/>
              <w:rPr>
                <w:rFonts w:ascii="Times New Roman" w:eastAsia="Times New Roman" w:hAnsi="Times New Roman" w:cs="Times New Roman"/>
                <w:b/>
                <w:bCs/>
                <w:i/>
                <w:iCs/>
                <w:color w:val="000000"/>
                <w:sz w:val="20"/>
                <w:szCs w:val="20"/>
                <w:lang w:val="en-IN"/>
              </w:rPr>
            </w:pPr>
          </w:p>
        </w:tc>
        <w:tc>
          <w:tcPr>
            <w:tcW w:w="3114" w:type="dxa"/>
            <w:tcBorders>
              <w:top w:val="nil"/>
              <w:left w:val="nil"/>
              <w:bottom w:val="single" w:sz="4" w:space="0" w:color="auto"/>
              <w:right w:val="single" w:sz="4" w:space="0" w:color="auto"/>
            </w:tcBorders>
            <w:shd w:val="clear" w:color="auto" w:fill="auto"/>
            <w:vAlign w:val="center"/>
            <w:hideMark/>
          </w:tcPr>
          <w:p w14:paraId="16B3D394" w14:textId="77777777" w:rsidR="00DB4368" w:rsidRPr="00DB4368" w:rsidRDefault="00DB4368" w:rsidP="00DB4368">
            <w:pPr>
              <w:spacing w:line="240" w:lineRule="auto"/>
              <w:jc w:val="both"/>
              <w:rPr>
                <w:rFonts w:ascii="Times New Roman" w:eastAsia="Times New Roman" w:hAnsi="Times New Roman" w:cs="Times New Roman"/>
                <w:color w:val="000000"/>
                <w:sz w:val="20"/>
                <w:szCs w:val="20"/>
                <w:lang w:val="en-IN"/>
              </w:rPr>
            </w:pPr>
            <w:r w:rsidRPr="00DB4368">
              <w:rPr>
                <w:rFonts w:ascii="Times New Roman" w:eastAsia="Times New Roman" w:hAnsi="Times New Roman" w:cs="Times New Roman"/>
                <w:color w:val="000000"/>
                <w:sz w:val="20"/>
                <w:szCs w:val="20"/>
              </w:rPr>
              <w:t>Stock Price</w:t>
            </w:r>
          </w:p>
        </w:tc>
        <w:tc>
          <w:tcPr>
            <w:tcW w:w="1566" w:type="dxa"/>
            <w:tcBorders>
              <w:top w:val="nil"/>
              <w:left w:val="nil"/>
              <w:bottom w:val="single" w:sz="4" w:space="0" w:color="auto"/>
              <w:right w:val="single" w:sz="4" w:space="0" w:color="auto"/>
            </w:tcBorders>
            <w:shd w:val="clear" w:color="auto" w:fill="auto"/>
            <w:vAlign w:val="center"/>
            <w:hideMark/>
          </w:tcPr>
          <w:p w14:paraId="0BC89B47" w14:textId="77777777" w:rsidR="00DB4368" w:rsidRPr="00DB4368" w:rsidRDefault="00DB4368" w:rsidP="00DB4368">
            <w:pPr>
              <w:spacing w:line="240" w:lineRule="auto"/>
              <w:jc w:val="both"/>
              <w:rPr>
                <w:rFonts w:ascii="Times New Roman" w:eastAsia="Times New Roman" w:hAnsi="Times New Roman" w:cs="Times New Roman"/>
                <w:color w:val="000000"/>
                <w:sz w:val="20"/>
                <w:szCs w:val="20"/>
                <w:lang w:val="en-IN"/>
              </w:rPr>
            </w:pPr>
            <w:r w:rsidRPr="00DB4368">
              <w:rPr>
                <w:rFonts w:ascii="Times New Roman" w:eastAsia="Times New Roman" w:hAnsi="Times New Roman" w:cs="Times New Roman"/>
                <w:color w:val="000000"/>
                <w:sz w:val="20"/>
                <w:szCs w:val="20"/>
              </w:rPr>
              <w:t>51.5</w:t>
            </w:r>
          </w:p>
        </w:tc>
      </w:tr>
    </w:tbl>
    <w:p w14:paraId="3154BEDE" w14:textId="77777777" w:rsidR="00D65375" w:rsidRDefault="00D65375" w:rsidP="00D65375">
      <w:pPr>
        <w:spacing w:line="480" w:lineRule="auto"/>
        <w:ind w:right="-720"/>
        <w:jc w:val="both"/>
        <w:rPr>
          <w:rFonts w:ascii="Times New Roman" w:eastAsia="Times New Roman" w:hAnsi="Times New Roman" w:cs="Times New Roman"/>
          <w:b/>
          <w:u w:val="single"/>
        </w:rPr>
      </w:pPr>
    </w:p>
    <w:p w14:paraId="74BA6C87" w14:textId="77777777" w:rsidR="00F47A54" w:rsidRDefault="00F47A54" w:rsidP="00D65375">
      <w:pPr>
        <w:spacing w:line="480" w:lineRule="auto"/>
        <w:ind w:left="2880" w:right="-720" w:firstLine="720"/>
        <w:jc w:val="both"/>
        <w:rPr>
          <w:rFonts w:ascii="Times New Roman" w:eastAsia="Times New Roman" w:hAnsi="Times New Roman" w:cs="Times New Roman"/>
          <w:b/>
          <w:u w:val="single"/>
        </w:rPr>
      </w:pPr>
    </w:p>
    <w:p w14:paraId="419AF6E9" w14:textId="77777777" w:rsidR="00F47A54" w:rsidRDefault="00F47A54" w:rsidP="00D65375">
      <w:pPr>
        <w:spacing w:line="480" w:lineRule="auto"/>
        <w:ind w:left="2880" w:right="-720" w:firstLine="720"/>
        <w:jc w:val="both"/>
        <w:rPr>
          <w:rFonts w:ascii="Times New Roman" w:eastAsia="Times New Roman" w:hAnsi="Times New Roman" w:cs="Times New Roman"/>
          <w:b/>
          <w:u w:val="single"/>
        </w:rPr>
      </w:pPr>
    </w:p>
    <w:p w14:paraId="04767C45" w14:textId="77777777" w:rsidR="00F47A54" w:rsidRDefault="00F47A54" w:rsidP="00D65375">
      <w:pPr>
        <w:spacing w:line="480" w:lineRule="auto"/>
        <w:ind w:left="2880" w:right="-720" w:firstLine="720"/>
        <w:jc w:val="both"/>
        <w:rPr>
          <w:rFonts w:ascii="Times New Roman" w:eastAsia="Times New Roman" w:hAnsi="Times New Roman" w:cs="Times New Roman"/>
          <w:b/>
          <w:u w:val="single"/>
        </w:rPr>
      </w:pPr>
    </w:p>
    <w:p w14:paraId="5BD1ECB4" w14:textId="77777777" w:rsidR="00F47A54" w:rsidRDefault="00F47A54" w:rsidP="00D65375">
      <w:pPr>
        <w:spacing w:line="480" w:lineRule="auto"/>
        <w:ind w:left="2880" w:right="-720" w:firstLine="720"/>
        <w:jc w:val="both"/>
        <w:rPr>
          <w:rFonts w:ascii="Times New Roman" w:eastAsia="Times New Roman" w:hAnsi="Times New Roman" w:cs="Times New Roman"/>
          <w:b/>
          <w:u w:val="single"/>
        </w:rPr>
      </w:pPr>
    </w:p>
    <w:p w14:paraId="096096F0" w14:textId="77777777" w:rsidR="00F47A54" w:rsidRDefault="00F47A54" w:rsidP="00D65375">
      <w:pPr>
        <w:spacing w:line="480" w:lineRule="auto"/>
        <w:ind w:left="2880" w:right="-720" w:firstLine="720"/>
        <w:jc w:val="both"/>
        <w:rPr>
          <w:rFonts w:ascii="Times New Roman" w:eastAsia="Times New Roman" w:hAnsi="Times New Roman" w:cs="Times New Roman"/>
          <w:b/>
          <w:u w:val="single"/>
        </w:rPr>
      </w:pPr>
    </w:p>
    <w:p w14:paraId="48DDA7DD" w14:textId="77777777" w:rsidR="00F47A54" w:rsidRDefault="00F47A54" w:rsidP="00D65375">
      <w:pPr>
        <w:spacing w:line="480" w:lineRule="auto"/>
        <w:ind w:left="2880" w:right="-720" w:firstLine="720"/>
        <w:jc w:val="both"/>
        <w:rPr>
          <w:rFonts w:ascii="Times New Roman" w:eastAsia="Times New Roman" w:hAnsi="Times New Roman" w:cs="Times New Roman"/>
          <w:b/>
          <w:u w:val="single"/>
        </w:rPr>
      </w:pPr>
    </w:p>
    <w:p w14:paraId="448C7802" w14:textId="598B1CD3" w:rsidR="002F261B" w:rsidRDefault="00000000" w:rsidP="00D65375">
      <w:pPr>
        <w:spacing w:line="480" w:lineRule="auto"/>
        <w:ind w:left="2880" w:right="-720" w:firstLine="720"/>
        <w:jc w:val="both"/>
        <w:rPr>
          <w:rFonts w:ascii="Times New Roman" w:eastAsia="Times New Roman" w:hAnsi="Times New Roman" w:cs="Times New Roman"/>
          <w:b/>
          <w:u w:val="single"/>
        </w:rPr>
      </w:pPr>
      <w:r>
        <w:rPr>
          <w:rFonts w:ascii="Times New Roman" w:eastAsia="Times New Roman" w:hAnsi="Times New Roman" w:cs="Times New Roman"/>
          <w:b/>
          <w:u w:val="single"/>
        </w:rPr>
        <w:t>Conclusion</w:t>
      </w:r>
    </w:p>
    <w:p w14:paraId="5BE4AFF4" w14:textId="135260AA" w:rsidR="002F261B" w:rsidRDefault="00000000">
      <w:pPr>
        <w:spacing w:line="480" w:lineRule="auto"/>
        <w:ind w:left="-630" w:right="-720"/>
        <w:jc w:val="both"/>
        <w:rPr>
          <w:rFonts w:ascii="Times New Roman" w:eastAsia="Times New Roman" w:hAnsi="Times New Roman" w:cs="Times New Roman"/>
        </w:rPr>
      </w:pPr>
      <w:r>
        <w:rPr>
          <w:rFonts w:ascii="Times New Roman" w:eastAsia="Times New Roman" w:hAnsi="Times New Roman" w:cs="Times New Roman"/>
        </w:rPr>
        <w:t xml:space="preserve">Based on our calculations above we can say that Ferrari fairly valued their share </w:t>
      </w:r>
      <w:r w:rsidR="00DB4368">
        <w:rPr>
          <w:rFonts w:ascii="Times New Roman" w:eastAsia="Times New Roman" w:hAnsi="Times New Roman" w:cs="Times New Roman"/>
        </w:rPr>
        <w:t>price,</w:t>
      </w:r>
      <w:r>
        <w:rPr>
          <w:rFonts w:ascii="Times New Roman" w:eastAsia="Times New Roman" w:hAnsi="Times New Roman" w:cs="Times New Roman"/>
        </w:rPr>
        <w:t xml:space="preserve"> but the broader market had different perceptions about the company and gave a slight premium to the share price. The IPO price for Ferrari was set at $52 per share, plus a $1.56 underwriting discount and commissions. Ferrari's stock began at $60 per share on the first day of trade, 15% more than the IPO price. The stock price varied throughout the day, eventually closing at $55 per share, a 7% rise from the IPO price.</w:t>
      </w:r>
    </w:p>
    <w:p w14:paraId="60AB910A" w14:textId="0A973649" w:rsidR="002F261B" w:rsidRDefault="00000000" w:rsidP="00D65375">
      <w:pPr>
        <w:spacing w:line="480" w:lineRule="auto"/>
        <w:ind w:left="-630" w:right="-720" w:firstLine="1350"/>
        <w:jc w:val="both"/>
        <w:rPr>
          <w:rFonts w:ascii="Times New Roman" w:eastAsia="Times New Roman" w:hAnsi="Times New Roman" w:cs="Times New Roman"/>
        </w:rPr>
      </w:pPr>
      <w:r>
        <w:rPr>
          <w:rFonts w:ascii="Times New Roman" w:eastAsia="Times New Roman" w:hAnsi="Times New Roman" w:cs="Times New Roman"/>
        </w:rPr>
        <w:t>Based on these figures, it is reasonable to assume that Ferrari underpriced its shares during the IPO. The motivation for this intentional undervaluation scheme was varied. For starters, by lowering the selling price, Ferrari hoped to create a sense of favorable investment opportunity and enhance demand for their shares, attracting a bigger pool of possible buyers. This technique was designed to generate high demand and secure the success of the IPO.</w:t>
      </w:r>
      <w:r w:rsidR="00D65375">
        <w:rPr>
          <w:rFonts w:ascii="Times New Roman" w:eastAsia="Times New Roman" w:hAnsi="Times New Roman" w:cs="Times New Roman"/>
        </w:rPr>
        <w:t xml:space="preserve"> </w:t>
      </w:r>
      <w:r>
        <w:rPr>
          <w:rFonts w:ascii="Times New Roman" w:eastAsia="Times New Roman" w:hAnsi="Times New Roman" w:cs="Times New Roman"/>
        </w:rPr>
        <w:t>The stock's strong opening and closing prices indicated instant investor interest and suggested an undervalued investment opportunity. This upbeat market sentiment and impressive debut performance bolstered investor confidence and positioned Ferrari as an appealing investment option.</w:t>
      </w:r>
    </w:p>
    <w:p w14:paraId="30E8250B" w14:textId="77777777" w:rsidR="002F261B" w:rsidRDefault="00000000" w:rsidP="00D65375">
      <w:pPr>
        <w:spacing w:line="480" w:lineRule="auto"/>
        <w:ind w:left="-630" w:right="-720" w:firstLine="1350"/>
        <w:jc w:val="both"/>
        <w:rPr>
          <w:rFonts w:ascii="Times New Roman" w:eastAsia="Times New Roman" w:hAnsi="Times New Roman" w:cs="Times New Roman"/>
        </w:rPr>
      </w:pPr>
      <w:r>
        <w:rPr>
          <w:rFonts w:ascii="Times New Roman" w:eastAsia="Times New Roman" w:hAnsi="Times New Roman" w:cs="Times New Roman"/>
        </w:rPr>
        <w:t>Ferrari also attempted to reduce short-term risk and volatility by purposely undervaluing its stock. The lower IPO price drew in more steady, long-term investors who were more inclined to keep their shares. This strategy helped to stabilize the stock price and reduce short-term fluctuations, resulting in a smoother entry into public markets.</w:t>
      </w:r>
    </w:p>
    <w:p w14:paraId="7A48BA44" w14:textId="74B66481" w:rsidR="002F261B" w:rsidRDefault="00000000" w:rsidP="00813587">
      <w:pPr>
        <w:spacing w:line="480" w:lineRule="auto"/>
        <w:ind w:left="-630" w:right="-720"/>
        <w:jc w:val="both"/>
        <w:rPr>
          <w:rFonts w:ascii="Times New Roman" w:eastAsia="Times New Roman" w:hAnsi="Times New Roman" w:cs="Times New Roman"/>
        </w:rPr>
      </w:pPr>
      <w:r>
        <w:rPr>
          <w:rFonts w:ascii="Times New Roman" w:eastAsia="Times New Roman" w:hAnsi="Times New Roman" w:cs="Times New Roman"/>
        </w:rPr>
        <w:t>In conclusion, Ferrari's deliberate undervaluation of its shares during the IPO suggests that they underpriced their shares. This technique was motivated by the need to generate strong demand, build favorable market mood, and mitigate short-term risk. Ferrari wanted to attract investors, develop market confidence, and position the company for future growth and funding prospects by setting a lower offering price.</w:t>
      </w:r>
    </w:p>
    <w:sectPr w:rsidR="002F261B">
      <w:footerReference w:type="default" r:id="rId7"/>
      <w:pgSz w:w="12240" w:h="15840"/>
      <w:pgMar w:top="1440" w:right="1440" w:bottom="1440" w:left="1440" w:header="720" w:footer="720" w:gutter="0"/>
      <w:pgNumType w:start="1"/>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AD2A0" w14:textId="77777777" w:rsidR="00520E35" w:rsidRDefault="00520E35">
      <w:pPr>
        <w:spacing w:line="240" w:lineRule="auto"/>
      </w:pPr>
      <w:r>
        <w:separator/>
      </w:r>
    </w:p>
  </w:endnote>
  <w:endnote w:type="continuationSeparator" w:id="0">
    <w:p w14:paraId="596C1907" w14:textId="77777777" w:rsidR="00520E35" w:rsidRDefault="00520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8C74A" w14:textId="77777777" w:rsidR="002F261B" w:rsidRDefault="002F26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44F87" w14:textId="77777777" w:rsidR="00520E35" w:rsidRDefault="00520E35">
      <w:pPr>
        <w:spacing w:line="240" w:lineRule="auto"/>
      </w:pPr>
      <w:r>
        <w:separator/>
      </w:r>
    </w:p>
  </w:footnote>
  <w:footnote w:type="continuationSeparator" w:id="0">
    <w:p w14:paraId="45DD50D1" w14:textId="77777777" w:rsidR="00520E35" w:rsidRDefault="00520E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2D7F"/>
    <w:multiLevelType w:val="multilevel"/>
    <w:tmpl w:val="2918F9E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201510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61B"/>
    <w:rsid w:val="00171A78"/>
    <w:rsid w:val="002F261B"/>
    <w:rsid w:val="00520E35"/>
    <w:rsid w:val="00813587"/>
    <w:rsid w:val="00935C8E"/>
    <w:rsid w:val="00A33BD7"/>
    <w:rsid w:val="00B075CE"/>
    <w:rsid w:val="00C81B8D"/>
    <w:rsid w:val="00D65375"/>
    <w:rsid w:val="00DB4368"/>
    <w:rsid w:val="00DF05F4"/>
    <w:rsid w:val="00F47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9AEA"/>
  <w15:docId w15:val="{A724B790-48AF-F741-9953-558AED128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0377">
      <w:bodyDiv w:val="1"/>
      <w:marLeft w:val="0"/>
      <w:marRight w:val="0"/>
      <w:marTop w:val="0"/>
      <w:marBottom w:val="0"/>
      <w:divBdr>
        <w:top w:val="none" w:sz="0" w:space="0" w:color="auto"/>
        <w:left w:val="none" w:sz="0" w:space="0" w:color="auto"/>
        <w:bottom w:val="none" w:sz="0" w:space="0" w:color="auto"/>
        <w:right w:val="none" w:sz="0" w:space="0" w:color="auto"/>
      </w:divBdr>
    </w:div>
    <w:div w:id="513958064">
      <w:bodyDiv w:val="1"/>
      <w:marLeft w:val="0"/>
      <w:marRight w:val="0"/>
      <w:marTop w:val="0"/>
      <w:marBottom w:val="0"/>
      <w:divBdr>
        <w:top w:val="none" w:sz="0" w:space="0" w:color="auto"/>
        <w:left w:val="none" w:sz="0" w:space="0" w:color="auto"/>
        <w:bottom w:val="none" w:sz="0" w:space="0" w:color="auto"/>
        <w:right w:val="none" w:sz="0" w:space="0" w:color="auto"/>
      </w:divBdr>
    </w:div>
    <w:div w:id="910623750">
      <w:bodyDiv w:val="1"/>
      <w:marLeft w:val="0"/>
      <w:marRight w:val="0"/>
      <w:marTop w:val="0"/>
      <w:marBottom w:val="0"/>
      <w:divBdr>
        <w:top w:val="none" w:sz="0" w:space="0" w:color="auto"/>
        <w:left w:val="none" w:sz="0" w:space="0" w:color="auto"/>
        <w:bottom w:val="none" w:sz="0" w:space="0" w:color="auto"/>
        <w:right w:val="none" w:sz="0" w:space="0" w:color="auto"/>
      </w:divBdr>
    </w:div>
    <w:div w:id="1032851069">
      <w:bodyDiv w:val="1"/>
      <w:marLeft w:val="0"/>
      <w:marRight w:val="0"/>
      <w:marTop w:val="0"/>
      <w:marBottom w:val="0"/>
      <w:divBdr>
        <w:top w:val="none" w:sz="0" w:space="0" w:color="auto"/>
        <w:left w:val="none" w:sz="0" w:space="0" w:color="auto"/>
        <w:bottom w:val="none" w:sz="0" w:space="0" w:color="auto"/>
        <w:right w:val="none" w:sz="0" w:space="0" w:color="auto"/>
      </w:divBdr>
    </w:div>
    <w:div w:id="1049575162">
      <w:bodyDiv w:val="1"/>
      <w:marLeft w:val="0"/>
      <w:marRight w:val="0"/>
      <w:marTop w:val="0"/>
      <w:marBottom w:val="0"/>
      <w:divBdr>
        <w:top w:val="none" w:sz="0" w:space="0" w:color="auto"/>
        <w:left w:val="none" w:sz="0" w:space="0" w:color="auto"/>
        <w:bottom w:val="none" w:sz="0" w:space="0" w:color="auto"/>
        <w:right w:val="none" w:sz="0" w:space="0" w:color="auto"/>
      </w:divBdr>
    </w:div>
    <w:div w:id="1384986613">
      <w:bodyDiv w:val="1"/>
      <w:marLeft w:val="0"/>
      <w:marRight w:val="0"/>
      <w:marTop w:val="0"/>
      <w:marBottom w:val="0"/>
      <w:divBdr>
        <w:top w:val="none" w:sz="0" w:space="0" w:color="auto"/>
        <w:left w:val="none" w:sz="0" w:space="0" w:color="auto"/>
        <w:bottom w:val="none" w:sz="0" w:space="0" w:color="auto"/>
        <w:right w:val="none" w:sz="0" w:space="0" w:color="auto"/>
      </w:divBdr>
    </w:div>
    <w:div w:id="1759516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Senthil Kumar</cp:lastModifiedBy>
  <cp:revision>2</cp:revision>
  <dcterms:created xsi:type="dcterms:W3CDTF">2024-03-20T06:04:00Z</dcterms:created>
  <dcterms:modified xsi:type="dcterms:W3CDTF">2024-03-20T06:04:00Z</dcterms:modified>
</cp:coreProperties>
</file>