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95959"/>
          <w:sz w:val="22"/>
          <w:szCs w:val="22"/>
        </w:rPr>
        <w:t xml:space="preserve">SMART INDIA HACKATHON 2026</w:t>
      </w:r>
    </w:p>
    <w:p>
      <w:pPr>
        <w:spacing w:before="300"/>
        <w:jc w:val="center"/>
      </w:pPr>
      <w:r>
        <w:rPr>
          <w:b/>
          <w:bCs/>
          <w:color w:val="1F2A44"/>
          <w:sz w:val="72"/>
          <w:szCs w:val="72"/>
        </w:rPr>
        <w:t xml:space="preserve">BULWARK</w:t>
      </w:r>
    </w:p>
    <w:p>
      <w:pPr>
        <w:spacing w:after="500" w:before="100"/>
        <w:jc w:val="center"/>
      </w:pPr>
      <w:r>
        <w:rPr>
          <w:b/>
          <w:bCs/>
          <w:color w:val="2E5AAC"/>
          <w:sz w:val="30"/>
          <w:szCs w:val="30"/>
        </w:rPr>
        <w:t xml:space="preserve">Sovereign On-Premise Agentic AI Workbench</w:t>
      </w:r>
    </w:p>
    <w:p>
      <w:pPr>
        <w:jc w:val="center"/>
      </w:pPr>
      <w:r>
        <w:rPr>
          <w:i/>
          <w:iCs/>
          <w:color w:val="595959"/>
          <w:sz w:val="22"/>
          <w:szCs w:val="22"/>
        </w:rPr>
        <w:t xml:space="preserve">using Open-Weight Multimodal LLMs for Confidential Industry Work</w:t>
      </w:r>
    </w:p>
    <w:p>
      <w:pPr>
        <w:spacing w:before="700"/>
        <w:jc w:val="center"/>
      </w:pPr>
      <w:r>
        <w:rPr>
          <w:b/>
          <w:bCs/>
          <w:color w:val="1F2A44"/>
          <w:sz w:val="24"/>
          <w:szCs w:val="24"/>
        </w:rPr>
        <w:t xml:space="preserve">PROJECT REPORT</w:t>
      </w:r>
    </w:p>
    <w:p>
      <w:pPr>
        <w:spacing w:before="5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2A44"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5800"/>
            <w:shd w:fill="1F2A44"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Problem Statement ID</w:t>
            </w:r>
          </w:p>
        </w:tc>
        <w:tc>
          <w:tcPr>
            <w:tcW w:type="dxa" w:w="5800"/>
            <w:tcMar>
              <w:top w:type="dxa" w:w="100"/>
              <w:left w:type="dxa" w:w="120"/>
              <w:bottom w:type="dxa" w:w="100"/>
              <w:right w:type="dxa" w:w="120"/>
            </w:tcMar>
            <w:vAlign w:val="center"/>
          </w:tcPr>
          <w:p>
            <w:pPr>
              <w:jc w:val="left"/>
            </w:pPr>
            <w:r>
              <w:rPr>
                <w:b w:val="false"/>
                <w:bCs w:val="false"/>
                <w:color w:val="1A1A1A"/>
                <w:sz w:val="20"/>
                <w:szCs w:val="20"/>
              </w:rPr>
              <w:t xml:space="preserve">26117</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Problem Statement Title</w:t>
            </w:r>
          </w:p>
        </w:tc>
        <w:tc>
          <w:tcPr>
            <w:tcW w:type="dxa" w:w="5800"/>
            <w:tcMar>
              <w:top w:type="dxa" w:w="100"/>
              <w:left w:type="dxa" w:w="120"/>
              <w:bottom w:type="dxa" w:w="100"/>
              <w:right w:type="dxa" w:w="120"/>
            </w:tcMar>
            <w:vAlign w:val="center"/>
          </w:tcPr>
          <w:p>
            <w:pPr>
              <w:jc w:val="left"/>
            </w:pPr>
            <w:r>
              <w:rPr>
                <w:b w:val="false"/>
                <w:bCs w:val="false"/>
                <w:color w:val="1A1A1A"/>
                <w:sz w:val="20"/>
                <w:szCs w:val="20"/>
              </w:rPr>
              <w:t xml:space="preserve">Sovereign On-Premise Agentic AI Workbench using Open-Weight Multimodal LLMs for Confidential Industry Work</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Theme</w:t>
            </w:r>
          </w:p>
        </w:tc>
        <w:tc>
          <w:tcPr>
            <w:tcW w:type="dxa" w:w="5800"/>
            <w:tcMar>
              <w:top w:type="dxa" w:w="100"/>
              <w:left w:type="dxa" w:w="120"/>
              <w:bottom w:type="dxa" w:w="100"/>
              <w:right w:type="dxa" w:w="120"/>
            </w:tcMar>
            <w:vAlign w:val="center"/>
          </w:tcPr>
          <w:p>
            <w:pPr>
              <w:jc w:val="left"/>
            </w:pPr>
            <w:r>
              <w:rPr>
                <w:b w:val="false"/>
                <w:bCs w:val="false"/>
                <w:color w:val="1A1A1A"/>
                <w:sz w:val="20"/>
                <w:szCs w:val="20"/>
              </w:rPr>
              <w:t xml:space="preserve">Smart Automation</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PS Category</w:t>
            </w:r>
          </w:p>
        </w:tc>
        <w:tc>
          <w:tcPr>
            <w:tcW w:type="dxa" w:w="5800"/>
            <w:tcMar>
              <w:top w:type="dxa" w:w="100"/>
              <w:left w:type="dxa" w:w="120"/>
              <w:bottom w:type="dxa" w:w="100"/>
              <w:right w:type="dxa" w:w="120"/>
            </w:tcMar>
            <w:vAlign w:val="center"/>
          </w:tcPr>
          <w:p>
            <w:pPr>
              <w:jc w:val="left"/>
            </w:pPr>
            <w:r>
              <w:rPr>
                <w:b w:val="false"/>
                <w:bCs w:val="false"/>
                <w:color w:val="1A1A1A"/>
                <w:sz w:val="20"/>
                <w:szCs w:val="20"/>
              </w:rPr>
              <w:t xml:space="preserve">Software</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Team Name</w:t>
            </w:r>
          </w:p>
        </w:tc>
        <w:tc>
          <w:tcPr>
            <w:tcW w:type="dxa" w:w="5800"/>
            <w:tcMar>
              <w:top w:type="dxa" w:w="100"/>
              <w:left w:type="dxa" w:w="120"/>
              <w:bottom w:type="dxa" w:w="100"/>
              <w:right w:type="dxa" w:w="120"/>
            </w:tcMar>
            <w:vAlign w:val="center"/>
          </w:tcPr>
          <w:p>
            <w:pPr>
              <w:jc w:val="left"/>
            </w:pPr>
            <w:r>
              <w:rPr>
                <w:b w:val="false"/>
                <w:bCs w:val="false"/>
                <w:color w:val="1A1A1A"/>
                <w:sz w:val="20"/>
                <w:szCs w:val="20"/>
              </w:rPr>
              <w:t xml:space="preserve">CodeBlooded</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Report Status</w:t>
            </w:r>
          </w:p>
        </w:tc>
        <w:tc>
          <w:tcPr>
            <w:tcW w:type="dxa" w:w="5800"/>
            <w:tcMar>
              <w:top w:type="dxa" w:w="100"/>
              <w:left w:type="dxa" w:w="120"/>
              <w:bottom w:type="dxa" w:w="100"/>
              <w:right w:type="dxa" w:w="120"/>
            </w:tcMar>
            <w:vAlign w:val="center"/>
          </w:tcPr>
          <w:p>
            <w:pPr>
              <w:jc w:val="left"/>
            </w:pPr>
            <w:r>
              <w:rPr>
                <w:b w:val="false"/>
                <w:bCs w:val="false"/>
                <w:color w:val="1A1A1A"/>
                <w:sz w:val="20"/>
                <w:szCs w:val="20"/>
              </w:rPr>
              <w:t xml:space="preserve">Post-review revision — incorporates feasibility, security and presentation corrections identified in internal audit</w:t>
            </w:r>
          </w:p>
        </w:tc>
      </w:tr>
    </w:tbl>
    <w:p>
      <w:pPr>
        <w:spacing w:before="900"/>
        <w:jc w:val="center"/>
      </w:pPr>
      <w:r>
        <w:rPr>
          <w:color w:val="595959"/>
          <w:sz w:val="20"/>
          <w:szCs w:val="20"/>
        </w:rPr>
        <w:t xml:space="preserve">September 2026</w:t>
      </w:r>
    </w:p>
    <w:p>
      <w:pPr>
        <w:sectPr>
          <w:pgSz w:w="11906" w:h="16838" w:orient="portrait"/>
          <w:pgMar w:top="1000" w:right="1100" w:bottom="1000" w:left="1100" w:header="708" w:footer="708" w:gutter="0"/>
          <w:pgNumType/>
          <w:docGrid w:linePitch="360"/>
        </w:sectPr>
      </w:pPr>
    </w:p>
    <w:p>
      <w:pPr>
        <w:pStyle w:val="Heading1"/>
        <w:pBdr>
          <w:bottom w:val="single" w:color="1F2A44" w:sz="6" w:space="4"/>
        </w:pBdr>
        <w:spacing w:after="200" w:before="400"/>
      </w:pPr>
      <w:r>
        <w:rPr>
          <w:b/>
          <w:bCs/>
          <w:color w:val="1F2A44"/>
          <w:sz w:val="30"/>
          <w:szCs w:val="30"/>
        </w:rPr>
        <w:t xml:space="preserve">Contents</w:t>
      </w:r>
    </w:p>
    <w:p>
      <w:pPr>
        <w:spacing w:after="110"/>
      </w:pPr>
      <w:r>
        <w:rPr>
          <w:b/>
          <w:bCs/>
          <w:color w:val="2E5AAC"/>
          <w:sz w:val="22"/>
          <w:szCs w:val="22"/>
        </w:rPr>
        <w:t xml:space="preserve">1.   </w:t>
      </w:r>
      <w:r>
        <w:rPr>
          <w:color w:val="1A1A1A"/>
          <w:sz w:val="22"/>
          <w:szCs w:val="22"/>
        </w:rPr>
        <w:t xml:space="preserve">Executive Summary</w:t>
      </w:r>
    </w:p>
    <w:p>
      <w:pPr>
        <w:spacing w:after="110"/>
      </w:pPr>
      <w:r>
        <w:rPr>
          <w:b/>
          <w:bCs/>
          <w:color w:val="2E5AAC"/>
          <w:sz w:val="22"/>
          <w:szCs w:val="22"/>
        </w:rPr>
        <w:t xml:space="preserve">2.   </w:t>
      </w:r>
      <w:r>
        <w:rPr>
          <w:color w:val="1A1A1A"/>
          <w:sz w:val="22"/>
          <w:szCs w:val="22"/>
        </w:rPr>
        <w:t xml:space="preserve">Problem Statement</w:t>
      </w:r>
    </w:p>
    <w:p>
      <w:pPr>
        <w:spacing w:after="110"/>
      </w:pPr>
      <w:r>
        <w:rPr>
          <w:b/>
          <w:bCs/>
          <w:color w:val="2E5AAC"/>
          <w:sz w:val="22"/>
          <w:szCs w:val="22"/>
        </w:rPr>
        <w:t xml:space="preserve">3.   </w:t>
      </w:r>
      <w:r>
        <w:rPr>
          <w:color w:val="1A1A1A"/>
          <w:sz w:val="22"/>
          <w:szCs w:val="22"/>
        </w:rPr>
        <w:t xml:space="preserve">Proposed Solution</w:t>
      </w:r>
    </w:p>
    <w:p>
      <w:pPr>
        <w:spacing w:after="110"/>
      </w:pPr>
      <w:r>
        <w:rPr>
          <w:b/>
          <w:bCs/>
          <w:color w:val="2E5AAC"/>
          <w:sz w:val="22"/>
          <w:szCs w:val="22"/>
        </w:rPr>
        <w:t xml:space="preserve">4.   </w:t>
      </w:r>
      <w:r>
        <w:rPr>
          <w:color w:val="1A1A1A"/>
          <w:sz w:val="22"/>
          <w:szCs w:val="22"/>
        </w:rPr>
        <w:t xml:space="preserve">System Architecture</w:t>
      </w:r>
    </w:p>
    <w:p>
      <w:pPr>
        <w:spacing w:after="110"/>
      </w:pPr>
      <w:r>
        <w:rPr>
          <w:b/>
          <w:bCs/>
          <w:color w:val="2E5AAC"/>
          <w:sz w:val="22"/>
          <w:szCs w:val="22"/>
        </w:rPr>
        <w:t xml:space="preserve">5.   </w:t>
      </w:r>
      <w:r>
        <w:rPr>
          <w:color w:val="1A1A1A"/>
          <w:sz w:val="22"/>
          <w:szCs w:val="22"/>
        </w:rPr>
        <w:t xml:space="preserve">Technology Stack</w:t>
      </w:r>
    </w:p>
    <w:p>
      <w:pPr>
        <w:spacing w:after="110"/>
      </w:pPr>
      <w:r>
        <w:rPr>
          <w:b/>
          <w:bCs/>
          <w:color w:val="2E5AAC"/>
          <w:sz w:val="22"/>
          <w:szCs w:val="22"/>
        </w:rPr>
        <w:t xml:space="preserve">6.   </w:t>
      </w:r>
      <w:r>
        <w:rPr>
          <w:color w:val="1A1A1A"/>
          <w:sz w:val="22"/>
          <w:szCs w:val="22"/>
        </w:rPr>
        <w:t xml:space="preserve">Feasibility and Current Build Status</w:t>
      </w:r>
    </w:p>
    <w:p>
      <w:pPr>
        <w:spacing w:after="110"/>
      </w:pPr>
      <w:r>
        <w:rPr>
          <w:b/>
          <w:bCs/>
          <w:color w:val="2E5AAC"/>
          <w:sz w:val="22"/>
          <w:szCs w:val="22"/>
        </w:rPr>
        <w:t xml:space="preserve">7.   </w:t>
      </w:r>
      <w:r>
        <w:rPr>
          <w:color w:val="1A1A1A"/>
          <w:sz w:val="22"/>
          <w:szCs w:val="22"/>
        </w:rPr>
        <w:t xml:space="preserve">Data Strategy</w:t>
      </w:r>
    </w:p>
    <w:p>
      <w:pPr>
        <w:spacing w:after="110"/>
      </w:pPr>
      <w:r>
        <w:rPr>
          <w:b/>
          <w:bCs/>
          <w:color w:val="2E5AAC"/>
          <w:sz w:val="22"/>
          <w:szCs w:val="22"/>
        </w:rPr>
        <w:t xml:space="preserve">8.   </w:t>
      </w:r>
      <w:r>
        <w:rPr>
          <w:color w:val="1A1A1A"/>
          <w:sz w:val="22"/>
          <w:szCs w:val="22"/>
        </w:rPr>
        <w:t xml:space="preserve">Security and Privacy</w:t>
      </w:r>
    </w:p>
    <w:p>
      <w:pPr>
        <w:spacing w:after="110"/>
      </w:pPr>
      <w:r>
        <w:rPr>
          <w:b/>
          <w:bCs/>
          <w:color w:val="2E5AAC"/>
          <w:sz w:val="22"/>
          <w:szCs w:val="22"/>
        </w:rPr>
        <w:t xml:space="preserve">9.   </w:t>
      </w:r>
      <w:r>
        <w:rPr>
          <w:color w:val="1A1A1A"/>
          <w:sz w:val="22"/>
          <w:szCs w:val="22"/>
        </w:rPr>
        <w:t xml:space="preserve">Impact and Benefits</w:t>
      </w:r>
    </w:p>
    <w:p>
      <w:pPr>
        <w:spacing w:after="110"/>
      </w:pPr>
      <w:r>
        <w:rPr>
          <w:b/>
          <w:bCs/>
          <w:color w:val="2E5AAC"/>
          <w:sz w:val="22"/>
          <w:szCs w:val="22"/>
        </w:rPr>
        <w:t xml:space="preserve">10.   </w:t>
      </w:r>
      <w:r>
        <w:rPr>
          <w:color w:val="1A1A1A"/>
          <w:sz w:val="22"/>
          <w:szCs w:val="22"/>
        </w:rPr>
        <w:t xml:space="preserve">Demonstration Plan</w:t>
      </w:r>
    </w:p>
    <w:p>
      <w:pPr>
        <w:spacing w:after="110"/>
      </w:pPr>
      <w:r>
        <w:rPr>
          <w:b/>
          <w:bCs/>
          <w:color w:val="2E5AAC"/>
          <w:sz w:val="22"/>
          <w:szCs w:val="22"/>
        </w:rPr>
        <w:t xml:space="preserve">11.   </w:t>
      </w:r>
      <w:r>
        <w:rPr>
          <w:color w:val="1A1A1A"/>
          <w:sz w:val="22"/>
          <w:szCs w:val="22"/>
        </w:rPr>
        <w:t xml:space="preserve">Comparative Positioning</w:t>
      </w:r>
    </w:p>
    <w:p>
      <w:pPr>
        <w:spacing w:after="110"/>
      </w:pPr>
      <w:r>
        <w:rPr>
          <w:b/>
          <w:bCs/>
          <w:color w:val="2E5AAC"/>
          <w:sz w:val="22"/>
          <w:szCs w:val="22"/>
        </w:rPr>
        <w:t xml:space="preserve">12.   </w:t>
      </w:r>
      <w:r>
        <w:rPr>
          <w:color w:val="1A1A1A"/>
          <w:sz w:val="22"/>
          <w:szCs w:val="22"/>
        </w:rPr>
        <w:t xml:space="preserve">Research and References</w:t>
      </w:r>
    </w:p>
    <w:p>
      <w:pPr>
        <w:spacing w:after="110"/>
      </w:pPr>
      <w:r>
        <w:rPr>
          <w:b/>
          <w:bCs/>
          <w:color w:val="2E5AAC"/>
          <w:sz w:val="22"/>
          <w:szCs w:val="22"/>
        </w:rPr>
        <w:t xml:space="preserve">13.   </w:t>
      </w:r>
      <w:r>
        <w:rPr>
          <w:color w:val="1A1A1A"/>
          <w:sz w:val="22"/>
          <w:szCs w:val="22"/>
        </w:rPr>
        <w:t xml:space="preserve">Roadmap</w:t>
      </w:r>
    </w:p>
    <w:p>
      <w:pPr>
        <w:spacing w:after="110"/>
      </w:pPr>
      <w:r>
        <w:rPr>
          <w:b/>
          <w:bCs/>
          <w:color w:val="2E5AAC"/>
          <w:sz w:val="22"/>
          <w:szCs w:val="22"/>
        </w:rPr>
        <w:t xml:space="preserve">14.   </w:t>
      </w:r>
      <w:r>
        <w:rPr>
          <w:color w:val="1A1A1A"/>
          <w:sz w:val="22"/>
          <w:szCs w:val="22"/>
        </w:rPr>
        <w:t xml:space="preserve">Conclusion</w:t>
      </w:r>
    </w:p>
    <w:p>
      <w:r>
        <w:br w:type="page"/>
      </w:r>
    </w:p>
    <w:p>
      <w:pPr>
        <w:pStyle w:val="Heading1"/>
        <w:pBdr>
          <w:bottom w:val="single" w:color="1F2A44" w:sz="6" w:space="4"/>
        </w:pBdr>
        <w:spacing w:after="200" w:before="400"/>
      </w:pPr>
      <w:r>
        <w:rPr>
          <w:b/>
          <w:bCs/>
          <w:color w:val="1F2A44"/>
          <w:sz w:val="30"/>
          <w:szCs w:val="30"/>
        </w:rPr>
        <w:t xml:space="preserve">1. Executive Summary</w:t>
      </w:r>
    </w:p>
    <w:p>
      <w:pPr>
        <w:spacing w:after="160" w:line="276"/>
      </w:pPr>
      <w:r>
        <w:rPr>
          <w:color w:val="1A1A1A"/>
          <w:sz w:val="21"/>
          <w:szCs w:val="21"/>
        </w:rPr>
        <w:t xml:space="preserve">Bulwark is a sovereign, on-premise, agentic AI workbench for organizations that cannot send confidential data to a cloud AI service — refineries, public sector undertakings, defence-linked manufacturing, and government offices. It gives such organizations the productivity benefits of agentic AI (document understanding, knowledge retrieval, code generation and execution, and document drafting) while keeping every model call, every document, and every generated artifact on a single, network-isolated workstation.</w:t>
      </w:r>
    </w:p>
    <w:p>
      <w:pPr>
        <w:spacing w:after="160" w:line="276"/>
      </w:pPr>
      <w:r>
        <w:rPr>
          <w:color w:val="1A1A1A"/>
          <w:sz w:val="21"/>
          <w:szCs w:val="21"/>
        </w:rPr>
        <w:t xml:space="preserve">The system's central design decision is a structural separation between reasoning and action: a local Orchestrator model may only propose a capability invocation; a deterministic, rule-based Policy layer independently allows or denies every proposal before anything executes; and only approved actions reach a Capability Executor. This boundary is enforced in code, not by instructing the model to behave — the Orchestrator has no code path that can call an Executor directly. Every proposal, decision, and result is written to a single audit/event stream, which is also the source for the live execution trace shown in the interface, so there is no second log that can drift out of sync with what the user sees.</w:t>
      </w:r>
    </w:p>
    <w:p>
      <w:pPr>
        <w:spacing w:after="160" w:line="276"/>
      </w:pPr>
      <w:r>
        <w:rPr>
          <w:color w:val="1A1A1A"/>
          <w:sz w:val="21"/>
          <w:szCs w:val="21"/>
        </w:rPr>
        <w:t xml:space="preserve">This report documents the finalized architecture, the corrected technology stack, the current build status against the four SIH demonstration workflows, and the security, data, and roadmap commitments made following an internal technical review of the initial submission. Claims in this report are limited to what the team has built or can substantiate; items not yet implemented are marked explicitly as roadmap rather than presented as complete.</w:t>
      </w:r>
    </w:p>
    <w:p>
      <w:pPr>
        <w:pStyle w:val="Heading1"/>
        <w:pBdr>
          <w:bottom w:val="single" w:color="1F2A44" w:sz="6" w:space="4"/>
        </w:pBdr>
        <w:spacing w:after="200" w:before="400"/>
      </w:pPr>
      <w:r>
        <w:rPr>
          <w:b/>
          <w:bCs/>
          <w:color w:val="1F2A44"/>
          <w:sz w:val="30"/>
          <w:szCs w:val="30"/>
        </w:rPr>
        <w:t xml:space="preserve">2. Problem Statement</w:t>
      </w:r>
    </w:p>
    <w:p>
      <w:pPr>
        <w:spacing w:after="160" w:line="276"/>
      </w:pPr>
      <w:r>
        <w:rPr>
          <w:color w:val="1A1A1A"/>
          <w:sz w:val="21"/>
          <w:szCs w:val="21"/>
        </w:rPr>
        <w:t xml:space="preserve">Organizations handling confidential operational, financial, or technical data — refinery inspection reports, PSU internal audits, defence manufacturing specifications, government policy documents — increasingly want the productivity benefits of large language models: faster document review, grounded knowledge retrieval, and AI-assisted coding and reporting. Almost every widely available agentic AI product requires sending data to a third-party cloud service to get those benefits, which is not an option where data sovereignty, confidentiality obligations, or air-gapped network policy rule out external transmission.</w:t>
      </w:r>
    </w:p>
    <w:p>
      <w:pPr>
        <w:spacing w:after="160" w:line="276"/>
      </w:pPr>
      <w:r>
        <w:rPr>
          <w:color w:val="1A1A1A"/>
          <w:sz w:val="21"/>
          <w:szCs w:val="21"/>
        </w:rPr>
        <w:t xml:space="preserve">The result is a capability gap: staff in these environments either do without modern AI tooling, or use it informally in ways that bypass IT and security oversight entirely, which is worse than not having it. The problem is not “local AI is technically hard” — open-weight models and local inference runtimes already exist — it is that agentic AI (AI that plans multi-step actions and uses tools) introduces a second, distinct risk on top of data confidentiality: an AI system that can autonomously trigger actions needs a way to guarantee those actions are safe, reviewable, and reversible, independent of whether the model itself is trustworthy in a given instance.</w:t>
      </w:r>
    </w:p>
    <w:p>
      <w:pPr>
        <w:pStyle w:val="ListParagraph"/>
        <w:numPr>
          <w:ilvl w:val="0"/>
          <w:numId w:val="2"/>
        </w:numPr>
        <w:spacing w:after="90" w:line="270"/>
      </w:pPr>
      <w:r>
        <w:rPr>
          <w:b/>
          <w:bCs/>
          <w:color w:val="1A1A1A"/>
          <w:sz w:val="21"/>
          <w:szCs w:val="21"/>
        </w:rPr>
        <w:t xml:space="preserve">Target users: </w:t>
      </w:r>
      <w:r>
        <w:rPr>
          <w:color w:val="1A1A1A"/>
          <w:sz w:val="21"/>
          <w:szCs w:val="21"/>
        </w:rPr>
        <w:t xml:space="preserve">employees and analysts who need day-to-day document, knowledge and coding assistance; security and IT teams who must be able to prove what an AI system did and did not do; and decision-makers and government officers who need to adopt AI without giving up institutional control over confidential information.</w:t>
      </w:r>
    </w:p>
    <w:p>
      <w:pPr>
        <w:pStyle w:val="Heading1"/>
        <w:pBdr>
          <w:bottom w:val="single" w:color="1F2A44" w:sz="6" w:space="4"/>
        </w:pBdr>
        <w:spacing w:after="200" w:before="400"/>
      </w:pPr>
      <w:r>
        <w:rPr>
          <w:b/>
          <w:bCs/>
          <w:color w:val="1F2A44"/>
          <w:sz w:val="30"/>
          <w:szCs w:val="30"/>
        </w:rPr>
        <w:t xml:space="preserve">3. Proposed Solution</w:t>
      </w:r>
    </w:p>
    <w:p>
      <w:pPr>
        <w:spacing w:after="160" w:line="276"/>
      </w:pPr>
      <w:r>
        <w:rPr>
          <w:color w:val="1A1A1A"/>
          <w:sz w:val="21"/>
          <w:szCs w:val="21"/>
        </w:rPr>
        <w:t xml:space="preserve">Bulwark addresses the problem with four coupled design commitments, each implemented as an architectural boundary rather than a policy statement:</w:t>
      </w:r>
    </w:p>
    <w:p>
      <w:pPr>
        <w:pStyle w:val="ListParagraph"/>
        <w:numPr>
          <w:ilvl w:val="0"/>
          <w:numId w:val="2"/>
        </w:numPr>
        <w:spacing w:after="90" w:line="270"/>
      </w:pPr>
      <w:r>
        <w:rPr>
          <w:b/>
          <w:bCs/>
          <w:color w:val="1A1A1A"/>
          <w:sz w:val="21"/>
          <w:szCs w:val="21"/>
        </w:rPr>
        <w:t xml:space="preserve">Reasoning–execution separation. </w:t>
      </w:r>
      <w:r>
        <w:rPr>
          <w:color w:val="1A1A1A"/>
          <w:sz w:val="21"/>
          <w:szCs w:val="21"/>
        </w:rPr>
        <w:t xml:space="preserve">The Orchestrator (a local LLM) reasons about a request and proposes a named capability with arguments; it holds no execution rights and cannot invoke a capability directly.</w:t>
      </w:r>
    </w:p>
    <w:p>
      <w:pPr>
        <w:pStyle w:val="ListParagraph"/>
        <w:numPr>
          <w:ilvl w:val="0"/>
          <w:numId w:val="2"/>
        </w:numPr>
        <w:spacing w:after="90" w:line="270"/>
      </w:pPr>
      <w:r>
        <w:rPr>
          <w:b/>
          <w:bCs/>
          <w:color w:val="1A1A1A"/>
          <w:sz w:val="21"/>
          <w:szCs w:val="21"/>
        </w:rPr>
        <w:t xml:space="preserve">Deterministic policy gate. </w:t>
      </w:r>
      <w:r>
        <w:rPr>
          <w:color w:val="1A1A1A"/>
          <w:sz w:val="21"/>
          <w:szCs w:val="21"/>
        </w:rPr>
        <w:t xml:space="preserve">Every proposal is evaluated by a rule-based Policy layer — not a second model — before it reaches a Job Manager or Executor. A denial is returned to the Orchestrator as a failed step it can react to, not override.</w:t>
      </w:r>
    </w:p>
    <w:p>
      <w:pPr>
        <w:pStyle w:val="ListParagraph"/>
        <w:numPr>
          <w:ilvl w:val="0"/>
          <w:numId w:val="2"/>
        </w:numPr>
        <w:spacing w:after="90" w:line="270"/>
      </w:pPr>
      <w:r>
        <w:rPr>
          <w:b/>
          <w:bCs/>
          <w:color w:val="1A1A1A"/>
          <w:sz w:val="21"/>
          <w:szCs w:val="21"/>
        </w:rPr>
        <w:t xml:space="preserve">Explicit, capability-scoped tool use. </w:t>
      </w:r>
      <w:r>
        <w:rPr>
          <w:color w:val="1A1A1A"/>
          <w:sz w:val="21"/>
          <w:szCs w:val="21"/>
        </w:rPr>
        <w:t xml:space="preserve">Retrieval, OCR/vision, code execution, and document generation are declared capabilities with fixed input/output contracts; none of them run implicitly or automatically.</w:t>
      </w:r>
    </w:p>
    <w:p>
      <w:pPr>
        <w:pStyle w:val="ListParagraph"/>
        <w:numPr>
          <w:ilvl w:val="0"/>
          <w:numId w:val="2"/>
        </w:numPr>
        <w:spacing w:after="90" w:line="270"/>
      </w:pPr>
      <w:r>
        <w:rPr>
          <w:b/>
          <w:bCs/>
          <w:color w:val="1A1A1A"/>
          <w:sz w:val="21"/>
          <w:szCs w:val="21"/>
        </w:rPr>
        <w:t xml:space="preserve">Unified, fail-safe audit trail. </w:t>
      </w:r>
      <w:r>
        <w:rPr>
          <w:color w:val="1A1A1A"/>
          <w:sz w:val="21"/>
          <w:szCs w:val="21"/>
        </w:rPr>
        <w:t xml:space="preserve">Every proposal, policy decision, execution, and result is one event stream. The same stream drives the live UI trace and the retroactive audit log — there is no separate system that could disagree with what the user was shown.</w:t>
      </w:r>
    </w:p>
    <w:p>
      <w:pPr>
        <w:spacing w:after="160" w:line="276"/>
      </w:pPr>
      <w:r>
        <w:rPr>
          <w:color w:val="1A1A1A"/>
          <w:sz w:val="21"/>
          <w:szCs w:val="21"/>
        </w:rPr>
        <w:t xml:space="preserve">On top of this, capabilities are resolved through resource types (“reasoning”, “code_generation”, “vision”, “embedding”) rather than hard-coded model names, so the underlying open-weight model can be upgraded through a configuration change rather than a code change.</w:t>
      </w:r>
    </w:p>
    <w:p>
      <w:pPr>
        <w:pStyle w:val="Heading1"/>
        <w:pBdr>
          <w:bottom w:val="single" w:color="1F2A44" w:sz="6" w:space="4"/>
        </w:pBdr>
        <w:spacing w:after="200" w:before="400"/>
      </w:pPr>
      <w:r>
        <w:rPr>
          <w:b/>
          <w:bCs/>
          <w:color w:val="1F2A44"/>
          <w:sz w:val="30"/>
          <w:szCs w:val="30"/>
        </w:rPr>
        <w:t xml:space="preserve">4. System Architecture</w:t>
      </w:r>
    </w:p>
    <w:p>
      <w:pPr>
        <w:pStyle w:val="Heading2"/>
        <w:spacing w:after="140" w:before="280"/>
      </w:pPr>
      <w:r>
        <w:rPr>
          <w:b/>
          <w:bCs/>
          <w:color w:val="2E5AAC"/>
          <w:sz w:val="24"/>
          <w:szCs w:val="24"/>
        </w:rPr>
        <w:t xml:space="preserve">4.1 Request Lifecycle</w:t>
      </w:r>
    </w:p>
    <w:p>
      <w:pPr>
        <w:pStyle w:val="ListParagraph"/>
        <w:numPr>
          <w:ilvl w:val="0"/>
          <w:numId w:val="2"/>
        </w:numPr>
        <w:spacing w:after="90" w:line="270"/>
      </w:pPr>
      <w:r>
        <w:rPr>
          <w:color w:val="1A1A1A"/>
          <w:sz w:val="21"/>
          <w:szCs w:val="21"/>
        </w:rPr>
        <w:t xml:space="preserve">A request (text and/or files) creates a Job; a job_created audit event is fired.</w:t>
      </w:r>
    </w:p>
    <w:p>
      <w:pPr>
        <w:pStyle w:val="ListParagraph"/>
        <w:numPr>
          <w:ilvl w:val="0"/>
          <w:numId w:val="2"/>
        </w:numPr>
        <w:spacing w:after="90" w:line="270"/>
      </w:pPr>
      <w:r>
        <w:rPr>
          <w:color w:val="1A1A1A"/>
          <w:sz w:val="21"/>
          <w:szCs w:val="21"/>
        </w:rPr>
        <w:t xml:space="preserve">The Orchestrator reads the Job context and either answers directly or proposes a named capability with arguments.</w:t>
      </w:r>
    </w:p>
    <w:p>
      <w:pPr>
        <w:pStyle w:val="ListParagraph"/>
        <w:numPr>
          <w:ilvl w:val="0"/>
          <w:numId w:val="2"/>
        </w:numPr>
        <w:spacing w:after="90" w:line="270"/>
      </w:pPr>
      <w:r>
        <w:rPr>
          <w:color w:val="1A1A1A"/>
          <w:sz w:val="21"/>
          <w:szCs w:val="21"/>
        </w:rPr>
        <w:t xml:space="preserve">The Policy layer evaluates the proposal deterministically — allow or deny — and logs a policy_decision event either way.</w:t>
      </w:r>
    </w:p>
    <w:p>
      <w:pPr>
        <w:pStyle w:val="ListParagraph"/>
        <w:numPr>
          <w:ilvl w:val="0"/>
          <w:numId w:val="2"/>
        </w:numPr>
        <w:spacing w:after="90" w:line="270"/>
      </w:pPr>
      <w:r>
        <w:rPr>
          <w:color w:val="1A1A1A"/>
          <w:sz w:val="21"/>
          <w:szCs w:val="21"/>
        </w:rPr>
        <w:t xml:space="preserve">If allowed, the Job Manager creates a JobStep and dispatches it to the relevant Capability Executor.</w:t>
      </w:r>
    </w:p>
    <w:p>
      <w:pPr>
        <w:pStyle w:val="ListParagraph"/>
        <w:numPr>
          <w:ilvl w:val="0"/>
          <w:numId w:val="2"/>
        </w:numPr>
        <w:spacing w:after="90" w:line="270"/>
      </w:pPr>
      <w:r>
        <w:rPr>
          <w:color w:val="1A1A1A"/>
          <w:sz w:val="21"/>
          <w:szCs w:val="21"/>
        </w:rPr>
        <w:t xml:space="preserve">The Executor performs the work (model-backed or purely deterministic), resolving models via the Model Runtime and Resource Lifecycle Manager where needed.</w:t>
      </w:r>
    </w:p>
    <w:p>
      <w:pPr>
        <w:pStyle w:val="ListParagraph"/>
        <w:numPr>
          <w:ilvl w:val="0"/>
          <w:numId w:val="2"/>
        </w:numPr>
        <w:spacing w:after="90" w:line="270"/>
      </w:pPr>
      <w:r>
        <w:rPr>
          <w:color w:val="1A1A1A"/>
          <w:sz w:val="21"/>
          <w:szCs w:val="21"/>
        </w:rPr>
        <w:t xml:space="preserve">The result is recorded on the Job, streamed to the frontend over Server-Sent Events, and returned to the Orchestrator as new context.</w:t>
      </w:r>
    </w:p>
    <w:p>
      <w:pPr>
        <w:pStyle w:val="ListParagraph"/>
        <w:numPr>
          <w:ilvl w:val="0"/>
          <w:numId w:val="2"/>
        </w:numPr>
        <w:spacing w:after="90" w:line="270"/>
      </w:pPr>
      <w:r>
        <w:rPr>
          <w:color w:val="1A1A1A"/>
          <w:sz w:val="21"/>
          <w:szCs w:val="21"/>
        </w:rPr>
        <w:t xml:space="preserve">The loop continues until a final answer is reached, a step limit is hit, or an unrecoverable error occurs; the Job is marked completed or failed.</w:t>
      </w:r>
    </w:p>
    <w:p>
      <w:pPr>
        <w:pStyle w:val="Heading2"/>
        <w:spacing w:after="140" w:before="280"/>
      </w:pPr>
      <w:r>
        <w:rPr>
          <w:b/>
          <w:bCs/>
          <w:color w:val="2E5AAC"/>
          <w:sz w:val="24"/>
          <w:szCs w:val="24"/>
        </w:rPr>
        <w:t xml:space="preserve">4.2 Component Responsibilities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700"/>
      </w:tblGrid>
      <w:tr>
        <w:tc>
          <w:tcPr>
            <w:tcW w:type="dxa" w:w="2600"/>
            <w:shd w:fill="1F2A44"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3400"/>
            <w:shd w:fill="1F2A44" w:val="clear"/>
            <w:tcMar>
              <w:top w:type="dxa" w:w="100"/>
              <w:left w:type="dxa" w:w="120"/>
              <w:bottom w:type="dxa" w:w="100"/>
              <w:right w:type="dxa" w:w="120"/>
            </w:tcMar>
            <w:vAlign w:val="center"/>
          </w:tcPr>
          <w:p>
            <w:pPr>
              <w:jc w:val="left"/>
            </w:pPr>
            <w:r>
              <w:rPr>
                <w:b/>
                <w:bCs/>
                <w:color w:val="FFFFFF"/>
                <w:sz w:val="20"/>
                <w:szCs w:val="20"/>
              </w:rPr>
              <w:t xml:space="preserve">Responsible for</w:t>
            </w:r>
          </w:p>
        </w:tc>
        <w:tc>
          <w:tcPr>
            <w:tcW w:type="dxa" w:w="2700"/>
            <w:shd w:fill="1F2A44" w:val="clear"/>
            <w:tcMar>
              <w:top w:type="dxa" w:w="100"/>
              <w:left w:type="dxa" w:w="120"/>
              <w:bottom w:type="dxa" w:w="100"/>
              <w:right w:type="dxa" w:w="120"/>
            </w:tcMar>
            <w:vAlign w:val="center"/>
          </w:tcPr>
          <w:p>
            <w:pPr>
              <w:jc w:val="left"/>
            </w:pPr>
            <w:r>
              <w:rPr>
                <w:b/>
                <w:bCs/>
                <w:color w:val="FFFFFF"/>
                <w:sz w:val="20"/>
                <w:szCs w:val="20"/>
              </w:rPr>
              <w:t xml:space="preserve">Not responsible for</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Orchestrator</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Reasoning, proposing capabilities, final answer</w:t>
            </w:r>
          </w:p>
        </w:tc>
        <w:tc>
          <w:tcPr>
            <w:tcW w:type="dxa" w:w="2700"/>
            <w:tcMar>
              <w:top w:type="dxa" w:w="100"/>
              <w:left w:type="dxa" w:w="120"/>
              <w:bottom w:type="dxa" w:w="100"/>
              <w:right w:type="dxa" w:w="120"/>
            </w:tcMar>
            <w:vAlign w:val="center"/>
          </w:tcPr>
          <w:p>
            <w:pPr>
              <w:jc w:val="left"/>
            </w:pPr>
            <w:r>
              <w:rPr>
                <w:b w:val="false"/>
                <w:bCs w:val="false"/>
                <w:color w:val="1A1A1A"/>
                <w:sz w:val="20"/>
                <w:szCs w:val="20"/>
              </w:rPr>
              <w:t xml:space="preserve">Execution of any kind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Policy Layer</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Allow/deny every proposed capability</w:t>
            </w:r>
          </w:p>
        </w:tc>
        <w:tc>
          <w:tcPr>
            <w:tcW w:type="dxa" w:w="2700"/>
            <w:tcMar>
              <w:top w:type="dxa" w:w="100"/>
              <w:left w:type="dxa" w:w="120"/>
              <w:bottom w:type="dxa" w:w="100"/>
              <w:right w:type="dxa" w:w="120"/>
            </w:tcMar>
            <w:vAlign w:val="center"/>
          </w:tcPr>
          <w:p>
            <w:pPr>
              <w:jc w:val="left"/>
            </w:pPr>
            <w:r>
              <w:rPr>
                <w:b w:val="false"/>
                <w:bCs w:val="false"/>
                <w:color w:val="1A1A1A"/>
                <w:sz w:val="20"/>
                <w:szCs w:val="20"/>
              </w:rPr>
              <w:t xml:space="preserve">Reasoning about what should be done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Job Manager</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Job/step state, dispatch to Executors</w:t>
            </w:r>
          </w:p>
        </w:tc>
        <w:tc>
          <w:tcPr>
            <w:tcW w:type="dxa" w:w="2700"/>
            <w:tcMar>
              <w:top w:type="dxa" w:w="100"/>
              <w:left w:type="dxa" w:w="120"/>
              <w:bottom w:type="dxa" w:w="100"/>
              <w:right w:type="dxa" w:w="120"/>
            </w:tcMar>
            <w:vAlign w:val="center"/>
          </w:tcPr>
          <w:p>
            <w:pPr>
              <w:jc w:val="left"/>
            </w:pPr>
            <w:r>
              <w:rPr>
                <w:b w:val="false"/>
                <w:bCs w:val="false"/>
                <w:color w:val="1A1A1A"/>
                <w:sz w:val="20"/>
                <w:szCs w:val="20"/>
              </w:rPr>
              <w:t xml:space="preserve">Policy decisions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Capability Executors</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Doing the actual work</w:t>
            </w:r>
          </w:p>
        </w:tc>
        <w:tc>
          <w:tcPr>
            <w:tcW w:type="dxa" w:w="2700"/>
            <w:tcMar>
              <w:top w:type="dxa" w:w="100"/>
              <w:left w:type="dxa" w:w="120"/>
              <w:bottom w:type="dxa" w:w="100"/>
              <w:right w:type="dxa" w:w="120"/>
            </w:tcMar>
            <w:vAlign w:val="center"/>
          </w:tcPr>
          <w:p>
            <w:pPr>
              <w:jc w:val="left"/>
            </w:pPr>
            <w:r>
              <w:rPr>
                <w:b w:val="false"/>
                <w:bCs w:val="false"/>
                <w:color w:val="1A1A1A"/>
                <w:sz w:val="20"/>
                <w:szCs w:val="20"/>
              </w:rPr>
              <w:t xml:space="preserve">Deciding whether they are allowed to run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Model Runtime</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Resolving a resource type to a live model</w:t>
            </w:r>
          </w:p>
        </w:tc>
        <w:tc>
          <w:tcPr>
            <w:tcW w:type="dxa" w:w="2700"/>
            <w:tcMar>
              <w:top w:type="dxa" w:w="100"/>
              <w:left w:type="dxa" w:w="120"/>
              <w:bottom w:type="dxa" w:w="100"/>
              <w:right w:type="dxa" w:w="120"/>
            </w:tcMar>
            <w:vAlign w:val="center"/>
          </w:tcPr>
          <w:p>
            <w:pPr>
              <w:jc w:val="left"/>
            </w:pPr>
            <w:r>
              <w:rPr>
                <w:b w:val="false"/>
                <w:bCs w:val="false"/>
                <w:color w:val="1A1A1A"/>
                <w:sz w:val="20"/>
                <w:szCs w:val="20"/>
              </w:rPr>
              <w:t xml:space="preserve">Knowing why a capability needs it</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Audit/Event Subsystem</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Recording everything</w:t>
            </w:r>
          </w:p>
        </w:tc>
        <w:tc>
          <w:tcPr>
            <w:tcW w:type="dxa" w:w="2700"/>
            <w:tcMar>
              <w:top w:type="dxa" w:w="100"/>
              <w:left w:type="dxa" w:w="120"/>
              <w:bottom w:type="dxa" w:w="100"/>
              <w:right w:type="dxa" w:w="120"/>
            </w:tcMar>
            <w:vAlign w:val="center"/>
          </w:tcPr>
          <w:p>
            <w:pPr>
              <w:jc w:val="left"/>
            </w:pPr>
            <w:r>
              <w:rPr>
                <w:b w:val="false"/>
                <w:bCs w:val="false"/>
                <w:color w:val="1A1A1A"/>
                <w:sz w:val="20"/>
                <w:szCs w:val="20"/>
              </w:rPr>
              <w:t xml:space="preserve">Making decisions</w:t>
            </w:r>
          </w:p>
        </w:tc>
      </w:tr>
    </w:tbl>
    <w:p>
      <w:pPr>
        <w:pStyle w:val="Heading2"/>
        <w:spacing w:after="140" w:before="280"/>
      </w:pPr>
      <w:r>
        <w:rPr>
          <w:b/>
          <w:bCs/>
          <w:color w:val="2E5AAC"/>
          <w:sz w:val="24"/>
          <w:szCs w:val="24"/>
        </w:rPr>
        <w:t xml:space="preserve">4.3 Zero-Egress Enforcement (six layers)</w:t>
      </w:r>
    </w:p>
    <w:p>
      <w:pPr>
        <w:pStyle w:val="ListParagraph"/>
        <w:numPr>
          <w:ilvl w:val="0"/>
          <w:numId w:val="2"/>
        </w:numPr>
        <w:spacing w:after="90" w:line="270"/>
      </w:pPr>
      <w:r>
        <w:rPr>
          <w:color w:val="1A1A1A"/>
          <w:sz w:val="21"/>
          <w:szCs w:val="21"/>
        </w:rPr>
        <w:t xml:space="preserve">Application code — no HTTP client call to a non-loopback address exists anywhere in the codebase.</w:t>
      </w:r>
    </w:p>
    <w:p>
      <w:pPr>
        <w:pStyle w:val="ListParagraph"/>
        <w:numPr>
          <w:ilvl w:val="0"/>
          <w:numId w:val="2"/>
        </w:numPr>
        <w:spacing w:after="90" w:line="270"/>
      </w:pPr>
      <w:r>
        <w:rPr>
          <w:color w:val="1A1A1A"/>
          <w:sz w:val="21"/>
          <w:szCs w:val="21"/>
        </w:rPr>
        <w:t xml:space="preserve">Capability contract — every capability declares network_access: false, checked as an invariant by Policy.</w:t>
      </w:r>
    </w:p>
    <w:p>
      <w:pPr>
        <w:pStyle w:val="ListParagraph"/>
        <w:numPr>
          <w:ilvl w:val="0"/>
          <w:numId w:val="2"/>
        </w:numPr>
        <w:spacing w:after="90" w:line="270"/>
      </w:pPr>
      <w:r>
        <w:rPr>
          <w:color w:val="1A1A1A"/>
          <w:sz w:val="21"/>
          <w:szCs w:val="21"/>
        </w:rPr>
        <w:t xml:space="preserve">Model Runtime — Ollama is resolved to localhost only.</w:t>
      </w:r>
    </w:p>
    <w:p>
      <w:pPr>
        <w:pStyle w:val="ListParagraph"/>
        <w:numPr>
          <w:ilvl w:val="0"/>
          <w:numId w:val="2"/>
        </w:numPr>
        <w:spacing w:after="90" w:line="270"/>
      </w:pPr>
      <w:r>
        <w:rPr>
          <w:color w:val="1A1A1A"/>
          <w:sz w:val="21"/>
          <w:szCs w:val="21"/>
        </w:rPr>
        <w:t xml:space="preserve">Sandbox — code execution runs under docker run --network none, a kernel-enforced control.</w:t>
      </w:r>
    </w:p>
    <w:p>
      <w:pPr>
        <w:pStyle w:val="ListParagraph"/>
        <w:numPr>
          <w:ilvl w:val="0"/>
          <w:numId w:val="2"/>
        </w:numPr>
        <w:spacing w:after="90" w:line="270"/>
      </w:pPr>
      <w:r>
        <w:rPr>
          <w:color w:val="1A1A1A"/>
          <w:sz w:val="21"/>
          <w:szCs w:val="21"/>
        </w:rPr>
        <w:t xml:space="preserve">OS firewall — the backend process is scoped to loopback at the operating-system level.</w:t>
      </w:r>
    </w:p>
    <w:p>
      <w:pPr>
        <w:pStyle w:val="ListParagraph"/>
        <w:numPr>
          <w:ilvl w:val="0"/>
          <w:numId w:val="2"/>
        </w:numPr>
        <w:spacing w:after="90" w:line="270"/>
      </w:pPr>
      <w:r>
        <w:rPr>
          <w:color w:val="1A1A1A"/>
          <w:sz w:val="21"/>
          <w:szCs w:val="21"/>
        </w:rPr>
        <w:t xml:space="preserve">Application backstop — a socket-wrapper guard rejects any non-loopback attempt as a last-resort layer, never the primary control.</w:t>
      </w:r>
    </w:p>
    <w:p>
      <w:pPr>
        <w:spacing w:after="160" w:line="276"/>
      </w:pPr>
      <w:r>
        <w:rPr>
          <w:color w:val="1A1A1A"/>
          <w:sz w:val="21"/>
          <w:szCs w:val="21"/>
        </w:rPr>
        <w:t xml:space="preserve">A live, psutil-based monitor writes network_check audit events and drives a standing “0 external connections” panel in the interface, independent of any single Job.</w:t>
      </w:r>
    </w:p>
    <w:p>
      <w:pPr>
        <w:pStyle w:val="Heading1"/>
        <w:pBdr>
          <w:bottom w:val="single" w:color="1F2A44" w:sz="6" w:space="4"/>
        </w:pBdr>
        <w:spacing w:after="200" w:before="400"/>
      </w:pPr>
      <w:r>
        <w:rPr>
          <w:b/>
          <w:bCs/>
          <w:color w:val="1F2A44"/>
          <w:sz w:val="30"/>
          <w:szCs w:val="30"/>
        </w:rPr>
        <w:t xml:space="preserve">5. Technology Stack</w:t>
      </w:r>
    </w:p>
    <w:p>
      <w:pPr>
        <w:spacing w:after="160" w:line="276"/>
      </w:pPr>
      <w:r>
        <w:rPr>
          <w:color w:val="1A1A1A"/>
          <w:sz w:val="21"/>
          <w:szCs w:val="21"/>
        </w:rPr>
        <w:t xml:space="preserve">The stack below reflects only technologies actually used in the implementation. An earlier presentation draft included several unrelated technology icons (a cloud LLM API, an alternate database, an alternate frontend framework, and a machine-learning training framework) that did not correspond to anything in the codebase; these have been removed, since they directly contradicted the project's zero-egress claim.</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00"/>
      </w:tblGrid>
      <w:tr>
        <w:tc>
          <w:tcPr>
            <w:tcW w:type="dxa" w:w="2600"/>
            <w:shd w:fill="1F2A44"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3200"/>
            <w:shd w:fill="1F2A44" w:val="clear"/>
            <w:tcMar>
              <w:top w:type="dxa" w:w="100"/>
              <w:left w:type="dxa" w:w="120"/>
              <w:bottom w:type="dxa" w:w="100"/>
              <w:right w:type="dxa" w:w="120"/>
            </w:tcMar>
            <w:vAlign w:val="center"/>
          </w:tcPr>
          <w:p>
            <w:pPr>
              <w:jc w:val="left"/>
            </w:pPr>
            <w:r>
              <w:rPr>
                <w:b/>
                <w:bCs/>
                <w:color w:val="FFFFFF"/>
                <w:sz w:val="20"/>
                <w:szCs w:val="20"/>
              </w:rPr>
              <w:t xml:space="preserve">Choice</w:t>
            </w:r>
          </w:p>
        </w:tc>
        <w:tc>
          <w:tcPr>
            <w:tcW w:type="dxa" w:w="2900"/>
            <w:shd w:fill="1F2A44"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Frontend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React + Vite + Tailwind</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Chat/upload interface, live trace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Real-time streaming</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Server-Sent Events (SSE)</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Job step streaming to the UI</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Backend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FastAPI + Uvicorn</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Orchestration API, policy gate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Database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SQLite</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Jobs, artifacts, audit events — matches single-workstation deployment</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Model runtime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Ollama</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Local-only model serving, no cloud calls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Reasoning + vision</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qwen3.5:9b</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Multimodal open-weight model, shared between reasoning and OCR escalation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Code generation</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qwen2.5-coder:7b</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Code-generation capability</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Embedding</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qwen3-embedding:0.6b</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Always-resident, used for retrieval</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OCR</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PaddleOCR PP-OCRv6</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CPU-based, tiered escalation to the vision model on low-confidence pages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Vector store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Chroma (embedded)</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Retrieval-augmented generation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Sandbox</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Docker (--network none)</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Isolated, network-denied code execution, identical on macOS and Windows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Artifact generation</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python-docx, openpyxl</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Deterministic DOCX/XLSX rendering from structured data</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Deployment</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Single workstation, offline</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No cloud dependency, no third-party APIs</w:t>
            </w:r>
          </w:p>
        </w:tc>
      </w:tr>
    </w:tbl>
    <w:p>
      <w:pPr>
        <w:pBdr>
          <w:left w:val="single" w:color="9C5B00" w:sz="24" w:space="8"/>
        </w:pBdr>
        <w:shd w:fill="F2F2F2" w:val="clear"/>
        <w:spacing w:after="200" w:before="100"/>
        <w:ind w:left="120"/>
      </w:pPr>
      <w:r>
        <w:rPr>
          <w:b/>
          <w:bCs/>
          <w:color w:val="9C5B00"/>
          <w:sz w:val="20"/>
          <w:szCs w:val="20"/>
        </w:rPr>
        <w:t xml:space="preserve">Estimated hardware envelope:  </w:t>
      </w:r>
      <w:r>
        <w:rPr>
          <w:color w:val="1A1A1A"/>
          <w:sz w:val="20"/>
          <w:szCs w:val="20"/>
        </w:rPr>
        <w:t xml:space="preserve"> running qwen3.5:9b, qwen2.5-coder:7b and qwen3-embedding:0.6b concurrently at Q4 quantization is estimated to require approximately 24–32 GB of system RAM (or equivalent GPU/unified memory) for comfortable multi-model residency without excessive eviction by the Lifecycle Manager. This is an engineering estimate based on published model sizes, not a measured benchmark, and will be replaced with measured figures once load-testing is complete.</w:t>
      </w:r>
    </w:p>
    <w:p>
      <w:pPr>
        <w:pStyle w:val="Heading1"/>
        <w:pBdr>
          <w:bottom w:val="single" w:color="1F2A44" w:sz="6" w:space="4"/>
        </w:pBdr>
        <w:spacing w:after="200" w:before="400"/>
      </w:pPr>
      <w:r>
        <w:rPr>
          <w:b/>
          <w:bCs/>
          <w:color w:val="1F2A44"/>
          <w:sz w:val="30"/>
          <w:szCs w:val="30"/>
        </w:rPr>
        <w:t xml:space="preserve">6. Feasibility and Current Build Status</w:t>
      </w:r>
    </w:p>
    <w:p>
      <w:pPr>
        <w:spacing w:after="160" w:line="276"/>
      </w:pPr>
      <w:r>
        <w:rPr>
          <w:color w:val="1A1A1A"/>
          <w:sz w:val="21"/>
          <w:szCs w:val="21"/>
        </w:rPr>
        <w:t xml:space="preserve">The initial submission described a fully designed but entirely unbuilt system, and one presentation slide inaccurately described it as a “working prototype.” Following review, the team prioritized building a real, demonstrable MVP slice over any further design work. The build status below reflects what is actually implemented, so it can be defended under direct questioning.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00"/>
      </w:tblGrid>
      <w:tr>
        <w:tc>
          <w:tcPr>
            <w:tcW w:type="dxa" w:w="3600"/>
            <w:shd w:fill="1F2A44" w:val="clear"/>
            <w:tcMar>
              <w:top w:type="dxa" w:w="100"/>
              <w:left w:type="dxa" w:w="120"/>
              <w:bottom w:type="dxa" w:w="100"/>
              <w:right w:type="dxa" w:w="120"/>
            </w:tcMar>
            <w:vAlign w:val="center"/>
          </w:tcPr>
          <w:p>
            <w:pPr>
              <w:jc w:val="left"/>
            </w:pPr>
            <w:r>
              <w:rPr>
                <w:b/>
                <w:bCs/>
                <w:color w:val="FFFFFF"/>
                <w:sz w:val="20"/>
                <w:szCs w:val="20"/>
              </w:rPr>
              <w:t xml:space="preserve">Capability / Workflow</w:t>
            </w:r>
          </w:p>
        </w:tc>
        <w:tc>
          <w:tcPr>
            <w:tcW w:type="dxa" w:w="2800"/>
            <w:shd w:fill="1F2A44" w:val="clear"/>
            <w:tcMar>
              <w:top w:type="dxa" w:w="100"/>
              <w:left w:type="dxa" w:w="120"/>
              <w:bottom w:type="dxa" w:w="100"/>
              <w:right w:type="dxa" w:w="120"/>
            </w:tcMar>
            <w:vAlign w:val="center"/>
          </w:tcPr>
          <w:p>
            <w:pPr>
              <w:jc w:val="left"/>
            </w:pPr>
            <w:r>
              <w:rPr>
                <w:b/>
                <w:bCs/>
                <w:color w:val="FFFFFF"/>
                <w:sz w:val="20"/>
                <w:szCs w:val="20"/>
              </w:rPr>
              <w:t xml:space="preserve">Status</w:t>
            </w:r>
          </w:p>
        </w:tc>
        <w:tc>
          <w:tcPr>
            <w:tcW w:type="dxa" w:w="2600"/>
            <w:shd w:fill="1F2A44"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Orchestrator → Policy → Executor loop</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Core control loop, including a live policy-denial case</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extract_document (OCR/vision)</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Tiered escalation demonstrated on a low-quality scan</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search_knowledge_base (RAG)</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Runs against a project-document + synthetic-document corpus</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create_docx (artifact generation)</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Deterministic template-based rendering</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generate_code / execute_code (sandbox)</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Partially 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generate_code complete; execute_code sandboxing hardened, retry-on-failure loop in progress</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Live zero-egress monitor</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Standing panel, independent of any single Job</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Audit trail / live trace UI</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Implemented</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Single event stream drives both views</w:t>
            </w:r>
          </w:p>
        </w:tc>
      </w:tr>
      <w:tr>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Role-based access control</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Not implemented — roadmap</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Single-user trust model for this MVP; see Section 8</w:t>
            </w:r>
          </w:p>
        </w:tc>
      </w:tr>
    </w:tbl>
    <w:p>
      <w:pPr>
        <w:pStyle w:val="Heading2"/>
        <w:spacing w:after="140" w:before="280"/>
      </w:pPr>
      <w:r>
        <w:rPr>
          <w:b/>
          <w:bCs/>
          <w:color w:val="2E5AAC"/>
          <w:sz w:val="24"/>
          <w:szCs w:val="24"/>
        </w:rPr>
        <w:t xml:space="preserve">6.1 Feasibility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00"/>
      </w:tblGrid>
      <w:tr>
        <w:tc>
          <w:tcPr>
            <w:tcW w:type="dxa" w:w="2300"/>
            <w:shd w:fill="1F2A44" w:val="clear"/>
            <w:tcMar>
              <w:top w:type="dxa" w:w="100"/>
              <w:left w:type="dxa" w:w="120"/>
              <w:bottom w:type="dxa" w:w="100"/>
              <w:right w:type="dxa" w:w="120"/>
            </w:tcMar>
            <w:vAlign w:val="center"/>
          </w:tcPr>
          <w:p>
            <w:pPr>
              <w:jc w:val="left"/>
            </w:pPr>
            <w:r>
              <w:rPr>
                <w:b/>
                <w:bCs/>
                <w:color w:val="FFFFFF"/>
                <w:sz w:val="20"/>
                <w:szCs w:val="20"/>
              </w:rPr>
              <w:t xml:space="preserve">Dimension</w:t>
            </w:r>
          </w:p>
        </w:tc>
        <w:tc>
          <w:tcPr>
            <w:tcW w:type="dxa" w:w="3400"/>
            <w:shd w:fill="1F2A44" w:val="clear"/>
            <w:tcMar>
              <w:top w:type="dxa" w:w="100"/>
              <w:left w:type="dxa" w:w="120"/>
              <w:bottom w:type="dxa" w:w="100"/>
              <w:right w:type="dxa" w:w="120"/>
            </w:tcMar>
            <w:vAlign w:val="center"/>
          </w:tcPr>
          <w:p>
            <w:pPr>
              <w:jc w:val="left"/>
            </w:pPr>
            <w:r>
              <w:rPr>
                <w:b/>
                <w:bCs/>
                <w:color w:val="FFFFFF"/>
                <w:sz w:val="20"/>
                <w:szCs w:val="20"/>
              </w:rPr>
              <w:t xml:space="preserve">Key benefit</w:t>
            </w:r>
          </w:p>
        </w:tc>
        <w:tc>
          <w:tcPr>
            <w:tcW w:type="dxa" w:w="3300"/>
            <w:shd w:fill="1F2A44" w:val="clear"/>
            <w:tcMar>
              <w:top w:type="dxa" w:w="100"/>
              <w:left w:type="dxa" w:w="120"/>
              <w:bottom w:type="dxa" w:w="100"/>
              <w:right w:type="dxa" w:w="120"/>
            </w:tcMar>
            <w:vAlign w:val="center"/>
          </w:tcPr>
          <w:p>
            <w:pPr>
              <w:jc w:val="left"/>
            </w:pPr>
            <w:r>
              <w:rPr>
                <w:b/>
                <w:bCs/>
                <w:color w:val="FFFFFF"/>
                <w:sz w:val="20"/>
                <w:szCs w:val="20"/>
              </w:rPr>
              <w:t xml:space="preserve">Key risk / mitigation</w:t>
            </w:r>
          </w:p>
        </w:tc>
      </w:tr>
      <w:tr>
        <w:tc>
          <w:tcPr>
            <w:tcW w:type="dxa" w:w="2300"/>
            <w:tcMar>
              <w:top w:type="dxa" w:w="100"/>
              <w:left w:type="dxa" w:w="120"/>
              <w:bottom w:type="dxa" w:w="100"/>
              <w:right w:type="dxa" w:w="120"/>
            </w:tcMar>
            <w:vAlign w:val="center"/>
          </w:tcPr>
          <w:p>
            <w:pPr>
              <w:jc w:val="left"/>
            </w:pPr>
            <w:r>
              <w:rPr>
                <w:b w:val="false"/>
                <w:bCs w:val="false"/>
                <w:color w:val="1A1A1A"/>
                <w:sz w:val="20"/>
                <w:szCs w:val="20"/>
              </w:rPr>
              <w:t xml:space="preserve">Technical</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Built on mature, widely used components — Ollama, Docker, FastAPI, React</w:t>
            </w:r>
          </w:p>
        </w:tc>
        <w:tc>
          <w:tcPr>
            <w:tcW w:type="dxa" w:w="3300"/>
            <w:tcMar>
              <w:top w:type="dxa" w:w="100"/>
              <w:left w:type="dxa" w:w="120"/>
              <w:bottom w:type="dxa" w:w="100"/>
              <w:right w:type="dxa" w:w="120"/>
            </w:tcMar>
            <w:vAlign w:val="center"/>
          </w:tcPr>
          <w:p>
            <w:pPr>
              <w:jc w:val="left"/>
            </w:pPr>
            <w:r>
              <w:rPr>
                <w:b w:val="false"/>
                <w:bCs w:val="false"/>
                <w:color w:val="1A1A1A"/>
                <w:sz w:val="20"/>
                <w:szCs w:val="20"/>
              </w:rPr>
              <w:t xml:space="preserve">Multi-model memory contention — mitigated by LRU eviction in the Lifecycle Manager</w:t>
            </w:r>
          </w:p>
        </w:tc>
      </w:tr>
      <w:tr>
        <w:tc>
          <w:tcPr>
            <w:tcW w:type="dxa" w:w="2300"/>
            <w:tcMar>
              <w:top w:type="dxa" w:w="100"/>
              <w:left w:type="dxa" w:w="120"/>
              <w:bottom w:type="dxa" w:w="100"/>
              <w:right w:type="dxa" w:w="120"/>
            </w:tcMar>
            <w:vAlign w:val="center"/>
          </w:tcPr>
          <w:p>
            <w:pPr>
              <w:jc w:val="left"/>
            </w:pPr>
            <w:r>
              <w:rPr>
                <w:b w:val="false"/>
                <w:bCs w:val="false"/>
                <w:color w:val="1A1A1A"/>
                <w:sz w:val="20"/>
                <w:szCs w:val="20"/>
              </w:rPr>
              <w:t xml:space="preserve">Economic</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Zero licensing or per-call API cost — fully open-weight models</w:t>
            </w:r>
          </w:p>
        </w:tc>
        <w:tc>
          <w:tcPr>
            <w:tcW w:type="dxa" w:w="3300"/>
            <w:tcMar>
              <w:top w:type="dxa" w:w="100"/>
              <w:left w:type="dxa" w:w="120"/>
              <w:bottom w:type="dxa" w:w="100"/>
              <w:right w:type="dxa" w:w="120"/>
            </w:tcMar>
            <w:vAlign w:val="center"/>
          </w:tcPr>
          <w:p>
            <w:pPr>
              <w:jc w:val="left"/>
            </w:pPr>
            <w:r>
              <w:rPr>
                <w:b w:val="false"/>
                <w:bCs w:val="false"/>
                <w:color w:val="1A1A1A"/>
                <w:sz w:val="20"/>
                <w:szCs w:val="20"/>
              </w:rPr>
              <w:t xml:space="preserve">Upfront hardware cost for local inference — partially offset by no recurring API spend</w:t>
            </w:r>
          </w:p>
        </w:tc>
      </w:tr>
      <w:tr>
        <w:tc>
          <w:tcPr>
            <w:tcW w:type="dxa" w:w="2300"/>
            <w:tcMar>
              <w:top w:type="dxa" w:w="100"/>
              <w:left w:type="dxa" w:w="120"/>
              <w:bottom w:type="dxa" w:w="100"/>
              <w:right w:type="dxa" w:w="120"/>
            </w:tcMar>
            <w:vAlign w:val="center"/>
          </w:tcPr>
          <w:p>
            <w:pPr>
              <w:jc w:val="left"/>
            </w:pPr>
            <w:r>
              <w:rPr>
                <w:b w:val="false"/>
                <w:bCs w:val="false"/>
                <w:color w:val="1A1A1A"/>
                <w:sz w:val="20"/>
                <w:szCs w:val="20"/>
              </w:rPr>
              <w:t xml:space="preserve">Operational</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Runs on a single workstation — no cloud infrastructure or new IT process required</w:t>
            </w:r>
          </w:p>
        </w:tc>
        <w:tc>
          <w:tcPr>
            <w:tcW w:type="dxa" w:w="3300"/>
            <w:tcMar>
              <w:top w:type="dxa" w:w="100"/>
              <w:left w:type="dxa" w:w="120"/>
              <w:bottom w:type="dxa" w:w="100"/>
              <w:right w:type="dxa" w:w="120"/>
            </w:tcMar>
            <w:vAlign w:val="center"/>
          </w:tcPr>
          <w:p>
            <w:pPr>
              <w:jc w:val="left"/>
            </w:pPr>
            <w:r>
              <w:rPr>
                <w:b w:val="false"/>
                <w:bCs w:val="false"/>
                <w:color w:val="1A1A1A"/>
                <w:sz w:val="20"/>
                <w:szCs w:val="20"/>
              </w:rPr>
              <w:t xml:space="preserve">No multi-user concurrency (SQLite) — acceptable for the targeted single-analyst or small-team use case</w:t>
            </w:r>
          </w:p>
        </w:tc>
      </w:tr>
    </w:tbl>
    <w:p>
      <w:pPr>
        <w:pStyle w:val="Heading1"/>
        <w:pBdr>
          <w:bottom w:val="single" w:color="1F2A44" w:sz="6" w:space="4"/>
        </w:pBdr>
        <w:spacing w:after="200" w:before="400"/>
      </w:pPr>
      <w:r>
        <w:rPr>
          <w:b/>
          <w:bCs/>
          <w:color w:val="1F2A44"/>
          <w:sz w:val="30"/>
          <w:szCs w:val="30"/>
        </w:rPr>
        <w:t xml:space="preserve">7. Data Strategy</w:t>
      </w:r>
    </w:p>
    <w:p>
      <w:pPr>
        <w:spacing w:after="160" w:line="276"/>
      </w:pPr>
      <w:r>
        <w:rPr>
          <w:color w:val="1A1A1A"/>
          <w:sz w:val="21"/>
          <w:szCs w:val="21"/>
        </w:rPr>
        <w:t xml:space="preserve">No real confidential organizational data is used anywhere in the project. The demonstration and any internal evaluation rely on two data sources, both chosen so the workflow is realistic without requiring institutional data access the team does not have:</w:t>
      </w:r>
    </w:p>
    <w:p>
      <w:pPr>
        <w:pStyle w:val="ListParagraph"/>
        <w:numPr>
          <w:ilvl w:val="0"/>
          <w:numId w:val="2"/>
        </w:numPr>
        <w:spacing w:after="90" w:line="270"/>
      </w:pPr>
      <w:r>
        <w:rPr>
          <w:b/>
          <w:bCs/>
          <w:color w:val="1A1A1A"/>
          <w:sz w:val="21"/>
          <w:szCs w:val="21"/>
        </w:rPr>
        <w:t xml:space="preserve">The project's own documentation </w:t>
      </w:r>
      <w:r>
        <w:rPr>
          <w:color w:val="1A1A1A"/>
          <w:sz w:val="21"/>
          <w:szCs w:val="21"/>
        </w:rPr>
        <w:t xml:space="preserve">(architecture, security, and design documents) is used as a retrieval corpus for demonstrating grounded knowledge search — it is real text, owned by the team, and lets retrieval quality be checked against a known-correct source.</w:t>
      </w:r>
    </w:p>
    <w:p>
      <w:pPr>
        <w:pStyle w:val="ListParagraph"/>
        <w:numPr>
          <w:ilvl w:val="0"/>
          <w:numId w:val="2"/>
        </w:numPr>
        <w:spacing w:after="90" w:line="270"/>
      </w:pPr>
      <w:r>
        <w:rPr>
          <w:b/>
          <w:bCs/>
          <w:color w:val="1A1A1A"/>
          <w:sz w:val="21"/>
          <w:szCs w:val="21"/>
        </w:rPr>
        <w:t xml:space="preserve">Synthetic industrial/administrative documents </w:t>
      </w:r>
      <w:r>
        <w:rPr>
          <w:color w:val="1A1A1A"/>
          <w:sz w:val="21"/>
          <w:szCs w:val="21"/>
        </w:rPr>
        <w:t xml:space="preserve">(for example, a fabricated inspection report or policy brief), clearly labelled as synthetic in any demo, are used to exercise the document-extraction and artifact-generation workflow without implying access to real government or industrial records.</w:t>
      </w:r>
    </w:p>
    <w:p>
      <w:pPr>
        <w:spacing w:after="160" w:line="276"/>
      </w:pPr>
      <w:r>
        <w:rPr>
          <w:color w:val="1A1A1A"/>
          <w:sz w:val="21"/>
          <w:szCs w:val="21"/>
        </w:rPr>
        <w:t xml:space="preserve">Data-quality handling (OCR noise, missing fields, inconsistent formatting) is addressed structurally by the tiered OCR escalation path rather than by a specific accuracy target, since no accuracy benchmark has been measured yet; a measured evaluation is listed as roadmap work in Section 13.</w:t>
      </w:r>
    </w:p>
    <w:p>
      <w:pPr>
        <w:pStyle w:val="Heading1"/>
        <w:pBdr>
          <w:bottom w:val="single" w:color="1F2A44" w:sz="6" w:space="4"/>
        </w:pBdr>
        <w:spacing w:after="200" w:before="400"/>
      </w:pPr>
      <w:r>
        <w:rPr>
          <w:b/>
          <w:bCs/>
          <w:color w:val="1F2A44"/>
          <w:sz w:val="30"/>
          <w:szCs w:val="30"/>
        </w:rPr>
        <w:t xml:space="preserve">8. Security and Privacy</w:t>
      </w:r>
    </w:p>
    <w:p>
      <w:pPr>
        <w:pStyle w:val="Heading2"/>
        <w:spacing w:after="140" w:before="280"/>
      </w:pPr>
      <w:r>
        <w:rPr>
          <w:b/>
          <w:bCs/>
          <w:color w:val="2E5AAC"/>
          <w:sz w:val="24"/>
          <w:szCs w:val="24"/>
        </w:rPr>
        <w:t xml:space="preserve">8.1 What is implemented</w:t>
      </w:r>
    </w:p>
    <w:p>
      <w:pPr>
        <w:pStyle w:val="ListParagraph"/>
        <w:numPr>
          <w:ilvl w:val="0"/>
          <w:numId w:val="2"/>
        </w:numPr>
        <w:spacing w:after="90" w:line="270"/>
      </w:pPr>
      <w:r>
        <w:rPr>
          <w:color w:val="1A1A1A"/>
          <w:sz w:val="21"/>
          <w:szCs w:val="21"/>
        </w:rPr>
        <w:t xml:space="preserve">Deterministic, non-bypassable policy gate between every proposal and execution (Section 4.1).</w:t>
      </w:r>
    </w:p>
    <w:p>
      <w:pPr>
        <w:pStyle w:val="ListParagraph"/>
        <w:numPr>
          <w:ilvl w:val="0"/>
          <w:numId w:val="2"/>
        </w:numPr>
        <w:spacing w:after="90" w:line="270"/>
      </w:pPr>
      <w:r>
        <w:rPr>
          <w:color w:val="1A1A1A"/>
          <w:sz w:val="21"/>
          <w:szCs w:val="21"/>
        </w:rPr>
        <w:t xml:space="preserve">Six-layer zero-egress enforcement, from application code to a live connection monitor (Section 4.3).</w:t>
      </w:r>
    </w:p>
    <w:p>
      <w:pPr>
        <w:pStyle w:val="ListParagraph"/>
        <w:numPr>
          <w:ilvl w:val="0"/>
          <w:numId w:val="2"/>
        </w:numPr>
        <w:spacing w:after="90" w:line="270"/>
      </w:pPr>
      <w:r>
        <w:rPr>
          <w:color w:val="1A1A1A"/>
          <w:sz w:val="21"/>
          <w:szCs w:val="21"/>
        </w:rPr>
        <w:t xml:space="preserve">Docker sandbox execution with --network none, identical on macOS and Windows.</w:t>
      </w:r>
    </w:p>
    <w:p>
      <w:pPr>
        <w:pStyle w:val="ListParagraph"/>
        <w:numPr>
          <w:ilvl w:val="0"/>
          <w:numId w:val="2"/>
        </w:numPr>
        <w:spacing w:after="90" w:line="270"/>
      </w:pPr>
      <w:r>
        <w:rPr>
          <w:color w:val="1A1A1A"/>
          <w:sz w:val="21"/>
          <w:szCs w:val="21"/>
        </w:rPr>
        <w:t xml:space="preserve">Structural mitigation of prompt injection: even if OCR'd or retrieved text influences what the Orchestrator proposes next, that proposal must still pass the same deterministic Policy gate as any other request — injected text cannot grant a capability that was not already permitted.</w:t>
      </w:r>
    </w:p>
    <w:p>
      <w:pPr>
        <w:pStyle w:val="Heading2"/>
        <w:spacing w:after="140" w:before="280"/>
      </w:pPr>
      <w:r>
        <w:rPr>
          <w:b/>
          <w:bCs/>
          <w:color w:val="2E5AAC"/>
          <w:sz w:val="24"/>
          <w:szCs w:val="24"/>
        </w:rPr>
        <w:t xml:space="preserve">8.2 Acknowledged gaps and near-term commitments</w:t>
      </w:r>
    </w:p>
    <w:p>
      <w:pPr>
        <w:pStyle w:val="ListParagraph"/>
        <w:numPr>
          <w:ilvl w:val="0"/>
          <w:numId w:val="2"/>
        </w:numPr>
        <w:spacing w:after="90" w:line="270"/>
      </w:pPr>
      <w:r>
        <w:rPr>
          <w:color w:val="1A1A1A"/>
          <w:sz w:val="21"/>
          <w:szCs w:val="21"/>
        </w:rPr>
        <w:t xml:space="preserve">Authentication / authorization: the current MVP assumes a single trusted user per workstation. Role-based access control is not implemented and is scoped as near-term roadmap work, not claimed as complete.</w:t>
      </w:r>
    </w:p>
    <w:p>
      <w:pPr>
        <w:pStyle w:val="ListParagraph"/>
        <w:numPr>
          <w:ilvl w:val="0"/>
          <w:numId w:val="2"/>
        </w:numPr>
        <w:spacing w:after="90" w:line="270"/>
      </w:pPr>
      <w:r>
        <w:rPr>
          <w:color w:val="1A1A1A"/>
          <w:sz w:val="21"/>
          <w:szCs w:val="21"/>
        </w:rPr>
        <w:t xml:space="preserve">Encryption at rest: uploaded documents and the SQLite store are not currently encrypted at rest; full-disk or file-level encryption is a planned addition.</w:t>
      </w:r>
    </w:p>
    <w:p>
      <w:pPr>
        <w:pStyle w:val="ListParagraph"/>
        <w:numPr>
          <w:ilvl w:val="0"/>
          <w:numId w:val="2"/>
        </w:numPr>
        <w:spacing w:after="90" w:line="270"/>
      </w:pPr>
      <w:r>
        <w:rPr>
          <w:color w:val="1A1A1A"/>
          <w:sz w:val="21"/>
          <w:szCs w:val="21"/>
        </w:rPr>
        <w:t xml:space="preserve">Audit log tamper-evidence: the audit stream is append-only in application logic but not currently hash-chained; cryptographic tamper-evidence is planned.</w:t>
      </w:r>
    </w:p>
    <w:p>
      <w:pPr>
        <w:spacing w:after="160" w:line="276"/>
      </w:pPr>
      <w:r>
        <w:rPr>
          <w:color w:val="1A1A1A"/>
          <w:sz w:val="21"/>
          <w:szCs w:val="21"/>
        </w:rPr>
        <w:t xml:space="preserve">These gaps are stated here deliberately rather than omitted, because an unaddressed security question is a greater risk to the project's credibility than an honestly scoped one.</w:t>
      </w:r>
    </w:p>
    <w:p>
      <w:pPr>
        <w:pStyle w:val="Heading1"/>
        <w:pBdr>
          <w:bottom w:val="single" w:color="1F2A44" w:sz="6" w:space="4"/>
        </w:pBdr>
        <w:spacing w:after="200" w:before="400"/>
      </w:pPr>
      <w:r>
        <w:rPr>
          <w:b/>
          <w:bCs/>
          <w:color w:val="1F2A44"/>
          <w:sz w:val="30"/>
          <w:szCs w:val="30"/>
        </w:rPr>
        <w:t xml:space="preserve">9. Impact and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2A44" w:val="clear"/>
            <w:tcMar>
              <w:top w:type="dxa" w:w="100"/>
              <w:left w:type="dxa" w:w="120"/>
              <w:bottom w:type="dxa" w:w="100"/>
              <w:right w:type="dxa" w:w="120"/>
            </w:tcMar>
            <w:vAlign w:val="center"/>
          </w:tcPr>
          <w:p>
            <w:pPr>
              <w:jc w:val="left"/>
            </w:pPr>
            <w:r>
              <w:rPr>
                <w:b/>
                <w:bCs/>
                <w:color w:val="FFFFFF"/>
                <w:sz w:val="20"/>
                <w:szCs w:val="20"/>
              </w:rPr>
              <w:t xml:space="preserve">Audience</w:t>
            </w:r>
          </w:p>
        </w:tc>
        <w:tc>
          <w:tcPr>
            <w:tcW w:type="dxa" w:w="6600"/>
            <w:shd w:fill="1F2A44" w:val="clear"/>
            <w:tcMar>
              <w:top w:type="dxa" w:w="100"/>
              <w:left w:type="dxa" w:w="120"/>
              <w:bottom w:type="dxa" w:w="100"/>
              <w:right w:type="dxa" w:w="120"/>
            </w:tcMar>
            <w:vAlign w:val="center"/>
          </w:tcPr>
          <w:p>
            <w:pPr>
              <w:jc w:val="left"/>
            </w:pPr>
            <w:r>
              <w:rPr>
                <w:b/>
                <w:bCs/>
                <w:color w:val="FFFFFF"/>
                <w:sz w:val="20"/>
                <w:szCs w:val="20"/>
              </w:rPr>
              <w:t xml:space="preserve">Benefit</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Decision makers</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Transparent, traceable AI workflows make AI-assisted outputs easier to review and verify before they are acted 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Industrial &amp; PSU organizations</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Confidential documents, operational data and code stay on-site while still benefiting from AI-assisted workflows.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Government officers</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AI adoption for sensitive workloads becomes possible without depending on external cloud AI services.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Security &amp; IT teams</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Controlled execution, policy enforcement, live monitoring and a single audit trail replace informal, unmonitored AI use.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Employees &amp; analysts</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Reduced manual effort in document analysis, knowledge retrieval, coding tasks and report generation.</w:t>
            </w:r>
          </w:p>
        </w:tc>
      </w:tr>
    </w:tbl>
    <w:p>
      <w:pPr>
        <w:spacing w:after="160" w:line="276"/>
      </w:pPr>
      <w:r>
        <w:rPr>
          <w:color w:val="1A1A1A"/>
          <w:sz w:val="21"/>
          <w:szCs w:val="21"/>
        </w:rPr>
        <w:t xml:space="preserve">Economically, the model reduces recurring dependence on external AI APIs and cloud services. Environmentally, it favours local, digital-first workflows and uses explicit resource controls to manage local compute load rather than offloading it to always-on cloud infrastructure.</w:t>
      </w:r>
    </w:p>
    <w:p>
      <w:pPr>
        <w:pStyle w:val="Heading1"/>
        <w:pBdr>
          <w:bottom w:val="single" w:color="1F2A44" w:sz="6" w:space="4"/>
        </w:pBdr>
        <w:spacing w:after="200" w:before="400"/>
      </w:pPr>
      <w:r>
        <w:rPr>
          <w:b/>
          <w:bCs/>
          <w:color w:val="1F2A44"/>
          <w:sz w:val="30"/>
          <w:szCs w:val="30"/>
        </w:rPr>
        <w:t xml:space="preserve">10. Demonstration Plan</w:t>
      </w:r>
    </w:p>
    <w:p>
      <w:pPr>
        <w:spacing w:after="160" w:line="276"/>
      </w:pPr>
      <w:r>
        <w:rPr>
          <w:color w:val="1A1A1A"/>
          <w:sz w:val="21"/>
          <w:szCs w:val="21"/>
        </w:rPr>
        <w:t xml:space="preserve">The demonstration is built around one real, end-to-end path plus two short, deliberate proof moments, rather than a broad tour of every designed feature:</w:t>
      </w:r>
    </w:p>
    <w:p>
      <w:pPr>
        <w:pStyle w:val="ListParagraph"/>
        <w:numPr>
          <w:ilvl w:val="0"/>
          <w:numId w:val="2"/>
        </w:numPr>
        <w:spacing w:after="90" w:line="270"/>
      </w:pPr>
      <w:r>
        <w:rPr>
          <w:b/>
          <w:bCs/>
          <w:color w:val="1A1A1A"/>
          <w:sz w:val="21"/>
          <w:szCs w:val="21"/>
        </w:rPr>
        <w:t xml:space="preserve">1. Core workflow, offline. </w:t>
      </w:r>
      <w:r>
        <w:rPr>
          <w:color w:val="1A1A1A"/>
          <w:sz w:val="21"/>
          <w:szCs w:val="21"/>
        </w:rPr>
        <w:t xml:space="preserve">A synthetic policy brief is uploaded; the Orchestrator proposes extract_document → search_knowledge_base → create_docx; each proposal and policy decision is visible in the live trace; the resulting DOCX is opened. This is run with the network disconnected.</w:t>
      </w:r>
    </w:p>
    <w:p>
      <w:pPr>
        <w:pStyle w:val="ListParagraph"/>
        <w:numPr>
          <w:ilvl w:val="0"/>
          <w:numId w:val="2"/>
        </w:numPr>
        <w:spacing w:after="90" w:line="270"/>
      </w:pPr>
      <w:r>
        <w:rPr>
          <w:b/>
          <w:bCs/>
          <w:color w:val="1A1A1A"/>
          <w:sz w:val="21"/>
          <w:szCs w:val="21"/>
        </w:rPr>
        <w:t xml:space="preserve">2. Policy-denial moment. </w:t>
      </w:r>
      <w:r>
        <w:rPr>
          <w:color w:val="1A1A1A"/>
          <w:sz w:val="21"/>
          <w:szCs w:val="21"/>
        </w:rPr>
        <w:t xml:space="preserve">A request is issued that would require a capability outside the current policy rules (for example, a network-accessing action). The Policy layer denies it live, and the denial — not a silent failure — is shown in the trace.</w:t>
      </w:r>
    </w:p>
    <w:p>
      <w:pPr>
        <w:pStyle w:val="ListParagraph"/>
        <w:numPr>
          <w:ilvl w:val="0"/>
          <w:numId w:val="2"/>
        </w:numPr>
        <w:spacing w:after="90" w:line="270"/>
      </w:pPr>
      <w:r>
        <w:rPr>
          <w:b/>
          <w:bCs/>
          <w:color w:val="1A1A1A"/>
          <w:sz w:val="21"/>
          <w:szCs w:val="21"/>
        </w:rPr>
        <w:t xml:space="preserve">3. Zero-egress monitor, continuous. </w:t>
      </w:r>
      <w:r>
        <w:rPr>
          <w:color w:val="1A1A1A"/>
          <w:sz w:val="21"/>
          <w:szCs w:val="21"/>
        </w:rPr>
        <w:t xml:space="preserve">The “0 external connections” panel is left visible on a second screen throughout the entire demo, so the audience can see it stay at zero while the workload above is running.</w:t>
      </w:r>
    </w:p>
    <w:p>
      <w:pPr>
        <w:spacing w:after="160" w:line="276"/>
      </w:pPr>
      <w:r>
        <w:rPr>
          <w:color w:val="1A1A1A"/>
          <w:sz w:val="21"/>
          <w:szCs w:val="21"/>
        </w:rPr>
        <w:t xml:space="preserve">Workflow B (code generation → sandbox execution) is treated as a stretch addition if time and stability allow; it is not required for the core narrative and is not presented as complete if it is not.</w:t>
      </w:r>
    </w:p>
    <w:p>
      <w:pPr>
        <w:pStyle w:val="Heading1"/>
        <w:pBdr>
          <w:bottom w:val="single" w:color="1F2A44" w:sz="6" w:space="4"/>
        </w:pBdr>
        <w:spacing w:after="200" w:before="400"/>
      </w:pPr>
      <w:r>
        <w:rPr>
          <w:b/>
          <w:bCs/>
          <w:color w:val="1F2A44"/>
          <w:sz w:val="30"/>
          <w:szCs w:val="30"/>
        </w:rPr>
        <w:t xml:space="preserve">11. Comparative Positioning</w:t>
      </w:r>
    </w:p>
    <w:p>
      <w:pPr>
        <w:spacing w:after="160" w:line="276"/>
      </w:pPr>
      <w:r>
        <w:rPr>
          <w:color w:val="1A1A1A"/>
          <w:sz w:val="21"/>
          <w:szCs w:val="21"/>
        </w:rPr>
        <w:t xml:space="preserve">Local LLM interfaces (for example, self-hosted chat UIs) and general-purpose agent frameworks with local-model backends can also be configured to run entirely on-premise, and some expose tool-permission hooks. The team has not carried out an exhaustive, verified feature comparison against every such tool, and this report does not claim that no other system offers an equivalent control. What can be stated with confidence, because it is a direct property of this codebase, is narrower and more specific: in Bulwark, the policy decision is made by a separate, non-model, rule-based code path that the Orchestrator has no ability to call, influence, or bypass, and the same event stream that is shown live to the user is the one used for retroactive audit — there is no second log to reconcile. Where a comparable system also has both properties, Bulwark's differentiation should be understood as being in the specific integration and the sovereignty guarantee, not in inventing either mechanism from scratch.</w:t>
      </w:r>
    </w:p>
    <w:p>
      <w:pPr>
        <w:pStyle w:val="Heading1"/>
        <w:pBdr>
          <w:bottom w:val="single" w:color="1F2A44" w:sz="6" w:space="4"/>
        </w:pBdr>
        <w:spacing w:after="200" w:before="400"/>
      </w:pPr>
      <w:r>
        <w:rPr>
          <w:b/>
          <w:bCs/>
          <w:color w:val="1F2A44"/>
          <w:sz w:val="30"/>
          <w:szCs w:val="30"/>
        </w:rPr>
        <w:t xml:space="preserve">12. Research and References</w:t>
      </w:r>
    </w:p>
    <w:p>
      <w:pPr>
        <w:pStyle w:val="Heading2"/>
        <w:spacing w:after="140" w:before="280"/>
      </w:pPr>
      <w:r>
        <w:rPr>
          <w:b/>
          <w:bCs/>
          <w:color w:val="2E5AAC"/>
          <w:sz w:val="24"/>
          <w:szCs w:val="24"/>
        </w:rPr>
        <w:t xml:space="preserve">Agentic AI and tool use</w:t>
      </w:r>
    </w:p>
    <w:p>
      <w:pPr>
        <w:pStyle w:val="ListParagraph"/>
        <w:numPr>
          <w:ilvl w:val="0"/>
          <w:numId w:val="2"/>
        </w:numPr>
        <w:spacing w:after="90" w:line="270"/>
      </w:pPr>
      <w:r>
        <w:rPr>
          <w:color w:val="1A1A1A"/>
          <w:sz w:val="21"/>
          <w:szCs w:val="21"/>
        </w:rPr>
        <w:t xml:space="preserve">Yao, S. et al. (2023). ReAct: Synergizing Reasoning and Acting in Language Models.</w:t>
      </w:r>
    </w:p>
    <w:p>
      <w:pPr>
        <w:pStyle w:val="ListParagraph"/>
        <w:numPr>
          <w:ilvl w:val="0"/>
          <w:numId w:val="2"/>
        </w:numPr>
        <w:spacing w:after="90" w:line="270"/>
      </w:pPr>
      <w:r>
        <w:rPr>
          <w:color w:val="1A1A1A"/>
          <w:sz w:val="21"/>
          <w:szCs w:val="21"/>
        </w:rPr>
        <w:t xml:space="preserve">Schick, T. et al. (2023). Toolformer: Language Models Can Teach Themselves to Use Tools.</w:t>
      </w:r>
    </w:p>
    <w:p>
      <w:pPr>
        <w:pStyle w:val="Heading2"/>
        <w:spacing w:after="140" w:before="280"/>
      </w:pPr>
      <w:r>
        <w:rPr>
          <w:b/>
          <w:bCs/>
          <w:color w:val="2E5AAC"/>
          <w:sz w:val="24"/>
          <w:szCs w:val="24"/>
        </w:rPr>
        <w:t xml:space="preserve">AI security and risk</w:t>
      </w:r>
    </w:p>
    <w:p>
      <w:pPr>
        <w:pStyle w:val="ListParagraph"/>
        <w:numPr>
          <w:ilvl w:val="0"/>
          <w:numId w:val="2"/>
        </w:numPr>
        <w:spacing w:after="90" w:line="270"/>
      </w:pPr>
      <w:r>
        <w:rPr>
          <w:color w:val="1A1A1A"/>
          <w:sz w:val="21"/>
          <w:szCs w:val="21"/>
        </w:rPr>
        <w:t xml:space="preserve">NIST (2024). AI Risk Management Framework: Generative AI Profile.</w:t>
      </w:r>
    </w:p>
    <w:p>
      <w:pPr>
        <w:pStyle w:val="ListParagraph"/>
        <w:numPr>
          <w:ilvl w:val="0"/>
          <w:numId w:val="2"/>
        </w:numPr>
        <w:spacing w:after="90" w:line="270"/>
      </w:pPr>
      <w:r>
        <w:rPr>
          <w:color w:val="1A1A1A"/>
          <w:sz w:val="21"/>
          <w:szCs w:val="21"/>
        </w:rPr>
        <w:t xml:space="preserve">OWASP (2025). OWASP Top 10 for LLM Applications.</w:t>
      </w:r>
    </w:p>
    <w:p>
      <w:pPr>
        <w:pStyle w:val="Heading2"/>
        <w:spacing w:after="140" w:before="280"/>
      </w:pPr>
      <w:r>
        <w:rPr>
          <w:b/>
          <w:bCs/>
          <w:color w:val="2E5AAC"/>
          <w:sz w:val="24"/>
          <w:szCs w:val="24"/>
        </w:rPr>
        <w:t xml:space="preserve">Target user needs identified during research</w:t>
      </w:r>
    </w:p>
    <w:p>
      <w:pPr>
        <w:pStyle w:val="ListParagraph"/>
        <w:numPr>
          <w:ilvl w:val="0"/>
          <w:numId w:val="2"/>
        </w:numPr>
        <w:spacing w:after="90" w:line="270"/>
      </w:pPr>
      <w:r>
        <w:rPr>
          <w:color w:val="1A1A1A"/>
          <w:sz w:val="21"/>
          <w:szCs w:val="21"/>
        </w:rPr>
        <w:t xml:space="preserve">Data sovereignty — sensitive information must remain within organizational infrastructure.</w:t>
      </w:r>
    </w:p>
    <w:p>
      <w:pPr>
        <w:pStyle w:val="ListParagraph"/>
        <w:numPr>
          <w:ilvl w:val="0"/>
          <w:numId w:val="2"/>
        </w:numPr>
        <w:spacing w:after="90" w:line="270"/>
      </w:pPr>
      <w:r>
        <w:rPr>
          <w:color w:val="1A1A1A"/>
          <w:sz w:val="21"/>
          <w:szCs w:val="21"/>
        </w:rPr>
        <w:t xml:space="preserve">Offline operation — AI should remain usable in restricted or disconnected environments.</w:t>
      </w:r>
    </w:p>
    <w:p>
      <w:pPr>
        <w:pStyle w:val="ListParagraph"/>
        <w:numPr>
          <w:ilvl w:val="0"/>
          <w:numId w:val="2"/>
        </w:numPr>
        <w:spacing w:after="90" w:line="270"/>
      </w:pPr>
      <w:r>
        <w:rPr>
          <w:color w:val="1A1A1A"/>
          <w:sz w:val="21"/>
          <w:szCs w:val="21"/>
        </w:rPr>
        <w:t xml:space="preserve">Controlled execution — AI-generated actions require deterministic policy enforcement.</w:t>
      </w:r>
    </w:p>
    <w:p>
      <w:pPr>
        <w:pStyle w:val="ListParagraph"/>
        <w:numPr>
          <w:ilvl w:val="0"/>
          <w:numId w:val="2"/>
        </w:numPr>
        <w:spacing w:after="90" w:line="270"/>
      </w:pPr>
      <w:r>
        <w:rPr>
          <w:color w:val="1A1A1A"/>
          <w:sz w:val="21"/>
          <w:szCs w:val="21"/>
        </w:rPr>
        <w:t xml:space="preserve">Auditability — organizations need visibility into AI actions and execution history.</w:t>
      </w:r>
    </w:p>
    <w:p>
      <w:pPr>
        <w:pStyle w:val="ListParagraph"/>
        <w:numPr>
          <w:ilvl w:val="0"/>
          <w:numId w:val="2"/>
        </w:numPr>
        <w:spacing w:after="90" w:line="270"/>
      </w:pPr>
      <w:r>
        <w:rPr>
          <w:color w:val="1A1A1A"/>
          <w:sz w:val="21"/>
          <w:szCs w:val="21"/>
        </w:rPr>
        <w:t xml:space="preserve">Integrated workflow — users need documents, knowledge, coding and artifacts within one controlled environment.</w:t>
      </w:r>
    </w:p>
    <w:p>
      <w:pPr>
        <w:pStyle w:val="Heading1"/>
        <w:pBdr>
          <w:bottom w:val="single" w:color="1F2A44" w:sz="6" w:space="4"/>
        </w:pBdr>
        <w:spacing w:after="200" w:before="400"/>
      </w:pPr>
      <w:r>
        <w:rPr>
          <w:b/>
          <w:bCs/>
          <w:color w:val="1F2A44"/>
          <w:sz w:val="30"/>
          <w:szCs w:val="30"/>
        </w:rPr>
        <w:t xml:space="preserve">13. Roadmap</w:t>
      </w:r>
    </w:p>
    <w:p>
      <w:pPr>
        <w:pStyle w:val="Heading2"/>
        <w:spacing w:after="140" w:before="280"/>
      </w:pPr>
      <w:r>
        <w:rPr>
          <w:b/>
          <w:bCs/>
          <w:color w:val="2E5AAC"/>
          <w:sz w:val="24"/>
          <w:szCs w:val="24"/>
        </w:rPr>
        <w:t xml:space="preserve">Near-term (post-hackathon)</w:t>
      </w:r>
    </w:p>
    <w:p>
      <w:pPr>
        <w:pStyle w:val="ListParagraph"/>
        <w:numPr>
          <w:ilvl w:val="0"/>
          <w:numId w:val="2"/>
        </w:numPr>
        <w:spacing w:after="90" w:line="270"/>
      </w:pPr>
      <w:r>
        <w:rPr>
          <w:color w:val="1A1A1A"/>
          <w:sz w:val="21"/>
          <w:szCs w:val="21"/>
        </w:rPr>
        <w:t xml:space="preserve">Role-based access control for multi-user deployments.</w:t>
      </w:r>
    </w:p>
    <w:p>
      <w:pPr>
        <w:pStyle w:val="ListParagraph"/>
        <w:numPr>
          <w:ilvl w:val="0"/>
          <w:numId w:val="2"/>
        </w:numPr>
        <w:spacing w:after="90" w:line="270"/>
      </w:pPr>
      <w:r>
        <w:rPr>
          <w:color w:val="1A1A1A"/>
          <w:sz w:val="21"/>
          <w:szCs w:val="21"/>
        </w:rPr>
        <w:t xml:space="preserve">Encryption at rest for uploaded documents and the SQLite store.</w:t>
      </w:r>
    </w:p>
    <w:p>
      <w:pPr>
        <w:pStyle w:val="ListParagraph"/>
        <w:numPr>
          <w:ilvl w:val="0"/>
          <w:numId w:val="2"/>
        </w:numPr>
        <w:spacing w:after="90" w:line="270"/>
      </w:pPr>
      <w:r>
        <w:rPr>
          <w:color w:val="1A1A1A"/>
          <w:sz w:val="21"/>
          <w:szCs w:val="21"/>
        </w:rPr>
        <w:t xml:space="preserve">Hash-chained, tamper-evident audit log.</w:t>
      </w:r>
    </w:p>
    <w:p>
      <w:pPr>
        <w:pStyle w:val="ListParagraph"/>
        <w:numPr>
          <w:ilvl w:val="0"/>
          <w:numId w:val="2"/>
        </w:numPr>
        <w:spacing w:after="90" w:line="270"/>
      </w:pPr>
      <w:r>
        <w:rPr>
          <w:color w:val="1A1A1A"/>
          <w:sz w:val="21"/>
          <w:szCs w:val="21"/>
        </w:rPr>
        <w:t xml:space="preserve">Measured evaluation of OCR, retrieval, and task-completion accuracy, replacing the current qualitative descriptions with real figures.</w:t>
      </w:r>
    </w:p>
    <w:p>
      <w:pPr>
        <w:pStyle w:val="Heading2"/>
        <w:spacing w:after="140" w:before="280"/>
      </w:pPr>
      <w:r>
        <w:rPr>
          <w:b/>
          <w:bCs/>
          <w:color w:val="2E5AAC"/>
          <w:sz w:val="24"/>
          <w:szCs w:val="24"/>
        </w:rPr>
        <w:t xml:space="preserve">Medium-term</w:t>
      </w:r>
    </w:p>
    <w:p>
      <w:pPr>
        <w:pStyle w:val="ListParagraph"/>
        <w:numPr>
          <w:ilvl w:val="0"/>
          <w:numId w:val="2"/>
        </w:numPr>
        <w:spacing w:after="90" w:line="270"/>
      </w:pPr>
      <w:r>
        <w:rPr>
          <w:color w:val="1A1A1A"/>
          <w:sz w:val="21"/>
          <w:szCs w:val="21"/>
        </w:rPr>
        <w:t xml:space="preserve">Completion and hardening of Workflow B (code generation with retry-on-failure sandbox execution).</w:t>
      </w:r>
    </w:p>
    <w:p>
      <w:pPr>
        <w:pStyle w:val="ListParagraph"/>
        <w:numPr>
          <w:ilvl w:val="0"/>
          <w:numId w:val="2"/>
        </w:numPr>
        <w:spacing w:after="90" w:line="270"/>
      </w:pPr>
      <w:r>
        <w:rPr>
          <w:color w:val="1A1A1A"/>
          <w:sz w:val="21"/>
          <w:szCs w:val="21"/>
        </w:rPr>
        <w:t xml:space="preserve">A rule test-suite for the Policy layer, so policy correctness is exhaustively testable rather than only exercised ad hoc.</w:t>
      </w:r>
    </w:p>
    <w:p>
      <w:pPr>
        <w:pStyle w:val="ListParagraph"/>
        <w:numPr>
          <w:ilvl w:val="0"/>
          <w:numId w:val="2"/>
        </w:numPr>
        <w:spacing w:after="90" w:line="270"/>
      </w:pPr>
      <w:r>
        <w:rPr>
          <w:color w:val="1A1A1A"/>
          <w:sz w:val="21"/>
          <w:szCs w:val="21"/>
        </w:rPr>
        <w:t xml:space="preserve">Orchestrator benchmark completion (qwen3.5:9b vs. gpt-oss:20b), with the config-driven Model Registry making the outcome a configuration change, not a redesign.</w:t>
      </w:r>
    </w:p>
    <w:p>
      <w:pPr>
        <w:pStyle w:val="Heading2"/>
        <w:spacing w:after="140" w:before="280"/>
      </w:pPr>
      <w:r>
        <w:rPr>
          <w:b/>
          <w:bCs/>
          <w:color w:val="2E5AAC"/>
          <w:sz w:val="24"/>
          <w:szCs w:val="24"/>
        </w:rPr>
        <w:t xml:space="preserve">Longer-term, requiring institutional partnership</w:t>
      </w:r>
    </w:p>
    <w:p>
      <w:pPr>
        <w:pStyle w:val="ListParagraph"/>
        <w:numPr>
          <w:ilvl w:val="0"/>
          <w:numId w:val="2"/>
        </w:numPr>
        <w:spacing w:after="90" w:line="270"/>
      </w:pPr>
      <w:r>
        <w:rPr>
          <w:color w:val="1A1A1A"/>
          <w:sz w:val="21"/>
          <w:szCs w:val="21"/>
        </w:rPr>
        <w:t xml:space="preserve">Integration with existing document management or case-handling systems, subject to the interoperability the receiving institution actually supports.</w:t>
      </w:r>
    </w:p>
    <w:p>
      <w:pPr>
        <w:pStyle w:val="ListParagraph"/>
        <w:numPr>
          <w:ilvl w:val="0"/>
          <w:numId w:val="2"/>
        </w:numPr>
        <w:spacing w:after="90" w:line="270"/>
      </w:pPr>
      <w:r>
        <w:rPr>
          <w:color w:val="1A1A1A"/>
          <w:sz w:val="21"/>
          <w:szCs w:val="21"/>
        </w:rPr>
        <w:t xml:space="preserve">Any real government or industrial deployment, which would require formal security review and accreditation beyond what a hackathon prototype can claim to satisfy.</w:t>
      </w:r>
    </w:p>
    <w:p>
      <w:pPr>
        <w:pStyle w:val="Heading1"/>
        <w:pBdr>
          <w:bottom w:val="single" w:color="1F2A44" w:sz="6" w:space="4"/>
        </w:pBdr>
        <w:spacing w:after="200" w:before="400"/>
      </w:pPr>
      <w:r>
        <w:rPr>
          <w:b/>
          <w:bCs/>
          <w:color w:val="1F2A44"/>
          <w:sz w:val="30"/>
          <w:szCs w:val="30"/>
        </w:rPr>
        <w:t xml:space="preserve">14. Conclusion</w:t>
      </w:r>
    </w:p>
    <w:p>
      <w:pPr>
        <w:spacing w:after="160" w:line="276"/>
      </w:pPr>
      <w:r>
        <w:rPr>
          <w:color w:val="1A1A1A"/>
          <w:sz w:val="21"/>
          <w:szCs w:val="21"/>
        </w:rPr>
        <w:t xml:space="preserve">Bulwark's central contribution is architectural discipline applied to a real, specific problem: organizations that need agentic AI but cannot accept the confidentiality risk of cloud AI, and cannot accept an AI system whose actions are unreviewable. The reasoning–execution separation, the deterministic policy gate, and the single audit stream are not marketing language — they are structural properties of the codebase that were verified, corrected, and honestly scoped during this review cycle. Where the project has real gaps — access control, encryption at rest, measured accuracy — this report states them directly rather than implying they are solved. That is a deliberate choice: a system built for confidential, audited environments should be described with the same rigor it claims to provide to its users.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BULWARK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2026-09-22T06:40:04.262Z</dcterms:created>
  <dcterms:modified xsi:type="dcterms:W3CDTF">2026-09-22T06:40:04.271Z</dcterms:modified>
</cp:coreProperties>
</file>

<file path=docProps/custom.xml><?xml version="1.0" encoding="utf-8"?>
<Properties xmlns="http://schemas.openxmlformats.org/officeDocument/2006/custom-properties" xmlns:vt="http://schemas.openxmlformats.org/officeDocument/2006/docPropsVTypes"/>
</file>