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MedAdhere — Technical Deep Dive</w:t>
      </w:r>
    </w:p>
    <w:p>
      <w:r>
        <w:t>This document provides a technical overview of the MedAdhere healthcare adherence platform, covering architecture, backend systems, AI pipelines, scheduling logic, security, deployment, and engineering decisions made during development.</w:t>
      </w:r>
    </w:p>
    <w:p>
      <w:pPr>
        <w:pStyle w:val="Heading1"/>
      </w:pPr>
      <w:r>
        <w:rPr>
          <w:sz w:val="32"/>
        </w:rPr>
        <w:t>1. System Overview</w:t>
      </w:r>
    </w:p>
    <w:p>
      <w:r>
        <w:rPr>
          <w:sz w:val="22"/>
        </w:rPr>
        <w:t>MedAdhere is a three-sided healthcare adherence system designed for patients, doctors, and family reviewers. The platform focuses on medication adherence verification, continuity of care, and centralized healthcare coordination. The system architecture is modular and service-oriented, allowing integrations and infrastructure components to evolve independently.</w:t>
      </w:r>
    </w:p>
    <w:p>
      <w:pPr>
        <w:pStyle w:val="Heading1"/>
      </w:pPr>
      <w:r>
        <w:rPr>
          <w:sz w:val="32"/>
        </w:rPr>
        <w:t>2. Frontend Architecture</w:t>
      </w:r>
    </w:p>
    <w:p>
      <w:r>
        <w:rPr>
          <w:sz w:val="22"/>
        </w:rPr>
        <w:t>The frontend is built using React + Vite with Tailwind CSS and Framer Motion for responsive UI and interaction polish. Role-based dashboards dynamically render different experiences for patients, doctors, and reviewers. Custom hooks manage authentication and dashboard data fetching, while centralized API services prevent scattered network logic. The UI is mobile-first and optimized for elderly usability with large touch targets and simplified flows.</w:t>
      </w:r>
    </w:p>
    <w:p>
      <w:pPr>
        <w:pStyle w:val="Heading1"/>
      </w:pPr>
      <w:r>
        <w:rPr>
          <w:sz w:val="32"/>
        </w:rPr>
        <w:t>3. Backend Architecture</w:t>
      </w:r>
    </w:p>
    <w:p>
      <w:r>
        <w:rPr>
          <w:sz w:val="22"/>
        </w:rPr>
        <w:t>The backend uses FastAPI with modular routing and service layers. Business logic is separated into services such as OCR processing, insight generation, scheduling, and email handling. The backend exposes REST APIs for authentication, medicines, adherence tracking, notes, visits, OCR, and dashboards. APScheduler handles reminder scheduling while Supabase PostgreSQL acts as the primary system database.</w:t>
      </w:r>
    </w:p>
    <w:p>
      <w:pPr>
        <w:pStyle w:val="Heading1"/>
      </w:pPr>
      <w:r>
        <w:rPr>
          <w:sz w:val="32"/>
        </w:rPr>
        <w:t>4. Database Design</w:t>
      </w:r>
    </w:p>
    <w:p>
      <w:r>
        <w:rPr>
          <w:sz w:val="22"/>
        </w:rPr>
        <w:t>The system database is designed around relational healthcare workflows. Core tables include profiles, medicines, adherence_logs, patient_doctor_connections, patient_reviewer_connections, notes, and visits. The adherence_logs table acts as the operational heart of the platform by storing scheduled doses, confirmation timestamps, and one-time verification tokens.</w:t>
      </w:r>
    </w:p>
    <w:p>
      <w:pPr>
        <w:pStyle w:val="Heading1"/>
      </w:pPr>
      <w:r>
        <w:rPr>
          <w:sz w:val="32"/>
        </w:rPr>
        <w:t>5. Authentication &amp; RBAC</w:t>
      </w:r>
    </w:p>
    <w:p>
      <w:r>
        <w:rPr>
          <w:sz w:val="22"/>
        </w:rPr>
        <w:t>Authentication is managed through Supabase Auth using JWT-based sessions. Role-based access control is enforced at the API layer. Patients can access only their own medicines and history, doctors can access connected patients, and reviewers receive read-only access. Public access exists only for the secure medication confirmation endpoint by design.</w:t>
      </w:r>
    </w:p>
    <w:p>
      <w:pPr>
        <w:pStyle w:val="Heading1"/>
      </w:pPr>
      <w:r>
        <w:rPr>
          <w:sz w:val="32"/>
        </w:rPr>
        <w:t>6. Reminder Scheduling System</w:t>
      </w:r>
    </w:p>
    <w:p>
      <w:r>
        <w:rPr>
          <w:sz w:val="22"/>
        </w:rPr>
        <w:t>The reminder engine uses APScheduler cron triggers for medicine reminder scheduling. Each reminder time generates an independent scheduled task. On execution, the scheduler creates an adherence log entry, generates a cryptographically secure token, and sends an HTML reminder email. To prevent reminder loss after deployment restarts, all active medicines are automatically rescheduled during backend startup.</w:t>
      </w:r>
    </w:p>
    <w:p>
      <w:pPr>
        <w:pStyle w:val="Heading1"/>
      </w:pPr>
      <w:r>
        <w:rPr>
          <w:sz w:val="32"/>
        </w:rPr>
        <w:t>7. AI Insight Pipeline</w:t>
      </w:r>
    </w:p>
    <w:p>
      <w:r>
        <w:rPr>
          <w:sz w:val="22"/>
        </w:rPr>
        <w:t>The AI insight service generates concise clinical summaries from structured adherence data. Instead of feeding raw logs directly into Gemini, the backend first aggregates adherence statistics by medicine and time slot. This structured input significantly reduces hallucination risk and improves summary consistency. The generated insight focuses on adherence behavior patterns rather than medical diagnosis.</w:t>
      </w:r>
    </w:p>
    <w:p>
      <w:pPr>
        <w:pStyle w:val="Heading1"/>
      </w:pPr>
      <w:r>
        <w:rPr>
          <w:sz w:val="32"/>
        </w:rPr>
        <w:t>8. Prescription OCR Pipeline</w:t>
      </w:r>
    </w:p>
    <w:p>
      <w:r>
        <w:rPr>
          <w:sz w:val="22"/>
        </w:rPr>
        <w:t>The OCR pipeline allows users to upload prescription images which are processed into structured medicine data. Gemini Vision and OCR preprocessing are used to extract medicine names, dosage, frequency, reminder timings, and notes. The extracted data is always editable before saving to prevent unsafe automatic persistence.</w:t>
      </w:r>
    </w:p>
    <w:p>
      <w:pPr>
        <w:pStyle w:val="Heading1"/>
      </w:pPr>
      <w:r>
        <w:rPr>
          <w:sz w:val="32"/>
        </w:rPr>
        <w:t>9. Email Confirmation Workflow</w:t>
      </w:r>
    </w:p>
    <w:p>
      <w:r>
        <w:rPr>
          <w:sz w:val="22"/>
        </w:rPr>
        <w:t>The one-click adherence flow is a core engineering and UX decision. Patients receive reminder emails with embedded secure tokens. Clicking the button triggers backend token validation, updates adherence logs, marks tokens as used, and redirects to a public confirmation page. This removes authentication friction for elderly users while maintaining auditability.</w:t>
      </w:r>
    </w:p>
    <w:p>
      <w:pPr>
        <w:pStyle w:val="Heading1"/>
      </w:pPr>
      <w:r>
        <w:rPr>
          <w:sz w:val="32"/>
        </w:rPr>
        <w:t>10. Deployment &amp; Infrastructure</w:t>
      </w:r>
    </w:p>
    <w:p>
      <w:r>
        <w:rPr>
          <w:sz w:val="22"/>
        </w:rPr>
        <w:t>The frontend is deployed on Vercel while the FastAPI backend runs on Railway. Supabase provides PostgreSQL storage and authentication. Cloudinary stores uploaded medical documents, Gemini powers AI features, and Resend handles transactional emails. The system is cloud-deployable and production-oriented while remaining compatible with free-tier infrastructure.</w:t>
      </w:r>
    </w:p>
    <w:p>
      <w:pPr>
        <w:pStyle w:val="Heading1"/>
      </w:pPr>
      <w:r>
        <w:rPr>
          <w:sz w:val="32"/>
        </w:rPr>
        <w:t>11. Scalability &amp; Future Readiness</w:t>
      </w:r>
    </w:p>
    <w:p>
      <w:r>
        <w:rPr>
          <w:sz w:val="22"/>
        </w:rPr>
        <w:t>The architecture supports future scaling through modular services and replaceable infrastructure components. APScheduler can later migrate to Celery + Redis for distributed scheduling. Supabase Realtime can enable live dashboard updates, while additional communication channels such as WhatsApp or voice-call reminders can integrate into the existing notification layer.</w:t>
      </w:r>
    </w:p>
    <w:p>
      <w:pPr>
        <w:pStyle w:val="Heading1"/>
      </w:pPr>
      <w:r>
        <w:rPr>
          <w:sz w:val="32"/>
        </w:rPr>
        <w:t>12. Engineering Philosophy</w:t>
      </w:r>
    </w:p>
    <w:p>
      <w:r>
        <w:rPr>
          <w:sz w:val="22"/>
        </w:rPr>
        <w:t>The project emphasizes practical healthcare usability over feature overload. Every major engineering decision was guided by reducing patient friction, improving doctor visibility, and preserving human oversight in AI-assisted workflows. The architecture was intentionally designed to feel like a deployable healthcare platform rather than a temporary prototype.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