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26"/>
        </w:rPr>
        <w:t>PES UNIVERSITY • DEPARTMENT OF COMPUTER SCIENCE &amp; ENGINEERING</w:t>
        <w:br/>
      </w:r>
      <w:r>
        <w:rPr>
          <w:color w:val="4B5563"/>
          <w:sz w:val="19"/>
        </w:rPr>
        <w:t>Software Engineering Lab 1: Requirements Engineering | Problem Statement #31: Multi-Vendor Artisan E-Commerce Marketplace</w:t>
        <w:br/>
        <w:t>Student: Aditya T J (PES1UG24CS031) • Domain: Retail, E-Commerce &amp; Finance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6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03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Rationale</w:t>
            </w:r>
          </w:p>
        </w:tc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FR-001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Functional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system shall split customer cart payments at checkout, allocating respective item earnings to multiple independent vendor accounts after deducting a 5% platform fee.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Split payout calculations balance to total cart value.</w:t>
              <w:br/>
              <w:t>Fail: Payout calculation discrepancies.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Ensures accurate, automated financial distribution to independent artisans while securing platform transaction revenue (Given in PS #31).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Core monetization requirement; calculations must balance to 100% of order total.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FR-002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Functional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system shall allow artisan vendors to set up and manage an independent storefront profile, including artisan bio, shop policies, and linked payout disbursement account details.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Storefront profile updates and verified payout details are successfully saved and rendered publicly on the artisan's storefront page.</w:t>
              <w:br/>
              <w:t>Fail: Missing mandatory profile fields or unvalidated payout details prevent storefront publishing.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Enables independent craftspeople to establish their distinct brand identity and receive automated financial payouts.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Peer: Validated banking credentials required before activating vendor storefront.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FR-003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Functional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system shall allow artisan vendors to create, update, and manage handcrafted product listings with titles, descriptions, pricing, inventory quantities, and high-resolution product media.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New or updated product listings appear in the artisan's catalog and marketplace search within 5 seconds with accurate stock counts.</w:t>
              <w:br/>
              <w:t>Fail: Listings with invalid pricing (&lt;= 0) or missing mandatory attributes fail validation and are rejected.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Empowers artisans to maintain an up-to-date catalog of handcrafted items and prevent overselling through inventory synchronization.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Real-time stock validation prevents race conditions during simultaneous customer checkouts.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FR-004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Functional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system shall allow shoppers to add handcrafted items from multiple independent artisan vendors into a unified cart and execute a single consolidated checkout order.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Cart aggregates items across distinct vendors, calculates itemized totals, applies applicable coupon discounts, and initiates payment authorization.</w:t>
              <w:br/>
              <w:t>Fail: Cart fails to itemize multi-vendor items or calculation mismatch occurs between item sums and total payable amount.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Provides a seamless purchasing experience for shoppers buying from multiple artisans simultaneously without requiring separate checkout transactions.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Consolidated order is decomposed into vendor sub-orders upon payment authorization.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FR-005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Functional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system shall notify artisan vendors of confirmed customer orders containing their respective products and allow vendors to update fulfillment status (Processing, Dispatched, Delivered) with carrier tracking details.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Medium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Vendor dashboard immediately displays incoming sub-orders upon successful checkout and status transitions trigger automated notifications to the shopper.</w:t>
              <w:br/>
              <w:t>Fail: Order details fail to isolate vendor-specific items or status updates fail to persist.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Enables independent artisans to fulfill customer orders independently while keeping shoppers informed of dispatch status.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Status changes send transactional push/email notifications with courier tracking links.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NFR-001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Performance &amp; Security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product catalog must support high-resolution image rendering with CDN caching delivering load times &lt; 500 ms.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Benchmarking tests confirm target latency (&lt; 500 ms) and security standards under simulated peak load.</w:t>
              <w:br/>
              <w:t>Fail: Catalog page load latency &gt;= 500 ms or CDN caching failure under peak load.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Ensures fast page loading for image-heavy handcrafted goods, preserving user engagement and minimizing bounce rates (Given in PS #31).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Edge CDN nodes cache optimized image formats (WebP/AVIF); benchmarked via Lighthouse.</w:t>
            </w:r>
          </w:p>
        </w:tc>
      </w:tr>
      <w:tr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NFR-002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6"/>
              </w:rPr>
              <w:t>Security &amp; Compliance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6"/>
              </w:rPr>
              <w:t>The system shall encrypt all sensitive financial transactions and payout account data in transit using TLS 1.3 and at rest using AES-256 encryption, adhering to PCI-DSS Level 1 compliance standards.</w:t>
            </w:r>
          </w:p>
        </w:tc>
        <w:tc>
          <w:tcPr>
            <w:tcW w:type="dxa" w:w="1152"/>
          </w:tcPr>
          <w:p>
            <w:r>
              <w:rPr>
                <w:rFonts w:ascii="Segoe UI" w:hAnsi="Segoe UI"/>
                <w:sz w:val="16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rFonts w:ascii="Segoe UI" w:hAnsi="Segoe UI"/>
                <w:sz w:val="16"/>
              </w:rPr>
              <w:t>Pass: Automated vulnerability scans and penetration audits confirm 100% encryption coverage for payment payloads with zero plain-text storage of payment credentials.</w:t>
              <w:br/>
              <w:t>Fail: Any unencrypted transmission or unmasked storage of sensitive banking/card data detected.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6"/>
              </w:rPr>
              <w:t>Protects shoppers' financial credentials and vendors' banking payout information against unauthorized access, data breaches, and regulatory penalties.</w:t>
            </w:r>
          </w:p>
        </w:tc>
        <w:tc>
          <w:tcPr>
            <w:tcW w:type="dxa" w:w="2016"/>
          </w:tcPr>
          <w:p>
            <w:r>
              <w:rPr>
                <w:rFonts w:ascii="Segoe UI" w:hAnsi="Segoe UI"/>
                <w:sz w:val="16"/>
              </w:rPr>
              <w:t>Immutable append-only ledger verifies double-entry reconciliation between payouts and fees.</w:t>
            </w:r>
          </w:p>
        </w:tc>
      </w:tr>
    </w:tbl>
    <w:sectPr w:rsidR="00FC693F" w:rsidRPr="0006063C" w:rsidSect="00034616">
      <w:pgSz w:w="16834" w:h="11909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