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D8C4" w14:textId="3091BA28" w:rsidR="005D3810" w:rsidRPr="005D3810" w:rsidRDefault="005D3810">
      <w:pPr>
        <w:pStyle w:val="Heading1"/>
        <w:spacing w:after="60" w:line="245" w:lineRule="auto"/>
        <w:jc w:val="center"/>
        <w:rPr>
          <w:rFonts w:ascii="Georgia" w:eastAsia="Georgia" w:hAnsi="Georgia"/>
          <w:b/>
          <w:i/>
          <w:iCs/>
          <w:color w:val="156082" w:themeColor="accent1"/>
          <w:sz w:val="36"/>
          <w:u w:val="single"/>
        </w:rPr>
      </w:pPr>
      <w:r w:rsidRPr="005D3810">
        <w:rPr>
          <w:rFonts w:ascii="Georgia" w:eastAsia="Georgia" w:hAnsi="Georgia"/>
          <w:b/>
          <w:i/>
          <w:iCs/>
          <w:color w:val="156082" w:themeColor="accent1"/>
          <w:sz w:val="36"/>
          <w:u w:val="single"/>
        </w:rPr>
        <w:t>SOFTWARE ENGINEERING</w:t>
      </w:r>
    </w:p>
    <w:p w14:paraId="67E27214" w14:textId="10F494B0" w:rsidR="00577BD3" w:rsidRPr="005D3810" w:rsidRDefault="00000000">
      <w:pPr>
        <w:pStyle w:val="Heading1"/>
        <w:spacing w:after="60" w:line="245" w:lineRule="auto"/>
        <w:jc w:val="center"/>
        <w:rPr>
          <w:color w:val="156082" w:themeColor="accent1"/>
        </w:rPr>
      </w:pPr>
      <w:r w:rsidRPr="005D3810">
        <w:rPr>
          <w:rFonts w:ascii="Georgia" w:eastAsia="Georgia" w:hAnsi="Georgia"/>
          <w:b/>
          <w:color w:val="156082" w:themeColor="accent1"/>
          <w:sz w:val="36"/>
        </w:rPr>
        <w:t>Lab 3: Architectural Pattern Justification</w:t>
      </w:r>
    </w:p>
    <w:p w14:paraId="753F60EC" w14:textId="77777777" w:rsidR="00577BD3" w:rsidRPr="005D3810" w:rsidRDefault="00000000">
      <w:pPr>
        <w:spacing w:after="200" w:line="245" w:lineRule="auto"/>
        <w:jc w:val="center"/>
        <w:rPr>
          <w:color w:val="D86DCB" w:themeColor="accent5" w:themeTint="99"/>
          <w:sz w:val="24"/>
          <w:szCs w:val="24"/>
        </w:rPr>
      </w:pPr>
      <w:r w:rsidRPr="005D3810">
        <w:rPr>
          <w:rFonts w:ascii="Trebuchet MS" w:eastAsia="Trebuchet MS" w:hAnsi="Trebuchet MS"/>
          <w:b/>
          <w:i/>
          <w:iCs/>
          <w:color w:val="D86DCB" w:themeColor="accent5" w:themeTint="99"/>
          <w:sz w:val="22"/>
          <w:szCs w:val="24"/>
        </w:rPr>
        <w:t>Problem Statement #31 — Multi-Vendor Artisan E-Commerce Marketplace</w:t>
      </w:r>
    </w:p>
    <w:p w14:paraId="5E9C13AC" w14:textId="77777777" w:rsidR="005D3810" w:rsidRPr="005D3810" w:rsidRDefault="005D3810">
      <w:pPr>
        <w:pBdr>
          <w:bottom w:val="single" w:sz="8" w:space="2" w:color="D7E4DC"/>
        </w:pBdr>
        <w:spacing w:before="100" w:after="80" w:line="247" w:lineRule="auto"/>
        <w:rPr>
          <w:rFonts w:ascii="Trebuchet MS" w:eastAsia="Trebuchet MS" w:hAnsi="Trebuchet MS"/>
          <w:b/>
          <w:bCs/>
          <w:color w:val="196B24" w:themeColor="accent3"/>
          <w:sz w:val="24"/>
          <w:szCs w:val="28"/>
        </w:rPr>
      </w:pPr>
    </w:p>
    <w:p w14:paraId="1B764103" w14:textId="0729833B" w:rsidR="00577BD3" w:rsidRPr="005D3810" w:rsidRDefault="00000000">
      <w:pPr>
        <w:pBdr>
          <w:bottom w:val="single" w:sz="8" w:space="2" w:color="D7E4DC"/>
        </w:pBdr>
        <w:spacing w:before="100" w:after="80" w:line="247" w:lineRule="auto"/>
        <w:rPr>
          <w:color w:val="196B24" w:themeColor="accent3"/>
          <w:sz w:val="24"/>
          <w:szCs w:val="24"/>
        </w:rPr>
      </w:pPr>
      <w:r w:rsidRPr="005D3810">
        <w:rPr>
          <w:rFonts w:ascii="Trebuchet MS" w:eastAsia="Trebuchet MS" w:hAnsi="Trebuchet MS"/>
          <w:b/>
          <w:bCs/>
          <w:color w:val="196B24" w:themeColor="accent3"/>
          <w:sz w:val="24"/>
          <w:szCs w:val="28"/>
        </w:rPr>
        <w:t xml:space="preserve">Architecture Selection: </w:t>
      </w:r>
      <w:r w:rsidRPr="005D3810">
        <w:rPr>
          <w:rFonts w:ascii="Trebuchet MS" w:eastAsia="Trebuchet MS" w:hAnsi="Trebuchet MS"/>
          <w:b/>
          <w:color w:val="196B24" w:themeColor="accent3"/>
          <w:sz w:val="24"/>
          <w:szCs w:val="28"/>
        </w:rPr>
        <w:t xml:space="preserve">We chose </w:t>
      </w:r>
      <w:r w:rsidRPr="005D3810">
        <w:rPr>
          <w:rFonts w:ascii="Trebuchet MS" w:eastAsia="Trebuchet MS" w:hAnsi="Trebuchet MS"/>
          <w:b/>
          <w:color w:val="196B24" w:themeColor="accent3"/>
          <w:sz w:val="24"/>
          <w:szCs w:val="28"/>
          <w:u w:val="single"/>
        </w:rPr>
        <w:t>Microservices Architecture</w:t>
      </w:r>
      <w:r w:rsidRPr="005D3810">
        <w:rPr>
          <w:rFonts w:ascii="Trebuchet MS" w:eastAsia="Trebuchet MS" w:hAnsi="Trebuchet MS"/>
          <w:b/>
          <w:color w:val="196B24" w:themeColor="accent3"/>
          <w:sz w:val="24"/>
          <w:szCs w:val="28"/>
        </w:rPr>
        <w:t xml:space="preserve"> for the Multi-Vendor Artisan E-Commerce Marketplace System.</w:t>
      </w:r>
    </w:p>
    <w:p w14:paraId="65089A96" w14:textId="77777777" w:rsidR="005D3810" w:rsidRDefault="005D3810">
      <w:pPr>
        <w:pStyle w:val="Heading2"/>
        <w:pBdr>
          <w:bottom w:val="single" w:sz="8" w:space="2" w:color="D7E4DC"/>
        </w:pBdr>
        <w:spacing w:before="100" w:after="80" w:line="247" w:lineRule="auto"/>
        <w:rPr>
          <w:rFonts w:ascii="Trebuchet MS" w:eastAsia="Trebuchet MS" w:hAnsi="Trebuchet MS"/>
          <w:b/>
          <w:i/>
          <w:iCs/>
          <w:color w:val="156082" w:themeColor="accent1"/>
          <w:sz w:val="24"/>
          <w:szCs w:val="32"/>
        </w:rPr>
      </w:pPr>
    </w:p>
    <w:p w14:paraId="22A8CC8F" w14:textId="24AB91E4" w:rsidR="00577BD3" w:rsidRPr="005D3810" w:rsidRDefault="00000000">
      <w:pPr>
        <w:pStyle w:val="Heading2"/>
        <w:pBdr>
          <w:bottom w:val="single" w:sz="8" w:space="2" w:color="D7E4DC"/>
        </w:pBdr>
        <w:spacing w:before="100" w:after="80" w:line="247" w:lineRule="auto"/>
        <w:rPr>
          <w:i/>
          <w:iCs/>
          <w:color w:val="156082" w:themeColor="accent1"/>
          <w:sz w:val="32"/>
          <w:szCs w:val="32"/>
        </w:rPr>
      </w:pPr>
      <w:r w:rsidRPr="005D3810">
        <w:rPr>
          <w:rFonts w:ascii="Trebuchet MS" w:eastAsia="Trebuchet MS" w:hAnsi="Trebuchet MS"/>
          <w:b/>
          <w:i/>
          <w:iCs/>
          <w:color w:val="156082" w:themeColor="accent1"/>
          <w:sz w:val="24"/>
          <w:szCs w:val="32"/>
        </w:rPr>
        <w:t>Reason 1 — Independent Scaling</w:t>
      </w:r>
    </w:p>
    <w:p w14:paraId="40BC53D4" w14:textId="77777777" w:rsidR="00577BD3" w:rsidRPr="005D3810" w:rsidRDefault="00000000">
      <w:pPr>
        <w:spacing w:before="100" w:after="80" w:line="247" w:lineRule="auto"/>
        <w:rPr>
          <w:sz w:val="24"/>
          <w:szCs w:val="24"/>
        </w:rPr>
      </w:pPr>
      <w:r w:rsidRPr="005D3810">
        <w:rPr>
          <w:rFonts w:ascii="Calibri" w:eastAsia="Calibri" w:hAnsi="Calibri"/>
          <w:color w:val="373A37"/>
          <w:sz w:val="22"/>
          <w:szCs w:val="28"/>
        </w:rPr>
        <w:t xml:space="preserve">NFR-001 requires the product </w:t>
      </w:r>
      <w:proofErr w:type="spellStart"/>
      <w:r w:rsidRPr="005D3810">
        <w:rPr>
          <w:rFonts w:ascii="Calibri" w:eastAsia="Calibri" w:hAnsi="Calibri"/>
          <w:color w:val="373A37"/>
          <w:sz w:val="22"/>
          <w:szCs w:val="28"/>
        </w:rPr>
        <w:t>catalog</w:t>
      </w:r>
      <w:proofErr w:type="spellEnd"/>
      <w:r w:rsidRPr="005D3810">
        <w:rPr>
          <w:rFonts w:ascii="Calibri" w:eastAsia="Calibri" w:hAnsi="Calibri"/>
          <w:color w:val="373A37"/>
          <w:sz w:val="22"/>
          <w:szCs w:val="28"/>
        </w:rPr>
        <w:t xml:space="preserve"> to render high-resolution vendor images with CDN caching at under 500 </w:t>
      </w:r>
      <w:proofErr w:type="spellStart"/>
      <w:r w:rsidRPr="005D3810">
        <w:rPr>
          <w:rFonts w:ascii="Calibri" w:eastAsia="Calibri" w:hAnsi="Calibri"/>
          <w:color w:val="373A37"/>
          <w:sz w:val="22"/>
          <w:szCs w:val="28"/>
        </w:rPr>
        <w:t>ms</w:t>
      </w:r>
      <w:proofErr w:type="spellEnd"/>
      <w:r w:rsidRPr="005D3810">
        <w:rPr>
          <w:rFonts w:ascii="Calibri" w:eastAsia="Calibri" w:hAnsi="Calibri"/>
          <w:color w:val="373A37"/>
          <w:sz w:val="22"/>
          <w:szCs w:val="28"/>
        </w:rPr>
        <w:t xml:space="preserve">, which means the </w:t>
      </w:r>
      <w:proofErr w:type="spellStart"/>
      <w:r w:rsidRPr="005D3810">
        <w:rPr>
          <w:rFonts w:ascii="Calibri" w:eastAsia="Calibri" w:hAnsi="Calibri"/>
          <w:color w:val="373A37"/>
          <w:sz w:val="22"/>
          <w:szCs w:val="28"/>
        </w:rPr>
        <w:t>Catalog</w:t>
      </w:r>
      <w:proofErr w:type="spellEnd"/>
      <w:r w:rsidRPr="005D3810">
        <w:rPr>
          <w:rFonts w:ascii="Calibri" w:eastAsia="Calibri" w:hAnsi="Calibri"/>
          <w:color w:val="373A37"/>
          <w:sz w:val="22"/>
          <w:szCs w:val="28"/>
        </w:rPr>
        <w:t xml:space="preserve"> Service sees very high, bursty read traffic from browsing shoppers. The Payment &amp; Payout Service, in contrast, handles lower-volume but strongly consistent transactions (FR-001's split-payout logic). Microservices let each service scale on its own hardware/replica count and its own schedule, instead of a monolith forcing the whole system to scale together whenever </w:t>
      </w:r>
      <w:proofErr w:type="spellStart"/>
      <w:r w:rsidRPr="005D3810">
        <w:rPr>
          <w:rFonts w:ascii="Calibri" w:eastAsia="Calibri" w:hAnsi="Calibri"/>
          <w:color w:val="373A37"/>
          <w:sz w:val="22"/>
          <w:szCs w:val="28"/>
        </w:rPr>
        <w:t>catalog</w:t>
      </w:r>
      <w:proofErr w:type="spellEnd"/>
      <w:r w:rsidRPr="005D3810">
        <w:rPr>
          <w:rFonts w:ascii="Calibri" w:eastAsia="Calibri" w:hAnsi="Calibri"/>
          <w:color w:val="373A37"/>
          <w:sz w:val="22"/>
          <w:szCs w:val="28"/>
        </w:rPr>
        <w:t xml:space="preserve"> traffic spikes.</w:t>
      </w:r>
    </w:p>
    <w:p w14:paraId="4DB0E4D0" w14:textId="77777777" w:rsidR="005D3810" w:rsidRDefault="005D3810">
      <w:pPr>
        <w:pStyle w:val="Heading2"/>
        <w:pBdr>
          <w:bottom w:val="single" w:sz="8" w:space="2" w:color="D7E4DC"/>
        </w:pBdr>
        <w:spacing w:before="100" w:after="80" w:line="247" w:lineRule="auto"/>
        <w:rPr>
          <w:rFonts w:ascii="Trebuchet MS" w:eastAsia="Trebuchet MS" w:hAnsi="Trebuchet MS"/>
          <w:b/>
          <w:i/>
          <w:iCs/>
          <w:color w:val="156082" w:themeColor="accent1"/>
          <w:sz w:val="24"/>
          <w:szCs w:val="32"/>
        </w:rPr>
      </w:pPr>
    </w:p>
    <w:p w14:paraId="13E8C99B" w14:textId="161F66A1" w:rsidR="00577BD3" w:rsidRPr="005D3810" w:rsidRDefault="00000000">
      <w:pPr>
        <w:pStyle w:val="Heading2"/>
        <w:pBdr>
          <w:bottom w:val="single" w:sz="8" w:space="2" w:color="D7E4DC"/>
        </w:pBdr>
        <w:spacing w:before="100" w:after="80" w:line="247" w:lineRule="auto"/>
        <w:rPr>
          <w:i/>
          <w:iCs/>
          <w:color w:val="156082" w:themeColor="accent1"/>
          <w:sz w:val="32"/>
          <w:szCs w:val="32"/>
        </w:rPr>
      </w:pPr>
      <w:r w:rsidRPr="005D3810">
        <w:rPr>
          <w:rFonts w:ascii="Trebuchet MS" w:eastAsia="Trebuchet MS" w:hAnsi="Trebuchet MS"/>
          <w:b/>
          <w:i/>
          <w:iCs/>
          <w:color w:val="156082" w:themeColor="accent1"/>
          <w:sz w:val="24"/>
          <w:szCs w:val="32"/>
        </w:rPr>
        <w:t>Reason 2 — Fault Isolation Across Independent Vendors</w:t>
      </w:r>
    </w:p>
    <w:p w14:paraId="648AEDC3" w14:textId="77777777" w:rsidR="00577BD3" w:rsidRPr="005D3810" w:rsidRDefault="00000000">
      <w:pPr>
        <w:spacing w:before="100" w:after="80" w:line="247" w:lineRule="auto"/>
        <w:rPr>
          <w:sz w:val="24"/>
          <w:szCs w:val="24"/>
        </w:rPr>
      </w:pPr>
      <w:r w:rsidRPr="005D3810">
        <w:rPr>
          <w:rFonts w:ascii="Calibri" w:eastAsia="Calibri" w:hAnsi="Calibri"/>
          <w:color w:val="373A37"/>
          <w:sz w:val="22"/>
          <w:szCs w:val="28"/>
        </w:rPr>
        <w:t xml:space="preserve">The platform onboards many independent artisan vendors, each managing their own storefront and </w:t>
      </w:r>
      <w:proofErr w:type="spellStart"/>
      <w:r w:rsidRPr="005D3810">
        <w:rPr>
          <w:rFonts w:ascii="Calibri" w:eastAsia="Calibri" w:hAnsi="Calibri"/>
          <w:color w:val="373A37"/>
          <w:sz w:val="22"/>
          <w:szCs w:val="28"/>
        </w:rPr>
        <w:t>catalog</w:t>
      </w:r>
      <w:proofErr w:type="spellEnd"/>
      <w:r w:rsidRPr="005D3810">
        <w:rPr>
          <w:rFonts w:ascii="Calibri" w:eastAsia="Calibri" w:hAnsi="Calibri"/>
          <w:color w:val="373A37"/>
          <w:sz w:val="22"/>
          <w:szCs w:val="28"/>
        </w:rPr>
        <w:t xml:space="preserve">. If the Vendor Account Service or a payout job slows down or fails for one vendor, a microservices split ensures the </w:t>
      </w:r>
      <w:proofErr w:type="spellStart"/>
      <w:r w:rsidRPr="005D3810">
        <w:rPr>
          <w:rFonts w:ascii="Calibri" w:eastAsia="Calibri" w:hAnsi="Calibri"/>
          <w:color w:val="373A37"/>
          <w:sz w:val="22"/>
          <w:szCs w:val="28"/>
        </w:rPr>
        <w:t>Catalog</w:t>
      </w:r>
      <w:proofErr w:type="spellEnd"/>
      <w:r w:rsidRPr="005D3810">
        <w:rPr>
          <w:rFonts w:ascii="Calibri" w:eastAsia="Calibri" w:hAnsi="Calibri"/>
          <w:color w:val="373A37"/>
          <w:sz w:val="22"/>
          <w:szCs w:val="28"/>
        </w:rPr>
        <w:t xml:space="preserve"> and Shopping Cart services keep functioning normally for shoppers, rather than an issue in one vendor's data bringing down browsing and checkout platform-wide, as could happen in a tightly coupled monolith or layered design.</w:t>
      </w:r>
    </w:p>
    <w:p w14:paraId="35460AA7" w14:textId="77777777" w:rsidR="005D3810" w:rsidRDefault="005D3810">
      <w:pPr>
        <w:pStyle w:val="Heading2"/>
        <w:pBdr>
          <w:bottom w:val="single" w:sz="8" w:space="2" w:color="D7E4DC"/>
        </w:pBdr>
        <w:spacing w:before="100" w:after="80" w:line="247" w:lineRule="auto"/>
        <w:rPr>
          <w:rFonts w:ascii="Trebuchet MS" w:eastAsia="Trebuchet MS" w:hAnsi="Trebuchet MS"/>
          <w:b/>
          <w:i/>
          <w:iCs/>
          <w:color w:val="156082" w:themeColor="accent1"/>
          <w:sz w:val="24"/>
          <w:szCs w:val="32"/>
        </w:rPr>
      </w:pPr>
    </w:p>
    <w:p w14:paraId="40D0435B" w14:textId="1646CD7E" w:rsidR="00577BD3" w:rsidRPr="005D3810" w:rsidRDefault="00000000">
      <w:pPr>
        <w:pStyle w:val="Heading2"/>
        <w:pBdr>
          <w:bottom w:val="single" w:sz="8" w:space="2" w:color="D7E4DC"/>
        </w:pBdr>
        <w:spacing w:before="100" w:after="80" w:line="247" w:lineRule="auto"/>
        <w:rPr>
          <w:i/>
          <w:iCs/>
          <w:color w:val="156082" w:themeColor="accent1"/>
          <w:sz w:val="32"/>
          <w:szCs w:val="32"/>
        </w:rPr>
      </w:pPr>
      <w:r w:rsidRPr="005D3810">
        <w:rPr>
          <w:rFonts w:ascii="Trebuchet MS" w:eastAsia="Trebuchet MS" w:hAnsi="Trebuchet MS"/>
          <w:b/>
          <w:i/>
          <w:iCs/>
          <w:color w:val="156082" w:themeColor="accent1"/>
          <w:sz w:val="24"/>
          <w:szCs w:val="32"/>
        </w:rPr>
        <w:t>Security Advantage</w:t>
      </w:r>
    </w:p>
    <w:p w14:paraId="10B4DB05" w14:textId="77777777" w:rsidR="00577BD3" w:rsidRPr="005D3810" w:rsidRDefault="00000000">
      <w:pPr>
        <w:spacing w:before="100" w:after="80" w:line="247" w:lineRule="auto"/>
        <w:rPr>
          <w:sz w:val="24"/>
          <w:szCs w:val="24"/>
        </w:rPr>
      </w:pPr>
      <w:r w:rsidRPr="005D3810">
        <w:rPr>
          <w:rFonts w:ascii="Calibri" w:eastAsia="Calibri" w:hAnsi="Calibri"/>
          <w:color w:val="373A37"/>
          <w:sz w:val="22"/>
          <w:szCs w:val="28"/>
        </w:rPr>
        <w:t xml:space="preserve">Splitting the Payment &amp; Payout Service into its own microservice allows it to be deployed in a restricted, </w:t>
      </w:r>
      <w:proofErr w:type="gramStart"/>
      <w:r w:rsidRPr="005D3810">
        <w:rPr>
          <w:rFonts w:ascii="Calibri" w:eastAsia="Calibri" w:hAnsi="Calibri"/>
          <w:color w:val="373A37"/>
          <w:sz w:val="22"/>
          <w:szCs w:val="28"/>
        </w:rPr>
        <w:t>separately-secured</w:t>
      </w:r>
      <w:proofErr w:type="gramEnd"/>
      <w:r w:rsidRPr="005D3810">
        <w:rPr>
          <w:rFonts w:ascii="Calibri" w:eastAsia="Calibri" w:hAnsi="Calibri"/>
          <w:color w:val="373A37"/>
          <w:sz w:val="22"/>
          <w:szCs w:val="28"/>
        </w:rPr>
        <w:t xml:space="preserve"> network segment with a minimal, tightly controlled set of interfaces (handling commission deductions and vendor payouts). This limits the blast radius: a vulnerability in the public-facing, image-heavy </w:t>
      </w:r>
      <w:proofErr w:type="spellStart"/>
      <w:r w:rsidRPr="005D3810">
        <w:rPr>
          <w:rFonts w:ascii="Calibri" w:eastAsia="Calibri" w:hAnsi="Calibri"/>
          <w:color w:val="373A37"/>
          <w:sz w:val="22"/>
          <w:szCs w:val="28"/>
        </w:rPr>
        <w:t>Catalog</w:t>
      </w:r>
      <w:proofErr w:type="spellEnd"/>
      <w:r w:rsidRPr="005D3810">
        <w:rPr>
          <w:rFonts w:ascii="Calibri" w:eastAsia="Calibri" w:hAnsi="Calibri"/>
          <w:color w:val="373A37"/>
          <w:sz w:val="22"/>
          <w:szCs w:val="28"/>
        </w:rPr>
        <w:t xml:space="preserve"> Service cannot directly reach payment credentials, vendor bank details, or payout logic, since that sensitive data never leaves the isolated payment service boundary.</w:t>
      </w:r>
    </w:p>
    <w:p w14:paraId="16E72260" w14:textId="77777777" w:rsidR="005D3810" w:rsidRDefault="005D3810">
      <w:pPr>
        <w:pStyle w:val="Heading2"/>
        <w:pBdr>
          <w:bottom w:val="single" w:sz="8" w:space="2" w:color="D7E4DC"/>
        </w:pBdr>
        <w:spacing w:before="100" w:after="80" w:line="247" w:lineRule="auto"/>
        <w:rPr>
          <w:rFonts w:ascii="Trebuchet MS" w:eastAsia="Trebuchet MS" w:hAnsi="Trebuchet MS"/>
          <w:b/>
          <w:i/>
          <w:iCs/>
          <w:color w:val="156082" w:themeColor="accent1"/>
          <w:sz w:val="24"/>
          <w:szCs w:val="32"/>
        </w:rPr>
      </w:pPr>
    </w:p>
    <w:p w14:paraId="054303F2" w14:textId="5B138521" w:rsidR="00577BD3" w:rsidRPr="005D3810" w:rsidRDefault="00000000">
      <w:pPr>
        <w:pStyle w:val="Heading2"/>
        <w:pBdr>
          <w:bottom w:val="single" w:sz="8" w:space="2" w:color="D7E4DC"/>
        </w:pBdr>
        <w:spacing w:before="100" w:after="80" w:line="247" w:lineRule="auto"/>
        <w:rPr>
          <w:i/>
          <w:iCs/>
          <w:color w:val="156082" w:themeColor="accent1"/>
          <w:sz w:val="32"/>
          <w:szCs w:val="32"/>
        </w:rPr>
      </w:pPr>
      <w:r w:rsidRPr="005D3810">
        <w:rPr>
          <w:rFonts w:ascii="Trebuchet MS" w:eastAsia="Trebuchet MS" w:hAnsi="Trebuchet MS"/>
          <w:b/>
          <w:i/>
          <w:iCs/>
          <w:color w:val="156082" w:themeColor="accent1"/>
          <w:sz w:val="24"/>
          <w:szCs w:val="32"/>
        </w:rPr>
        <w:t>Performance Benefit</w:t>
      </w:r>
    </w:p>
    <w:p w14:paraId="76FB0612" w14:textId="77777777" w:rsidR="00577BD3" w:rsidRPr="005D3810" w:rsidRDefault="00000000">
      <w:pPr>
        <w:spacing w:before="100" w:after="80" w:line="247" w:lineRule="auto"/>
        <w:rPr>
          <w:sz w:val="24"/>
          <w:szCs w:val="24"/>
        </w:rPr>
      </w:pPr>
      <w:r w:rsidRPr="005D3810">
        <w:rPr>
          <w:rFonts w:ascii="Calibri" w:eastAsia="Calibri" w:hAnsi="Calibri"/>
          <w:color w:val="373A37"/>
          <w:sz w:val="22"/>
          <w:szCs w:val="28"/>
        </w:rPr>
        <w:t xml:space="preserve">Because the </w:t>
      </w:r>
      <w:proofErr w:type="spellStart"/>
      <w:r w:rsidRPr="005D3810">
        <w:rPr>
          <w:rFonts w:ascii="Calibri" w:eastAsia="Calibri" w:hAnsi="Calibri"/>
          <w:color w:val="373A37"/>
          <w:sz w:val="22"/>
          <w:szCs w:val="28"/>
        </w:rPr>
        <w:t>Catalog</w:t>
      </w:r>
      <w:proofErr w:type="spellEnd"/>
      <w:r w:rsidRPr="005D3810">
        <w:rPr>
          <w:rFonts w:ascii="Calibri" w:eastAsia="Calibri" w:hAnsi="Calibri"/>
          <w:color w:val="373A37"/>
          <w:sz w:val="22"/>
          <w:szCs w:val="28"/>
        </w:rPr>
        <w:t xml:space="preserve"> Service is deployed independently, it can apply its own CDN edge caching, image-optimisation pipeline, and </w:t>
      </w:r>
      <w:proofErr w:type="gramStart"/>
      <w:r w:rsidRPr="005D3810">
        <w:rPr>
          <w:rFonts w:ascii="Calibri" w:eastAsia="Calibri" w:hAnsi="Calibri"/>
          <w:color w:val="373A37"/>
          <w:sz w:val="22"/>
          <w:szCs w:val="28"/>
        </w:rPr>
        <w:t>horizontally-scaled</w:t>
      </w:r>
      <w:proofErr w:type="gramEnd"/>
      <w:r w:rsidRPr="005D3810">
        <w:rPr>
          <w:rFonts w:ascii="Calibri" w:eastAsia="Calibri" w:hAnsi="Calibri"/>
          <w:color w:val="373A37"/>
          <w:sz w:val="22"/>
          <w:szCs w:val="28"/>
        </w:rPr>
        <w:t xml:space="preserve"> read replicas purely for browsing traffic, meeting the sub-500 </w:t>
      </w:r>
      <w:proofErr w:type="spellStart"/>
      <w:r w:rsidRPr="005D3810">
        <w:rPr>
          <w:rFonts w:ascii="Calibri" w:eastAsia="Calibri" w:hAnsi="Calibri"/>
          <w:color w:val="373A37"/>
          <w:sz w:val="22"/>
          <w:szCs w:val="28"/>
        </w:rPr>
        <w:t>ms</w:t>
      </w:r>
      <w:proofErr w:type="spellEnd"/>
      <w:r w:rsidRPr="005D3810">
        <w:rPr>
          <w:rFonts w:ascii="Calibri" w:eastAsia="Calibri" w:hAnsi="Calibri"/>
          <w:color w:val="373A37"/>
          <w:sz w:val="22"/>
          <w:szCs w:val="28"/>
        </w:rPr>
        <w:t xml:space="preserve"> NFR-001 target without being slowed down by the heavier, synchronous work of order creation and payment splitting that happens in the Order Management and Payment &amp; Payout services.</w:t>
      </w:r>
    </w:p>
    <w:sectPr w:rsidR="00577BD3" w:rsidRPr="005D3810">
      <w:headerReference w:type="default" r:id="rId7"/>
      <w:footerReference w:type="default" r:id="rId8"/>
      <w:pgSz w:w="12240" w:h="15840"/>
      <w:pgMar w:top="979" w:right="1123" w:bottom="979" w:left="112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3D2C4" w14:textId="77777777" w:rsidR="00CC46C3" w:rsidRDefault="00CC46C3">
      <w:r>
        <w:separator/>
      </w:r>
    </w:p>
  </w:endnote>
  <w:endnote w:type="continuationSeparator" w:id="0">
    <w:p w14:paraId="0B014699" w14:textId="77777777" w:rsidR="00CC46C3" w:rsidRDefault="00CC4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DF19" w14:textId="1B27C08E" w:rsidR="00577BD3" w:rsidRDefault="00577BD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4A840" w14:textId="77777777" w:rsidR="00CC46C3" w:rsidRDefault="00CC46C3">
      <w:r>
        <w:separator/>
      </w:r>
    </w:p>
  </w:footnote>
  <w:footnote w:type="continuationSeparator" w:id="0">
    <w:p w14:paraId="4373A4E9" w14:textId="77777777" w:rsidR="00CC46C3" w:rsidRDefault="00CC4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B07F" w14:textId="276D46B8" w:rsidR="00577BD3" w:rsidRDefault="00577BD3" w:rsidP="005D3810">
    <w:pPr>
      <w:pBdr>
        <w:bottom w:val="single" w:sz="12" w:space="3" w:color="AFC9BA"/>
      </w:pBdr>
      <w:tabs>
        <w:tab w:val="left" w:pos="31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47EB0"/>
    <w:multiLevelType w:val="hybridMultilevel"/>
    <w:tmpl w:val="877E85C6"/>
    <w:lvl w:ilvl="0" w:tplc="8F9CE26A">
      <w:start w:val="1"/>
      <w:numFmt w:val="bullet"/>
      <w:lvlText w:val="●"/>
      <w:lvlJc w:val="left"/>
      <w:pPr>
        <w:ind w:left="720" w:hanging="360"/>
      </w:pPr>
    </w:lvl>
    <w:lvl w:ilvl="1" w:tplc="8E9C8506">
      <w:start w:val="1"/>
      <w:numFmt w:val="bullet"/>
      <w:lvlText w:val="○"/>
      <w:lvlJc w:val="left"/>
      <w:pPr>
        <w:ind w:left="1440" w:hanging="360"/>
      </w:pPr>
    </w:lvl>
    <w:lvl w:ilvl="2" w:tplc="A19434BC">
      <w:start w:val="1"/>
      <w:numFmt w:val="bullet"/>
      <w:lvlText w:val="■"/>
      <w:lvlJc w:val="left"/>
      <w:pPr>
        <w:ind w:left="2160" w:hanging="360"/>
      </w:pPr>
    </w:lvl>
    <w:lvl w:ilvl="3" w:tplc="96108DD4">
      <w:start w:val="1"/>
      <w:numFmt w:val="bullet"/>
      <w:lvlText w:val="●"/>
      <w:lvlJc w:val="left"/>
      <w:pPr>
        <w:ind w:left="2880" w:hanging="360"/>
      </w:pPr>
    </w:lvl>
    <w:lvl w:ilvl="4" w:tplc="799E4842">
      <w:start w:val="1"/>
      <w:numFmt w:val="bullet"/>
      <w:lvlText w:val="○"/>
      <w:lvlJc w:val="left"/>
      <w:pPr>
        <w:ind w:left="3600" w:hanging="360"/>
      </w:pPr>
    </w:lvl>
    <w:lvl w:ilvl="5" w:tplc="A3765A0A">
      <w:start w:val="1"/>
      <w:numFmt w:val="bullet"/>
      <w:lvlText w:val="■"/>
      <w:lvlJc w:val="left"/>
      <w:pPr>
        <w:ind w:left="4320" w:hanging="360"/>
      </w:pPr>
    </w:lvl>
    <w:lvl w:ilvl="6" w:tplc="B90A4AB4">
      <w:start w:val="1"/>
      <w:numFmt w:val="bullet"/>
      <w:lvlText w:val="●"/>
      <w:lvlJc w:val="left"/>
      <w:pPr>
        <w:ind w:left="5040" w:hanging="360"/>
      </w:pPr>
    </w:lvl>
    <w:lvl w:ilvl="7" w:tplc="696244F2">
      <w:start w:val="1"/>
      <w:numFmt w:val="bullet"/>
      <w:lvlText w:val="●"/>
      <w:lvlJc w:val="left"/>
      <w:pPr>
        <w:ind w:left="5760" w:hanging="360"/>
      </w:pPr>
    </w:lvl>
    <w:lvl w:ilvl="8" w:tplc="660A14DC">
      <w:start w:val="1"/>
      <w:numFmt w:val="bullet"/>
      <w:lvlText w:val="●"/>
      <w:lvlJc w:val="left"/>
      <w:pPr>
        <w:ind w:left="6480" w:hanging="360"/>
      </w:pPr>
    </w:lvl>
  </w:abstractNum>
  <w:num w:numId="1" w16cid:durableId="1347948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BD3"/>
    <w:rsid w:val="00577BD3"/>
    <w:rsid w:val="005D3810"/>
    <w:rsid w:val="0070286D"/>
    <w:rsid w:val="00CC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496C"/>
  <w15:docId w15:val="{42BBB7E4-66CC-4DB4-958E-67B3D055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38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810"/>
  </w:style>
  <w:style w:type="paragraph" w:styleId="Footer">
    <w:name w:val="footer"/>
    <w:basedOn w:val="Normal"/>
    <w:link w:val="FooterChar"/>
    <w:uiPriority w:val="99"/>
    <w:unhideWhenUsed/>
    <w:rsid w:val="005D38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TJ</cp:lastModifiedBy>
  <cp:revision>2</cp:revision>
  <dcterms:created xsi:type="dcterms:W3CDTF">2026-09-10T16:20:00Z</dcterms:created>
  <dcterms:modified xsi:type="dcterms:W3CDTF">2026-09-10T16:38:00Z</dcterms:modified>
</cp:coreProperties>
</file>