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5FB4"/>
          <w:sz w:val="19"/>
        </w:rPr>
        <w:t>KLE TECHNOLOGICAL UNIVERSITY, HUBBALLI  |  SCHOOL OF COMPUTER SCIENCE &amp; ENGINEERING</w:t>
      </w:r>
    </w:p>
    <w:p>
      <w:pPr>
        <w:keepNext/>
        <w:spacing w:before="80" w:after="40"/>
      </w:pPr>
      <w:r>
        <w:rPr>
          <w:rFonts w:ascii="Calibri" w:hAnsi="Calibri"/>
          <w:b/>
          <w:color w:val="0A2540"/>
          <w:sz w:val="40"/>
        </w:rPr>
        <w:t>Senior Design Project (SDP) — Review 2</w:t>
        <w:br/>
      </w:r>
      <w:r>
        <w:rPr>
          <w:rFonts w:ascii="Calibri" w:hAnsi="Calibri"/>
          <w:b/>
          <w:color w:val="2563EB"/>
          <w:sz w:val="28"/>
        </w:rPr>
        <w:t>Slide-by-Slide Technical Explanation &amp; Oral Defense Guide</w:t>
      </w:r>
    </w:p>
    <w:tbl>
      <w:tblPr>
        <w:tblW w:type="auto" w:w="0"/>
        <w:jc w:val="center"/>
        <w:tblLook w:firstColumn="1" w:firstRow="1" w:lastColumn="0" w:lastRow="0" w:noHBand="0" w:noVBand="1" w:val="04A0"/>
      </w:tblPr>
      <w:tblGrid>
        <w:gridCol w:w="9360"/>
      </w:tblGrid>
      <w:tr>
        <w:tc>
          <w:tcPr>
            <w:tcW w:type="dxa" w:w="9360"/>
            <w:shd w:fill="F0F7FF"/>
            <w:tcBorders>
              <w:top w:val="none"/>
              <w:left w:val="single" w:sz="36" w:space="0" w:color="0A2540"/>
              <w:bottom w:val="none"/>
              <w:right w:val="none"/>
            </w:tcBorders>
            <w:tcMar>
              <w:top w:w="100" w:type="dxa"/>
              <w:bottom w:w="100" w:type="dxa"/>
              <w:left w:w="160" w:type="dxa"/>
              <w:right w:w="140" w:type="dxa"/>
            </w:tcMar>
          </w:tcPr>
          <w:p>
            <w:pPr>
              <w:spacing w:before="0" w:after="0"/>
            </w:pPr>
            <w:r>
              <w:rPr>
                <w:b/>
                <w:color w:val="0A2540"/>
                <w:sz w:val="19"/>
              </w:rPr>
              <w:t xml:space="preserve">PROJECT TITLE: </w:t>
            </w:r>
            <w:r>
              <w:rPr>
                <w:b/>
                <w:i/>
                <w:color w:val="1A5FB4"/>
                <w:sz w:val="21"/>
              </w:rPr>
              <w:t>Privacy-Preserving Federated Generative Replay for Rare Disease Diagnosis: A Multi-Center Study on Idiopathic Pulmonary Fibrosis (IPF)</w:t>
            </w:r>
          </w:p>
        </w:tc>
      </w:tr>
    </w:tbl>
    <w:p>
      <w:pPr>
        <w:spacing w:after="40"/>
      </w:pPr>
    </w:p>
    <w:tbl>
      <w:tblPr>
        <w:tblW w:type="auto" w:w="0"/>
        <w:jc w:val="center"/>
        <w:tblLayout w:type="fixed"/>
        <w:tblLook w:firstColumn="1" w:firstRow="1" w:lastColumn="0" w:lastRow="0" w:noHBand="0" w:noVBand="1" w:val="04A0"/>
        <w:tblBorders>
          <w:top w:val="single" w:sz="8" w:space="0" w:color="CBD5E1"/>
          <w:bottom w:val="single" w:sz="8" w:space="0" w:color="CBD5E1"/>
          <w:insideH w:val="single" w:sz="4" w:space="0" w:color="CBD5E1"/>
          <w:left w:val="none"/>
          <w:right w:val="none"/>
          <w:insideV w:val="none"/>
        </w:tblBorders>
      </w:tblPr>
      <w:tblGrid>
        <w:gridCol w:w="4680"/>
        <w:gridCol w:w="4680"/>
      </w:tblGrid>
      <w:tr>
        <w:trPr>
          <w:tblHeader/>
          <w:cantSplit/>
        </w:trPr>
        <w:tc>
          <w:tcPr>
            <w:tcW w:type="dxa" w:w="3168"/>
            <w:shd w:fill="1A5FB4"/>
            <w:tcMar>
              <w:top w:w="100" w:type="dxa"/>
              <w:bottom w:w="100" w:type="dxa"/>
              <w:left w:w="120" w:type="dxa"/>
              <w:right w:w="120" w:type="dxa"/>
            </w:tcMar>
            <w:vAlign w:val="center"/>
          </w:tcPr>
          <w:p>
            <w:pPr>
              <w:spacing w:before="0" w:after="0"/>
              <w:jc w:val="left"/>
            </w:pPr>
            <w:r>
              <w:rPr>
                <w:rFonts w:ascii="Calibri" w:hAnsi="Calibri"/>
                <w:b/>
                <w:color w:val="FFFFFF"/>
                <w:sz w:val="18"/>
              </w:rPr>
              <w:t>Project Attribute</w:t>
            </w:r>
          </w:p>
        </w:tc>
        <w:tc>
          <w:tcPr>
            <w:tcW w:type="dxa" w:w="6192"/>
            <w:shd w:fill="1A5FB4"/>
            <w:tcMar>
              <w:top w:w="100" w:type="dxa"/>
              <w:bottom w:w="100" w:type="dxa"/>
              <w:left w:w="120" w:type="dxa"/>
              <w:right w:w="120" w:type="dxa"/>
            </w:tcMar>
            <w:vAlign w:val="center"/>
          </w:tcPr>
          <w:p>
            <w:pPr>
              <w:spacing w:before="0" w:after="0"/>
              <w:jc w:val="left"/>
            </w:pPr>
            <w:r>
              <w:rPr>
                <w:rFonts w:ascii="Calibri" w:hAnsi="Calibri"/>
                <w:b/>
                <w:color w:val="FFFFFF"/>
                <w:sz w:val="18"/>
              </w:rPr>
              <w:t>Specification Details</w:t>
            </w:r>
          </w:p>
        </w:tc>
      </w:tr>
      <w:tr>
        <w:trPr>
          <w:cantSplit/>
        </w:trPr>
        <w:tc>
          <w:tcPr>
            <w:tcW w:type="dxa" w:w="3168"/>
            <w:shd w:fill="FFFFFF"/>
            <w:tcMar>
              <w:top w:w="80" w:type="dxa"/>
              <w:bottom w:w="80" w:type="dxa"/>
              <w:left w:w="120" w:type="dxa"/>
              <w:right w:w="120" w:type="dxa"/>
            </w:tcMar>
            <w:vAlign w:val="center"/>
          </w:tcPr>
          <w:p>
            <w:pPr>
              <w:spacing w:before="0" w:after="0" w:line="264" w:lineRule="auto"/>
              <w:jc w:val="left"/>
            </w:pPr>
            <w:r>
              <w:rPr>
                <w:rFonts w:ascii="Calibri" w:hAnsi="Calibri"/>
                <w:b/>
                <w:color w:val="1E293B"/>
                <w:sz w:val="18"/>
              </w:rPr>
              <w:t>Team Identification</w:t>
            </w:r>
          </w:p>
        </w:tc>
        <w:tc>
          <w:tcPr>
            <w:tcW w:type="dxa" w:w="6192"/>
            <w:shd w:fill="FFFFFF"/>
            <w:tcMar>
              <w:top w:w="80" w:type="dxa"/>
              <w:bottom w:w="80" w:type="dxa"/>
              <w:left w:w="120" w:type="dxa"/>
              <w:right w:w="120" w:type="dxa"/>
            </w:tcMar>
            <w:vAlign w:val="center"/>
          </w:tcPr>
          <w:p>
            <w:pPr>
              <w:spacing w:before="0" w:after="0" w:line="264" w:lineRule="auto"/>
              <w:jc w:val="left"/>
            </w:pPr>
            <w:r>
              <w:rPr>
                <w:rFonts w:ascii="Calibri" w:hAnsi="Calibri"/>
                <w:b/>
                <w:color w:val="1E293B"/>
                <w:sz w:val="18"/>
              </w:rPr>
              <w:t>Team 48</w:t>
            </w:r>
            <w:r>
              <w:rPr>
                <w:rFonts w:ascii="Calibri" w:hAnsi="Calibri"/>
                <w:i w:val="0"/>
                <w:color w:val="1E293B"/>
                <w:sz w:val="18"/>
              </w:rPr>
              <w:t xml:space="preserve"> (Semester VII — Senior Design Project)</w:t>
            </w:r>
          </w:p>
        </w:tc>
      </w:tr>
      <w:tr>
        <w:trPr>
          <w:cantSplit/>
        </w:trPr>
        <w:tc>
          <w:tcPr>
            <w:tcW w:type="dxa" w:w="3168"/>
            <w:shd w:fill="F8FAFC"/>
            <w:tcMar>
              <w:top w:w="80" w:type="dxa"/>
              <w:bottom w:w="80" w:type="dxa"/>
              <w:left w:w="120" w:type="dxa"/>
              <w:right w:w="120" w:type="dxa"/>
            </w:tcMar>
            <w:vAlign w:val="center"/>
          </w:tcPr>
          <w:p>
            <w:pPr>
              <w:spacing w:before="0" w:after="0" w:line="264" w:lineRule="auto"/>
              <w:jc w:val="left"/>
            </w:pPr>
            <w:r>
              <w:rPr>
                <w:rFonts w:ascii="Calibri" w:hAnsi="Calibri"/>
                <w:b/>
                <w:color w:val="1E293B"/>
                <w:sz w:val="18"/>
              </w:rPr>
              <w:t>Course Details</w:t>
            </w:r>
          </w:p>
        </w:tc>
        <w:tc>
          <w:tcPr>
            <w:tcW w:type="dxa" w:w="6192"/>
            <w:shd w:fill="F8FAFC"/>
            <w:tcMar>
              <w:top w:w="80" w:type="dxa"/>
              <w:bottom w:w="80" w:type="dxa"/>
              <w:left w:w="120" w:type="dxa"/>
              <w:right w:w="120" w:type="dxa"/>
            </w:tcMar>
            <w:vAlign w:val="center"/>
          </w:tcPr>
          <w:p>
            <w:pPr>
              <w:spacing w:before="0" w:after="0" w:line="264" w:lineRule="auto"/>
              <w:jc w:val="left"/>
            </w:pPr>
            <w:r>
              <w:rPr>
                <w:rFonts w:ascii="Calibri" w:hAnsi="Calibri"/>
                <w:b/>
                <w:color w:val="1E293B"/>
                <w:sz w:val="18"/>
              </w:rPr>
              <w:t>Course Code:</w:t>
            </w:r>
            <w:r>
              <w:rPr>
                <w:rFonts w:ascii="Calibri" w:hAnsi="Calibri"/>
                <w:i w:val="0"/>
                <w:color w:val="1E293B"/>
                <w:sz w:val="18"/>
              </w:rPr>
              <w:t xml:space="preserve"> 22ECAW401 | </w:t>
            </w:r>
            <w:r>
              <w:rPr>
                <w:rFonts w:ascii="Calibri" w:hAnsi="Calibri"/>
                <w:b/>
                <w:color w:val="1E293B"/>
                <w:sz w:val="18"/>
              </w:rPr>
              <w:t>Academic Year:</w:t>
            </w:r>
            <w:r>
              <w:rPr>
                <w:rFonts w:ascii="Calibri" w:hAnsi="Calibri"/>
                <w:i w:val="0"/>
                <w:color w:val="1E293B"/>
                <w:sz w:val="18"/>
              </w:rPr>
              <w:t xml:space="preserve"> 2026–2027</w:t>
            </w:r>
          </w:p>
        </w:tc>
      </w:tr>
      <w:tr>
        <w:trPr>
          <w:cantSplit/>
        </w:trPr>
        <w:tc>
          <w:tcPr>
            <w:tcW w:type="dxa" w:w="3168"/>
            <w:shd w:fill="FFFFFF"/>
            <w:tcMar>
              <w:top w:w="80" w:type="dxa"/>
              <w:bottom w:w="80" w:type="dxa"/>
              <w:left w:w="120" w:type="dxa"/>
              <w:right w:w="120" w:type="dxa"/>
            </w:tcMar>
            <w:vAlign w:val="center"/>
          </w:tcPr>
          <w:p>
            <w:pPr>
              <w:spacing w:before="0" w:after="0" w:line="264" w:lineRule="auto"/>
              <w:jc w:val="left"/>
            </w:pPr>
            <w:r>
              <w:rPr>
                <w:rFonts w:ascii="Calibri" w:hAnsi="Calibri"/>
                <w:b/>
                <w:color w:val="1E293B"/>
                <w:sz w:val="18"/>
              </w:rPr>
              <w:t>Project Guide</w:t>
            </w:r>
          </w:p>
        </w:tc>
        <w:tc>
          <w:tcPr>
            <w:tcW w:type="dxa" w:w="6192"/>
            <w:shd w:fill="FFFFFF"/>
            <w:tcMar>
              <w:top w:w="80" w:type="dxa"/>
              <w:bottom w:w="80" w:type="dxa"/>
              <w:left w:w="120" w:type="dxa"/>
              <w:right w:w="120" w:type="dxa"/>
            </w:tcMar>
            <w:vAlign w:val="center"/>
          </w:tcPr>
          <w:p>
            <w:pPr>
              <w:spacing w:before="0" w:after="0" w:line="264" w:lineRule="auto"/>
              <w:jc w:val="left"/>
            </w:pPr>
            <w:r>
              <w:rPr>
                <w:rFonts w:ascii="Calibri" w:hAnsi="Calibri"/>
                <w:b/>
                <w:color w:val="1E293B"/>
                <w:sz w:val="18"/>
              </w:rPr>
              <w:t>Prof. Mallikarjun Akki</w:t>
            </w:r>
            <w:r>
              <w:rPr>
                <w:rFonts w:ascii="Calibri" w:hAnsi="Calibri"/>
                <w:i w:val="0"/>
                <w:color w:val="1E293B"/>
                <w:sz w:val="18"/>
              </w:rPr>
              <w:t>, Department of CSE, KLE Tech</w:t>
            </w:r>
          </w:p>
        </w:tc>
      </w:tr>
      <w:tr>
        <w:trPr>
          <w:cantSplit/>
        </w:trPr>
        <w:tc>
          <w:tcPr>
            <w:tcW w:type="dxa" w:w="3168"/>
            <w:shd w:fill="F8FAFC"/>
            <w:tcMar>
              <w:top w:w="80" w:type="dxa"/>
              <w:bottom w:w="80" w:type="dxa"/>
              <w:left w:w="120" w:type="dxa"/>
              <w:right w:w="120" w:type="dxa"/>
            </w:tcMar>
            <w:vAlign w:val="center"/>
          </w:tcPr>
          <w:p>
            <w:pPr>
              <w:spacing w:before="0" w:after="0" w:line="264" w:lineRule="auto"/>
              <w:jc w:val="left"/>
            </w:pPr>
            <w:r>
              <w:rPr>
                <w:rFonts w:ascii="Calibri" w:hAnsi="Calibri"/>
                <w:b/>
                <w:color w:val="1E293B"/>
                <w:sz w:val="18"/>
              </w:rPr>
              <w:t>Institutional Body</w:t>
            </w:r>
          </w:p>
        </w:tc>
        <w:tc>
          <w:tcPr>
            <w:tcW w:type="dxa" w:w="6192"/>
            <w:shd w:fill="F8FAFC"/>
            <w:tcMar>
              <w:top w:w="80" w:type="dxa"/>
              <w:bottom w:w="80" w:type="dxa"/>
              <w:left w:w="120" w:type="dxa"/>
              <w:right w:w="120" w:type="dxa"/>
            </w:tcMar>
            <w:vAlign w:val="center"/>
          </w:tcPr>
          <w:p>
            <w:pPr>
              <w:spacing w:before="0" w:after="0" w:line="264" w:lineRule="auto"/>
              <w:jc w:val="left"/>
            </w:pPr>
            <w:r>
              <w:rPr>
                <w:rFonts w:ascii="Calibri" w:hAnsi="Calibri"/>
                <w:i w:val="0"/>
                <w:color w:val="1E293B"/>
                <w:sz w:val="18"/>
              </w:rPr>
              <w:t>Department of Computer Science &amp; Engineering, KLE Technological University, Hubballi</w:t>
            </w:r>
          </w:p>
        </w:tc>
      </w:tr>
      <w:tr>
        <w:trPr>
          <w:cantSplit/>
        </w:trPr>
        <w:tc>
          <w:tcPr>
            <w:tcW w:type="dxa" w:w="3168"/>
            <w:shd w:fill="FFFFFF"/>
            <w:tcMar>
              <w:top w:w="80" w:type="dxa"/>
              <w:bottom w:w="80" w:type="dxa"/>
              <w:left w:w="120" w:type="dxa"/>
              <w:right w:w="120" w:type="dxa"/>
            </w:tcMar>
            <w:vAlign w:val="center"/>
          </w:tcPr>
          <w:p>
            <w:pPr>
              <w:spacing w:before="0" w:after="0" w:line="264" w:lineRule="auto"/>
              <w:jc w:val="left"/>
            </w:pPr>
            <w:r>
              <w:rPr>
                <w:rFonts w:ascii="Calibri" w:hAnsi="Calibri"/>
                <w:b/>
                <w:color w:val="1E293B"/>
                <w:sz w:val="18"/>
              </w:rPr>
              <w:t>Public Repository</w:t>
            </w:r>
          </w:p>
        </w:tc>
        <w:tc>
          <w:tcPr>
            <w:tcW w:type="dxa" w:w="6192"/>
            <w:shd w:fill="FFFFFF"/>
            <w:tcMar>
              <w:top w:w="80" w:type="dxa"/>
              <w:bottom w:w="80" w:type="dxa"/>
              <w:left w:w="120" w:type="dxa"/>
              <w:right w:w="120" w:type="dxa"/>
            </w:tcMar>
            <w:vAlign w:val="center"/>
          </w:tcPr>
          <w:p>
            <w:pPr>
              <w:spacing w:before="0" w:after="0" w:line="264" w:lineRule="auto"/>
              <w:jc w:val="left"/>
            </w:pPr>
            <w:r>
              <w:rPr>
                <w:rFonts w:ascii="Calibri" w:hAnsi="Calibri"/>
                <w:i w:val="0"/>
                <w:color w:val="1E293B"/>
                <w:sz w:val="18"/>
              </w:rPr>
              <w:t>https://github.com/Aditya-c-hu/FedGen-Rare-for-Idiopathic-Pulmonary-Fibrosis.git</w:t>
            </w:r>
          </w:p>
        </w:tc>
      </w:tr>
      <w:tr>
        <w:trPr>
          <w:cantSplit/>
        </w:trPr>
        <w:tc>
          <w:tcPr>
            <w:tcW w:type="dxa" w:w="3168"/>
            <w:shd w:fill="F8FAFC"/>
            <w:tcMar>
              <w:top w:w="80" w:type="dxa"/>
              <w:bottom w:w="80" w:type="dxa"/>
              <w:left w:w="120" w:type="dxa"/>
              <w:right w:w="120" w:type="dxa"/>
            </w:tcMar>
            <w:vAlign w:val="center"/>
          </w:tcPr>
          <w:p>
            <w:pPr>
              <w:spacing w:before="0" w:after="0" w:line="264" w:lineRule="auto"/>
              <w:jc w:val="left"/>
            </w:pPr>
            <w:r>
              <w:rPr>
                <w:rFonts w:ascii="Calibri" w:hAnsi="Calibri"/>
                <w:b/>
                <w:color w:val="1E293B"/>
                <w:sz w:val="18"/>
              </w:rPr>
              <w:t>Presentation Deck</w:t>
            </w:r>
          </w:p>
        </w:tc>
        <w:tc>
          <w:tcPr>
            <w:tcW w:type="dxa" w:w="6192"/>
            <w:shd w:fill="F8FAFC"/>
            <w:tcMar>
              <w:top w:w="80" w:type="dxa"/>
              <w:bottom w:w="80" w:type="dxa"/>
              <w:left w:w="120" w:type="dxa"/>
              <w:right w:w="120" w:type="dxa"/>
            </w:tcMar>
            <w:vAlign w:val="center"/>
          </w:tcPr>
          <w:p>
            <w:pPr>
              <w:spacing w:before="0" w:after="0" w:line="264" w:lineRule="auto"/>
              <w:jc w:val="left"/>
            </w:pPr>
            <w:r>
              <w:rPr>
                <w:rFonts w:ascii="Consolas" w:hAnsi="Consolas"/>
                <w:color w:val="2563EB"/>
                <w:sz w:val="17"/>
              </w:rPr>
              <w:t>SDP_Review2_Presentation.pptx</w:t>
            </w:r>
            <w:r>
              <w:rPr>
                <w:rFonts w:ascii="Calibri" w:hAnsi="Calibri"/>
                <w:i w:val="0"/>
                <w:color w:val="1E293B"/>
                <w:sz w:val="18"/>
              </w:rPr>
              <w:t xml:space="preserve"> (Strict 10-Slide Deck aligned to Review 2 Rubrics)</w:t>
            </w:r>
          </w:p>
        </w:tc>
      </w:tr>
    </w:tbl>
    <w:p>
      <w:pPr>
        <w:spacing w:after="80"/>
      </w:pPr>
    </w:p>
    <w:tbl>
      <w:tblPr>
        <w:tblW w:type="auto" w:w="0"/>
        <w:jc w:val="center"/>
        <w:tblLayout w:type="fixed"/>
        <w:tblLook w:firstColumn="1" w:firstRow="1" w:lastColumn="0" w:lastRow="0" w:noHBand="0" w:noVBand="1" w:val="04A0"/>
        <w:tblBorders>
          <w:top w:val="single" w:sz="8" w:space="0" w:color="CBD5E1"/>
          <w:bottom w:val="single" w:sz="8" w:space="0" w:color="CBD5E1"/>
          <w:insideH w:val="single" w:sz="4" w:space="0" w:color="CBD5E1"/>
          <w:left w:val="none"/>
          <w:right w:val="none"/>
          <w:insideV w:val="none"/>
        </w:tblBorders>
      </w:tblPr>
      <w:tblGrid>
        <w:gridCol w:w="2340"/>
        <w:gridCol w:w="2340"/>
        <w:gridCol w:w="2340"/>
        <w:gridCol w:w="2340"/>
      </w:tblGrid>
      <w:tr>
        <w:trPr>
          <w:tblHeader/>
          <w:cantSplit/>
        </w:trPr>
        <w:tc>
          <w:tcPr>
            <w:tcW w:type="dxa" w:w="2592"/>
            <w:shd w:fill="1A5FB4"/>
            <w:tcMar>
              <w:top w:w="100" w:type="dxa"/>
              <w:bottom w:w="100" w:type="dxa"/>
              <w:left w:w="120" w:type="dxa"/>
              <w:right w:w="120" w:type="dxa"/>
            </w:tcMar>
            <w:vAlign w:val="center"/>
          </w:tcPr>
          <w:p>
            <w:pPr>
              <w:spacing w:before="0" w:after="0"/>
              <w:jc w:val="left"/>
            </w:pPr>
            <w:r>
              <w:rPr>
                <w:rFonts w:ascii="Calibri" w:hAnsi="Calibri"/>
                <w:b/>
                <w:color w:val="FFFFFF"/>
                <w:sz w:val="18"/>
              </w:rPr>
              <w:t>Student Full Name</w:t>
            </w:r>
          </w:p>
        </w:tc>
        <w:tc>
          <w:tcPr>
            <w:tcW w:type="dxa" w:w="1152"/>
            <w:shd w:fill="1A5FB4"/>
            <w:tcMar>
              <w:top w:w="100" w:type="dxa"/>
              <w:bottom w:w="100" w:type="dxa"/>
              <w:left w:w="120" w:type="dxa"/>
              <w:right w:w="120" w:type="dxa"/>
            </w:tcMar>
            <w:vAlign w:val="center"/>
          </w:tcPr>
          <w:p>
            <w:pPr>
              <w:spacing w:before="0" w:after="0"/>
              <w:jc w:val="center"/>
            </w:pPr>
            <w:r>
              <w:rPr>
                <w:rFonts w:ascii="Calibri" w:hAnsi="Calibri"/>
                <w:b/>
                <w:color w:val="FFFFFF"/>
                <w:sz w:val="18"/>
              </w:rPr>
              <w:t>Roll No</w:t>
            </w:r>
          </w:p>
        </w:tc>
        <w:tc>
          <w:tcPr>
            <w:tcW w:type="dxa" w:w="2304"/>
            <w:shd w:fill="1A5FB4"/>
            <w:tcMar>
              <w:top w:w="100" w:type="dxa"/>
              <w:bottom w:w="100" w:type="dxa"/>
              <w:left w:w="120" w:type="dxa"/>
              <w:right w:w="120" w:type="dxa"/>
            </w:tcMar>
            <w:vAlign w:val="center"/>
          </w:tcPr>
          <w:p>
            <w:pPr>
              <w:spacing w:before="0" w:after="0"/>
              <w:jc w:val="center"/>
            </w:pPr>
            <w:r>
              <w:rPr>
                <w:rFonts w:ascii="Calibri" w:hAnsi="Calibri"/>
                <w:b/>
                <w:color w:val="FFFFFF"/>
                <w:sz w:val="18"/>
              </w:rPr>
              <w:t>University Seat Number (USN)</w:t>
            </w:r>
          </w:p>
        </w:tc>
        <w:tc>
          <w:tcPr>
            <w:tcW w:type="dxa" w:w="3312"/>
            <w:shd w:fill="1A5FB4"/>
            <w:tcMar>
              <w:top w:w="100" w:type="dxa"/>
              <w:bottom w:w="100" w:type="dxa"/>
              <w:left w:w="120" w:type="dxa"/>
              <w:right w:w="120" w:type="dxa"/>
            </w:tcMar>
            <w:vAlign w:val="center"/>
          </w:tcPr>
          <w:p>
            <w:pPr>
              <w:spacing w:before="0" w:after="0"/>
              <w:jc w:val="left"/>
            </w:pPr>
            <w:r>
              <w:rPr>
                <w:rFonts w:ascii="Calibri" w:hAnsi="Calibri"/>
                <w:b/>
                <w:color w:val="FFFFFF"/>
                <w:sz w:val="18"/>
              </w:rPr>
              <w:t>Assigned Project Module Focus</w:t>
            </w:r>
          </w:p>
        </w:tc>
      </w:tr>
      <w:tr>
        <w:trPr>
          <w:cantSplit/>
        </w:trPr>
        <w:tc>
          <w:tcPr>
            <w:tcW w:type="dxa" w:w="2592"/>
            <w:shd w:fill="FFFFFF"/>
            <w:tcMar>
              <w:top w:w="80" w:type="dxa"/>
              <w:bottom w:w="80" w:type="dxa"/>
              <w:left w:w="120" w:type="dxa"/>
              <w:right w:w="120" w:type="dxa"/>
            </w:tcMar>
            <w:vAlign w:val="center"/>
          </w:tcPr>
          <w:p>
            <w:pPr>
              <w:spacing w:before="0" w:after="0" w:line="264" w:lineRule="auto"/>
              <w:jc w:val="left"/>
            </w:pPr>
            <w:r>
              <w:rPr>
                <w:rFonts w:ascii="Calibri" w:hAnsi="Calibri"/>
                <w:b/>
                <w:color w:val="1E293B"/>
                <w:sz w:val="18"/>
              </w:rPr>
              <w:t>Ishwari J</w:t>
            </w:r>
          </w:p>
        </w:tc>
        <w:tc>
          <w:tcPr>
            <w:tcW w:type="dxa" w:w="1152"/>
            <w:shd w:fill="FFFFFF"/>
            <w:tcMar>
              <w:top w:w="80" w:type="dxa"/>
              <w:bottom w:w="80" w:type="dxa"/>
              <w:left w:w="120" w:type="dxa"/>
              <w:right w:w="120" w:type="dxa"/>
            </w:tcMar>
            <w:vAlign w:val="center"/>
          </w:tcPr>
          <w:p>
            <w:pPr>
              <w:spacing w:before="0" w:after="0" w:line="264" w:lineRule="auto"/>
              <w:jc w:val="center"/>
            </w:pPr>
            <w:r>
              <w:rPr>
                <w:rFonts w:ascii="Calibri" w:hAnsi="Calibri"/>
                <w:i w:val="0"/>
                <w:color w:val="1E293B"/>
                <w:sz w:val="18"/>
              </w:rPr>
              <w:t>117</w:t>
            </w:r>
          </w:p>
        </w:tc>
        <w:tc>
          <w:tcPr>
            <w:tcW w:type="dxa" w:w="2304"/>
            <w:shd w:fill="FFFFFF"/>
            <w:tcMar>
              <w:top w:w="80" w:type="dxa"/>
              <w:bottom w:w="80" w:type="dxa"/>
              <w:left w:w="120" w:type="dxa"/>
              <w:right w:w="120" w:type="dxa"/>
            </w:tcMar>
            <w:vAlign w:val="center"/>
          </w:tcPr>
          <w:p>
            <w:pPr>
              <w:spacing w:before="0" w:after="0" w:line="264" w:lineRule="auto"/>
              <w:jc w:val="center"/>
            </w:pPr>
            <w:r>
              <w:rPr>
                <w:rFonts w:ascii="Calibri" w:hAnsi="Calibri"/>
                <w:i w:val="0"/>
                <w:color w:val="1E293B"/>
                <w:sz w:val="18"/>
              </w:rPr>
              <w:t>01FE23BCS093</w:t>
            </w:r>
          </w:p>
        </w:tc>
        <w:tc>
          <w:tcPr>
            <w:tcW w:type="dxa" w:w="3312"/>
            <w:shd w:fill="FFFFFF"/>
            <w:tcMar>
              <w:top w:w="80" w:type="dxa"/>
              <w:bottom w:w="80" w:type="dxa"/>
              <w:left w:w="120" w:type="dxa"/>
              <w:right w:w="120" w:type="dxa"/>
            </w:tcMar>
            <w:vAlign w:val="center"/>
          </w:tcPr>
          <w:p>
            <w:pPr>
              <w:spacing w:before="0" w:after="0" w:line="264" w:lineRule="auto"/>
              <w:jc w:val="left"/>
            </w:pPr>
            <w:r>
              <w:rPr>
                <w:rFonts w:ascii="Calibri" w:hAnsi="Calibri"/>
                <w:i w:val="0"/>
                <w:color w:val="1E293B"/>
                <w:sz w:val="18"/>
              </w:rPr>
              <w:t>Federated Client Aggregation &amp; Baseline Loss Functions</w:t>
            </w:r>
          </w:p>
        </w:tc>
      </w:tr>
      <w:tr>
        <w:trPr>
          <w:cantSplit/>
        </w:trPr>
        <w:tc>
          <w:tcPr>
            <w:tcW w:type="dxa" w:w="2592"/>
            <w:shd w:fill="F8FAFC"/>
            <w:tcMar>
              <w:top w:w="80" w:type="dxa"/>
              <w:bottom w:w="80" w:type="dxa"/>
              <w:left w:w="120" w:type="dxa"/>
              <w:right w:w="120" w:type="dxa"/>
            </w:tcMar>
            <w:vAlign w:val="center"/>
          </w:tcPr>
          <w:p>
            <w:pPr>
              <w:spacing w:before="0" w:after="0" w:line="264" w:lineRule="auto"/>
              <w:jc w:val="left"/>
            </w:pPr>
            <w:r>
              <w:rPr>
                <w:rFonts w:ascii="Calibri" w:hAnsi="Calibri"/>
                <w:b/>
                <w:color w:val="1E293B"/>
                <w:sz w:val="18"/>
              </w:rPr>
              <w:t>Rakshita J</w:t>
            </w:r>
          </w:p>
        </w:tc>
        <w:tc>
          <w:tcPr>
            <w:tcW w:type="dxa" w:w="1152"/>
            <w:shd w:fill="F8FAFC"/>
            <w:tcMar>
              <w:top w:w="80" w:type="dxa"/>
              <w:bottom w:w="80" w:type="dxa"/>
              <w:left w:w="120" w:type="dxa"/>
              <w:right w:w="120" w:type="dxa"/>
            </w:tcMar>
            <w:vAlign w:val="center"/>
          </w:tcPr>
          <w:p>
            <w:pPr>
              <w:spacing w:before="0" w:after="0" w:line="264" w:lineRule="auto"/>
              <w:jc w:val="center"/>
            </w:pPr>
            <w:r>
              <w:rPr>
                <w:rFonts w:ascii="Calibri" w:hAnsi="Calibri"/>
                <w:i w:val="0"/>
                <w:color w:val="1E293B"/>
                <w:sz w:val="18"/>
              </w:rPr>
              <w:t>217</w:t>
            </w:r>
          </w:p>
        </w:tc>
        <w:tc>
          <w:tcPr>
            <w:tcW w:type="dxa" w:w="2304"/>
            <w:shd w:fill="F8FAFC"/>
            <w:tcMar>
              <w:top w:w="80" w:type="dxa"/>
              <w:bottom w:w="80" w:type="dxa"/>
              <w:left w:w="120" w:type="dxa"/>
              <w:right w:w="120" w:type="dxa"/>
            </w:tcMar>
            <w:vAlign w:val="center"/>
          </w:tcPr>
          <w:p>
            <w:pPr>
              <w:spacing w:before="0" w:after="0" w:line="264" w:lineRule="auto"/>
              <w:jc w:val="center"/>
            </w:pPr>
            <w:r>
              <w:rPr>
                <w:rFonts w:ascii="Calibri" w:hAnsi="Calibri"/>
                <w:i w:val="0"/>
                <w:color w:val="1E293B"/>
                <w:sz w:val="18"/>
              </w:rPr>
              <w:t>01FE23BCS082</w:t>
            </w:r>
          </w:p>
        </w:tc>
        <w:tc>
          <w:tcPr>
            <w:tcW w:type="dxa" w:w="3312"/>
            <w:shd w:fill="F8FAFC"/>
            <w:tcMar>
              <w:top w:w="80" w:type="dxa"/>
              <w:bottom w:w="80" w:type="dxa"/>
              <w:left w:w="120" w:type="dxa"/>
              <w:right w:w="120" w:type="dxa"/>
            </w:tcMar>
            <w:vAlign w:val="center"/>
          </w:tcPr>
          <w:p>
            <w:pPr>
              <w:spacing w:before="0" w:after="0" w:line="264" w:lineRule="auto"/>
              <w:jc w:val="left"/>
            </w:pPr>
            <w:r>
              <w:rPr>
                <w:rFonts w:ascii="Calibri" w:hAnsi="Calibri"/>
                <w:i w:val="0"/>
                <w:color w:val="1E293B"/>
                <w:sz w:val="18"/>
              </w:rPr>
              <w:t>Conditional Generator Distillation &amp; Latent Replay</w:t>
            </w:r>
          </w:p>
        </w:tc>
      </w:tr>
      <w:tr>
        <w:trPr>
          <w:cantSplit/>
        </w:trPr>
        <w:tc>
          <w:tcPr>
            <w:tcW w:type="dxa" w:w="2592"/>
            <w:shd w:fill="FFFFFF"/>
            <w:tcMar>
              <w:top w:w="80" w:type="dxa"/>
              <w:bottom w:w="80" w:type="dxa"/>
              <w:left w:w="120" w:type="dxa"/>
              <w:right w:w="120" w:type="dxa"/>
            </w:tcMar>
            <w:vAlign w:val="center"/>
          </w:tcPr>
          <w:p>
            <w:pPr>
              <w:spacing w:before="0" w:after="0" w:line="264" w:lineRule="auto"/>
              <w:jc w:val="left"/>
            </w:pPr>
            <w:r>
              <w:rPr>
                <w:rFonts w:ascii="Calibri" w:hAnsi="Calibri"/>
                <w:b/>
                <w:color w:val="1E293B"/>
                <w:sz w:val="18"/>
              </w:rPr>
              <w:t>Amrutavarshini B</w:t>
            </w:r>
          </w:p>
        </w:tc>
        <w:tc>
          <w:tcPr>
            <w:tcW w:type="dxa" w:w="1152"/>
            <w:shd w:fill="FFFFFF"/>
            <w:tcMar>
              <w:top w:w="80" w:type="dxa"/>
              <w:bottom w:w="80" w:type="dxa"/>
              <w:left w:w="120" w:type="dxa"/>
              <w:right w:w="120" w:type="dxa"/>
            </w:tcMar>
            <w:vAlign w:val="center"/>
          </w:tcPr>
          <w:p>
            <w:pPr>
              <w:spacing w:before="0" w:after="0" w:line="264" w:lineRule="auto"/>
              <w:jc w:val="center"/>
            </w:pPr>
            <w:r>
              <w:rPr>
                <w:rFonts w:ascii="Calibri" w:hAnsi="Calibri"/>
                <w:i w:val="0"/>
                <w:color w:val="1E293B"/>
                <w:sz w:val="18"/>
              </w:rPr>
              <w:t>219</w:t>
            </w:r>
          </w:p>
        </w:tc>
        <w:tc>
          <w:tcPr>
            <w:tcW w:type="dxa" w:w="2304"/>
            <w:shd w:fill="FFFFFF"/>
            <w:tcMar>
              <w:top w:w="80" w:type="dxa"/>
              <w:bottom w:w="80" w:type="dxa"/>
              <w:left w:w="120" w:type="dxa"/>
              <w:right w:w="120" w:type="dxa"/>
            </w:tcMar>
            <w:vAlign w:val="center"/>
          </w:tcPr>
          <w:p>
            <w:pPr>
              <w:spacing w:before="0" w:after="0" w:line="264" w:lineRule="auto"/>
              <w:jc w:val="center"/>
            </w:pPr>
            <w:r>
              <w:rPr>
                <w:rFonts w:ascii="Calibri" w:hAnsi="Calibri"/>
                <w:i w:val="0"/>
                <w:color w:val="1E293B"/>
                <w:sz w:val="18"/>
              </w:rPr>
              <w:t>01FE23BCI024</w:t>
            </w:r>
          </w:p>
        </w:tc>
        <w:tc>
          <w:tcPr>
            <w:tcW w:type="dxa" w:w="3312"/>
            <w:shd w:fill="FFFFFF"/>
            <w:tcMar>
              <w:top w:w="80" w:type="dxa"/>
              <w:bottom w:w="80" w:type="dxa"/>
              <w:left w:w="120" w:type="dxa"/>
              <w:right w:w="120" w:type="dxa"/>
            </w:tcMar>
            <w:vAlign w:val="center"/>
          </w:tcPr>
          <w:p>
            <w:pPr>
              <w:spacing w:before="0" w:after="0" w:line="264" w:lineRule="auto"/>
              <w:jc w:val="left"/>
            </w:pPr>
            <w:r>
              <w:rPr>
                <w:rFonts w:ascii="Calibri" w:hAnsi="Calibri"/>
                <w:i w:val="0"/>
                <w:color w:val="1E293B"/>
                <w:sz w:val="18"/>
              </w:rPr>
              <w:t>Synthetic HRCT Dataset Generation &amp; Metric Benchmarking</w:t>
            </w:r>
          </w:p>
        </w:tc>
      </w:tr>
      <w:tr>
        <w:trPr>
          <w:cantSplit/>
        </w:trPr>
        <w:tc>
          <w:tcPr>
            <w:tcW w:type="dxa" w:w="2592"/>
            <w:shd w:fill="F8FAFC"/>
            <w:tcMar>
              <w:top w:w="80" w:type="dxa"/>
              <w:bottom w:w="80" w:type="dxa"/>
              <w:left w:w="120" w:type="dxa"/>
              <w:right w:w="120" w:type="dxa"/>
            </w:tcMar>
            <w:vAlign w:val="center"/>
          </w:tcPr>
          <w:p>
            <w:pPr>
              <w:spacing w:before="0" w:after="0" w:line="264" w:lineRule="auto"/>
              <w:jc w:val="left"/>
            </w:pPr>
            <w:r>
              <w:rPr>
                <w:rFonts w:ascii="Calibri" w:hAnsi="Calibri"/>
                <w:b/>
                <w:color w:val="1E293B"/>
                <w:sz w:val="18"/>
              </w:rPr>
              <w:t>Aditya C</w:t>
            </w:r>
          </w:p>
        </w:tc>
        <w:tc>
          <w:tcPr>
            <w:tcW w:type="dxa" w:w="1152"/>
            <w:shd w:fill="F8FAFC"/>
            <w:tcMar>
              <w:top w:w="80" w:type="dxa"/>
              <w:bottom w:w="80" w:type="dxa"/>
              <w:left w:w="120" w:type="dxa"/>
              <w:right w:w="120" w:type="dxa"/>
            </w:tcMar>
            <w:vAlign w:val="center"/>
          </w:tcPr>
          <w:p>
            <w:pPr>
              <w:spacing w:before="0" w:after="0" w:line="264" w:lineRule="auto"/>
              <w:jc w:val="center"/>
            </w:pPr>
            <w:r>
              <w:rPr>
                <w:rFonts w:ascii="Calibri" w:hAnsi="Calibri"/>
                <w:i w:val="0"/>
                <w:color w:val="1E293B"/>
                <w:sz w:val="18"/>
              </w:rPr>
              <w:t>217</w:t>
            </w:r>
          </w:p>
        </w:tc>
        <w:tc>
          <w:tcPr>
            <w:tcW w:type="dxa" w:w="2304"/>
            <w:shd w:fill="F8FAFC"/>
            <w:tcMar>
              <w:top w:w="80" w:type="dxa"/>
              <w:bottom w:w="80" w:type="dxa"/>
              <w:left w:w="120" w:type="dxa"/>
              <w:right w:w="120" w:type="dxa"/>
            </w:tcMar>
            <w:vAlign w:val="center"/>
          </w:tcPr>
          <w:p>
            <w:pPr>
              <w:spacing w:before="0" w:after="0" w:line="264" w:lineRule="auto"/>
              <w:jc w:val="center"/>
            </w:pPr>
            <w:r>
              <w:rPr>
                <w:rFonts w:ascii="Calibri" w:hAnsi="Calibri"/>
                <w:i w:val="0"/>
                <w:color w:val="1E293B"/>
                <w:sz w:val="18"/>
              </w:rPr>
              <w:t>01FE23BCI043</w:t>
            </w:r>
          </w:p>
        </w:tc>
        <w:tc>
          <w:tcPr>
            <w:tcW w:type="dxa" w:w="3312"/>
            <w:shd w:fill="F8FAFC"/>
            <w:tcMar>
              <w:top w:w="80" w:type="dxa"/>
              <w:bottom w:w="80" w:type="dxa"/>
              <w:left w:w="120" w:type="dxa"/>
              <w:right w:w="120" w:type="dxa"/>
            </w:tcMar>
            <w:vAlign w:val="center"/>
          </w:tcPr>
          <w:p>
            <w:pPr>
              <w:spacing w:before="0" w:after="0" w:line="264" w:lineRule="auto"/>
              <w:jc w:val="left"/>
            </w:pPr>
            <w:r>
              <w:rPr>
                <w:rFonts w:ascii="Calibri" w:hAnsi="Calibri"/>
                <w:i w:val="0"/>
                <w:color w:val="1E293B"/>
                <w:sz w:val="18"/>
              </w:rPr>
              <w:t>Distributed Coordination Server, Architecture &amp; UML Suite</w:t>
            </w:r>
          </w:p>
        </w:tc>
      </w:tr>
    </w:tbl>
    <w:p>
      <w:pPr>
        <w:spacing w:after="80"/>
      </w:pPr>
    </w:p>
    <w:p>
      <w:pPr>
        <w:keepNext/>
        <w:spacing w:before="280" w:after="60"/>
      </w:pPr>
      <w:r>
        <w:rPr>
          <w:rFonts w:ascii="Calibri" w:hAnsi="Calibri"/>
          <w:b/>
          <w:color w:val="0A2540"/>
          <w:sz w:val="30"/>
        </w:rPr>
        <w:t>Executive Overview &amp; Review 2 Rubric Cross-Reference</w:t>
      </w:r>
    </w:p>
    <w:p>
      <w:pPr>
        <w:spacing w:before="0" w:after="70" w:line="276" w:lineRule="auto"/>
      </w:pPr>
      <w:r>
        <w:rPr>
          <w:rFonts w:ascii="Calibri" w:hAnsi="Calibri"/>
          <w:i w:val="0"/>
          <w:color w:val="1E293B"/>
          <w:sz w:val="20"/>
        </w:rPr>
        <w:t>This document provides a comprehensive, publication-quality slide-by-slide technical, mathematical, and oral defense guide for the 10-slide presentation deck (</w:t>
      </w:r>
      <w:r>
        <w:rPr>
          <w:rFonts w:ascii="Consolas" w:hAnsi="Consolas"/>
          <w:color w:val="2563EB"/>
          <w:sz w:val="19"/>
        </w:rPr>
        <w:t>SDP_Review2_Presentation.pptx</w:t>
      </w:r>
      <w:r>
        <w:rPr>
          <w:rFonts w:ascii="Calibri" w:hAnsi="Calibri"/>
          <w:i w:val="0"/>
          <w:color w:val="1E293B"/>
          <w:sz w:val="20"/>
        </w:rPr>
        <w:t xml:space="preserve">) prepared for </w:t>
      </w:r>
      <w:r>
        <w:rPr>
          <w:rFonts w:ascii="Calibri" w:hAnsi="Calibri"/>
          <w:b/>
          <w:color w:val="1E293B"/>
          <w:sz w:val="20"/>
        </w:rPr>
        <w:t>SDP Review 2</w:t>
      </w:r>
      <w:r>
        <w:rPr>
          <w:rFonts w:ascii="Calibri" w:hAnsi="Calibri"/>
          <w:i w:val="0"/>
          <w:color w:val="1E293B"/>
          <w:sz w:val="20"/>
        </w:rPr>
        <w:t xml:space="preserve">. Every single slide is strictly mapped to the assessment parameters and Performance Indicators (PIs) established by the Department of Computer Science &amp; Engineering, KLE Technological University (specifically PI 3.1.3, PI 3.3.1, PI 3.3.3, PI 5.2.2, PI 12.1.2, PI 9.1.2, and PI 9.1.3). Crucially, for every slide, this document contains an </w:t>
      </w:r>
      <w:r>
        <w:rPr>
          <w:rFonts w:ascii="Calibri" w:hAnsi="Calibri"/>
          <w:b/>
          <w:color w:val="1E293B"/>
          <w:sz w:val="20"/>
        </w:rPr>
        <w:t>intuitive, plain-English breakdown with everyday analogies</w:t>
      </w:r>
      <w:r>
        <w:rPr>
          <w:rFonts w:ascii="Calibri" w:hAnsi="Calibri"/>
          <w:i w:val="0"/>
          <w:color w:val="1E293B"/>
          <w:sz w:val="20"/>
        </w:rPr>
        <w:t xml:space="preserve"> designed to explain complex concepts in simple words for effortless comprehension.</w:t>
      </w:r>
    </w:p>
    <w:tbl>
      <w:tblPr>
        <w:tblW w:type="auto" w:w="0"/>
        <w:jc w:val="center"/>
        <w:tblLayout w:type="fixed"/>
        <w:tblLook w:firstColumn="1" w:firstRow="1" w:lastColumn="0" w:lastRow="0" w:noHBand="0" w:noVBand="1" w:val="04A0"/>
        <w:tblBorders>
          <w:top w:val="single" w:sz="8" w:space="0" w:color="CBD5E1"/>
          <w:bottom w:val="single" w:sz="8" w:space="0" w:color="CBD5E1"/>
          <w:insideH w:val="single" w:sz="4" w:space="0" w:color="CBD5E1"/>
          <w:left w:val="none"/>
          <w:right w:val="none"/>
          <w:insideV w:val="none"/>
        </w:tblBorders>
      </w:tblPr>
      <w:tblGrid>
        <w:gridCol w:w="2340"/>
        <w:gridCol w:w="2340"/>
        <w:gridCol w:w="2340"/>
        <w:gridCol w:w="2340"/>
      </w:tblGrid>
      <w:tr>
        <w:trPr>
          <w:tblHeader/>
          <w:cantSplit/>
        </w:trPr>
        <w:tc>
          <w:tcPr>
            <w:tcW w:type="dxa" w:w="1296"/>
            <w:shd w:fill="1A5FB4"/>
            <w:tcMar>
              <w:top w:w="100" w:type="dxa"/>
              <w:bottom w:w="100" w:type="dxa"/>
              <w:left w:w="120" w:type="dxa"/>
              <w:right w:w="120" w:type="dxa"/>
            </w:tcMar>
            <w:vAlign w:val="center"/>
          </w:tcPr>
          <w:p>
            <w:pPr>
              <w:spacing w:before="0" w:after="0"/>
              <w:jc w:val="center"/>
            </w:pPr>
            <w:r>
              <w:rPr>
                <w:rFonts w:ascii="Calibri" w:hAnsi="Calibri"/>
                <w:b/>
                <w:color w:val="FFFFFF"/>
                <w:sz w:val="18"/>
              </w:rPr>
              <w:t>Slide #</w:t>
            </w:r>
          </w:p>
        </w:tc>
        <w:tc>
          <w:tcPr>
            <w:tcW w:type="dxa" w:w="3312"/>
            <w:shd w:fill="1A5FB4"/>
            <w:tcMar>
              <w:top w:w="100" w:type="dxa"/>
              <w:bottom w:w="100" w:type="dxa"/>
              <w:left w:w="120" w:type="dxa"/>
              <w:right w:w="120" w:type="dxa"/>
            </w:tcMar>
            <w:vAlign w:val="center"/>
          </w:tcPr>
          <w:p>
            <w:pPr>
              <w:spacing w:before="0" w:after="0"/>
              <w:jc w:val="left"/>
            </w:pPr>
            <w:r>
              <w:rPr>
                <w:rFonts w:ascii="Calibri" w:hAnsi="Calibri"/>
                <w:b/>
                <w:color w:val="FFFFFF"/>
                <w:sz w:val="18"/>
              </w:rPr>
              <w:t>Slide Title</w:t>
            </w:r>
          </w:p>
        </w:tc>
        <w:tc>
          <w:tcPr>
            <w:tcW w:type="dxa" w:w="2160"/>
            <w:shd w:fill="1A5FB4"/>
            <w:tcMar>
              <w:top w:w="100" w:type="dxa"/>
              <w:bottom w:w="100" w:type="dxa"/>
              <w:left w:w="120" w:type="dxa"/>
              <w:right w:w="120" w:type="dxa"/>
            </w:tcMar>
            <w:vAlign w:val="center"/>
          </w:tcPr>
          <w:p>
            <w:pPr>
              <w:spacing w:before="0" w:after="0"/>
              <w:jc w:val="center"/>
            </w:pPr>
            <w:r>
              <w:rPr>
                <w:rFonts w:ascii="Calibri" w:hAnsi="Calibri"/>
                <w:b/>
                <w:color w:val="FFFFFF"/>
                <w:sz w:val="18"/>
              </w:rPr>
              <w:t>Primary Rubric Mapping</w:t>
            </w:r>
          </w:p>
        </w:tc>
        <w:tc>
          <w:tcPr>
            <w:tcW w:type="dxa" w:w="2592"/>
            <w:shd w:fill="1A5FB4"/>
            <w:tcMar>
              <w:top w:w="100" w:type="dxa"/>
              <w:bottom w:w="100" w:type="dxa"/>
              <w:left w:w="120" w:type="dxa"/>
              <w:right w:w="120" w:type="dxa"/>
            </w:tcMar>
            <w:vAlign w:val="center"/>
          </w:tcPr>
          <w:p>
            <w:pPr>
              <w:spacing w:before="0" w:after="0"/>
              <w:jc w:val="left"/>
            </w:pPr>
            <w:r>
              <w:rPr>
                <w:rFonts w:ascii="Calibri" w:hAnsi="Calibri"/>
                <w:b/>
                <w:color w:val="FFFFFF"/>
                <w:sz w:val="18"/>
              </w:rPr>
              <w:t>Core Evaluation Deliverable</w:t>
            </w:r>
          </w:p>
        </w:tc>
      </w:tr>
      <w:tr>
        <w:trPr>
          <w:cantSplit/>
        </w:trPr>
        <w:tc>
          <w:tcPr>
            <w:tcW w:type="dxa" w:w="1296"/>
            <w:shd w:fill="FFFFFF"/>
            <w:tcMar>
              <w:top w:w="80" w:type="dxa"/>
              <w:bottom w:w="80" w:type="dxa"/>
              <w:left w:w="120" w:type="dxa"/>
              <w:right w:w="120" w:type="dxa"/>
            </w:tcMar>
            <w:vAlign w:val="center"/>
          </w:tcPr>
          <w:p>
            <w:pPr>
              <w:spacing w:before="0" w:after="0" w:line="264" w:lineRule="auto"/>
              <w:jc w:val="center"/>
            </w:pPr>
            <w:r>
              <w:rPr>
                <w:rFonts w:ascii="Calibri" w:hAnsi="Calibri"/>
                <w:b/>
                <w:color w:val="1E293B"/>
                <w:sz w:val="18"/>
              </w:rPr>
              <w:t>Slide 1</w:t>
            </w:r>
          </w:p>
        </w:tc>
        <w:tc>
          <w:tcPr>
            <w:tcW w:type="dxa" w:w="3312"/>
            <w:shd w:fill="FFFFFF"/>
            <w:tcMar>
              <w:top w:w="80" w:type="dxa"/>
              <w:bottom w:w="80" w:type="dxa"/>
              <w:left w:w="120" w:type="dxa"/>
              <w:right w:w="120" w:type="dxa"/>
            </w:tcMar>
            <w:vAlign w:val="center"/>
          </w:tcPr>
          <w:p>
            <w:pPr>
              <w:spacing w:before="0" w:after="0" w:line="264" w:lineRule="auto"/>
              <w:jc w:val="left"/>
            </w:pPr>
            <w:r>
              <w:rPr>
                <w:rFonts w:ascii="Calibri" w:hAnsi="Calibri"/>
                <w:b/>
                <w:color w:val="1E293B"/>
                <w:sz w:val="18"/>
              </w:rPr>
              <w:t>Title &amp; Team Information</w:t>
            </w:r>
          </w:p>
        </w:tc>
        <w:tc>
          <w:tcPr>
            <w:tcW w:type="dxa" w:w="2160"/>
            <w:shd w:fill="FFFFFF"/>
            <w:tcMar>
              <w:top w:w="80" w:type="dxa"/>
              <w:bottom w:w="80" w:type="dxa"/>
              <w:left w:w="120" w:type="dxa"/>
              <w:right w:w="120" w:type="dxa"/>
            </w:tcMar>
            <w:vAlign w:val="center"/>
          </w:tcPr>
          <w:p>
            <w:pPr>
              <w:spacing w:before="0" w:after="0" w:line="264" w:lineRule="auto"/>
              <w:jc w:val="center"/>
            </w:pPr>
            <w:r>
              <w:rPr>
                <w:rFonts w:ascii="Calibri" w:hAnsi="Calibri"/>
                <w:i w:val="0"/>
                <w:color w:val="1E293B"/>
                <w:sz w:val="18"/>
              </w:rPr>
              <w:t>PI 9.1.2 / PI 9.1.3</w:t>
            </w:r>
          </w:p>
        </w:tc>
        <w:tc>
          <w:tcPr>
            <w:tcW w:type="dxa" w:w="2592"/>
            <w:shd w:fill="FFFFFF"/>
            <w:tcMar>
              <w:top w:w="80" w:type="dxa"/>
              <w:bottom w:w="80" w:type="dxa"/>
              <w:left w:w="120" w:type="dxa"/>
              <w:right w:w="120" w:type="dxa"/>
            </w:tcMar>
            <w:vAlign w:val="center"/>
          </w:tcPr>
          <w:p>
            <w:pPr>
              <w:spacing w:before="0" w:after="0" w:line="264" w:lineRule="auto"/>
              <w:jc w:val="left"/>
            </w:pPr>
            <w:r>
              <w:rPr>
                <w:rFonts w:ascii="Calibri" w:hAnsi="Calibri"/>
                <w:i w:val="0"/>
                <w:color w:val="1E293B"/>
                <w:sz w:val="18"/>
              </w:rPr>
              <w:t>Professional presentation opening, project identification, team roles</w:t>
            </w:r>
          </w:p>
        </w:tc>
      </w:tr>
      <w:tr>
        <w:trPr>
          <w:cantSplit/>
        </w:trPr>
        <w:tc>
          <w:tcPr>
            <w:tcW w:type="dxa" w:w="1296"/>
            <w:shd w:fill="F8FAFC"/>
            <w:tcMar>
              <w:top w:w="80" w:type="dxa"/>
              <w:bottom w:w="80" w:type="dxa"/>
              <w:left w:w="120" w:type="dxa"/>
              <w:right w:w="120" w:type="dxa"/>
            </w:tcMar>
            <w:vAlign w:val="center"/>
          </w:tcPr>
          <w:p>
            <w:pPr>
              <w:spacing w:before="0" w:after="0" w:line="264" w:lineRule="auto"/>
              <w:jc w:val="center"/>
            </w:pPr>
            <w:r>
              <w:rPr>
                <w:rFonts w:ascii="Calibri" w:hAnsi="Calibri"/>
                <w:b/>
                <w:color w:val="1E293B"/>
                <w:sz w:val="18"/>
              </w:rPr>
              <w:t>Slide 2</w:t>
            </w:r>
          </w:p>
        </w:tc>
        <w:tc>
          <w:tcPr>
            <w:tcW w:type="dxa" w:w="3312"/>
            <w:shd w:fill="F8FAFC"/>
            <w:tcMar>
              <w:top w:w="80" w:type="dxa"/>
              <w:bottom w:w="80" w:type="dxa"/>
              <w:left w:w="120" w:type="dxa"/>
              <w:right w:w="120" w:type="dxa"/>
            </w:tcMar>
            <w:vAlign w:val="center"/>
          </w:tcPr>
          <w:p>
            <w:pPr>
              <w:spacing w:before="0" w:after="0" w:line="264" w:lineRule="auto"/>
              <w:jc w:val="left"/>
            </w:pPr>
            <w:r>
              <w:rPr>
                <w:rFonts w:ascii="Calibri" w:hAnsi="Calibri"/>
                <w:b/>
                <w:color w:val="1E293B"/>
                <w:sz w:val="18"/>
              </w:rPr>
              <w:t>Review 1 Feedback &amp; Problem Formulation</w:t>
            </w:r>
          </w:p>
        </w:tc>
        <w:tc>
          <w:tcPr>
            <w:tcW w:type="dxa" w:w="2160"/>
            <w:shd w:fill="F8FAFC"/>
            <w:tcMar>
              <w:top w:w="80" w:type="dxa"/>
              <w:bottom w:w="80" w:type="dxa"/>
              <w:left w:w="120" w:type="dxa"/>
              <w:right w:w="120" w:type="dxa"/>
            </w:tcMar>
            <w:vAlign w:val="center"/>
          </w:tcPr>
          <w:p>
            <w:pPr>
              <w:spacing w:before="0" w:after="0" w:line="264" w:lineRule="auto"/>
              <w:jc w:val="center"/>
            </w:pPr>
            <w:r>
              <w:rPr>
                <w:rFonts w:ascii="Calibri" w:hAnsi="Calibri"/>
                <w:i w:val="0"/>
                <w:color w:val="1E293B"/>
                <w:sz w:val="18"/>
              </w:rPr>
              <w:t>PI 3.1.3 / PI 12.1.2</w:t>
            </w:r>
          </w:p>
        </w:tc>
        <w:tc>
          <w:tcPr>
            <w:tcW w:type="dxa" w:w="2592"/>
            <w:shd w:fill="F8FAFC"/>
            <w:tcMar>
              <w:top w:w="80" w:type="dxa"/>
              <w:bottom w:w="80" w:type="dxa"/>
              <w:left w:w="120" w:type="dxa"/>
              <w:right w:w="120" w:type="dxa"/>
            </w:tcMar>
            <w:vAlign w:val="center"/>
          </w:tcPr>
          <w:p>
            <w:pPr>
              <w:spacing w:before="0" w:after="0" w:line="264" w:lineRule="auto"/>
              <w:jc w:val="left"/>
            </w:pPr>
            <w:r>
              <w:rPr>
                <w:rFonts w:ascii="Calibri" w:hAnsi="Calibri"/>
                <w:i w:val="0"/>
                <w:color w:val="1E293B"/>
                <w:sz w:val="18"/>
              </w:rPr>
              <w:t>Critical analysis of Review 1 critique, single rare disease justification, baseline scope</w:t>
            </w:r>
          </w:p>
        </w:tc>
      </w:tr>
      <w:tr>
        <w:trPr>
          <w:cantSplit/>
        </w:trPr>
        <w:tc>
          <w:tcPr>
            <w:tcW w:type="dxa" w:w="1296"/>
            <w:shd w:fill="FFFFFF"/>
            <w:tcMar>
              <w:top w:w="80" w:type="dxa"/>
              <w:bottom w:w="80" w:type="dxa"/>
              <w:left w:w="120" w:type="dxa"/>
              <w:right w:w="120" w:type="dxa"/>
            </w:tcMar>
            <w:vAlign w:val="center"/>
          </w:tcPr>
          <w:p>
            <w:pPr>
              <w:spacing w:before="0" w:after="0" w:line="264" w:lineRule="auto"/>
              <w:jc w:val="center"/>
            </w:pPr>
            <w:r>
              <w:rPr>
                <w:rFonts w:ascii="Calibri" w:hAnsi="Calibri"/>
                <w:b/>
                <w:color w:val="1E293B"/>
                <w:sz w:val="18"/>
              </w:rPr>
              <w:t>Slide 3</w:t>
            </w:r>
          </w:p>
        </w:tc>
        <w:tc>
          <w:tcPr>
            <w:tcW w:type="dxa" w:w="3312"/>
            <w:shd w:fill="FFFFFF"/>
            <w:tcMar>
              <w:top w:w="80" w:type="dxa"/>
              <w:bottom w:w="80" w:type="dxa"/>
              <w:left w:w="120" w:type="dxa"/>
              <w:right w:w="120" w:type="dxa"/>
            </w:tcMar>
            <w:vAlign w:val="center"/>
          </w:tcPr>
          <w:p>
            <w:pPr>
              <w:spacing w:before="0" w:after="0" w:line="264" w:lineRule="auto"/>
              <w:jc w:val="left"/>
            </w:pPr>
            <w:r>
              <w:rPr>
                <w:rFonts w:ascii="Calibri" w:hAnsi="Calibri"/>
                <w:b/>
                <w:color w:val="1E293B"/>
                <w:sz w:val="18"/>
              </w:rPr>
              <w:t>Target Pathology — Idiopathic Pulmonary Fibrosis (IPF)</w:t>
            </w:r>
          </w:p>
        </w:tc>
        <w:tc>
          <w:tcPr>
            <w:tcW w:type="dxa" w:w="2160"/>
            <w:shd w:fill="FFFFFF"/>
            <w:tcMar>
              <w:top w:w="80" w:type="dxa"/>
              <w:bottom w:w="80" w:type="dxa"/>
              <w:left w:w="120" w:type="dxa"/>
              <w:right w:w="120" w:type="dxa"/>
            </w:tcMar>
            <w:vAlign w:val="center"/>
          </w:tcPr>
          <w:p>
            <w:pPr>
              <w:spacing w:before="0" w:after="0" w:line="264" w:lineRule="auto"/>
              <w:jc w:val="center"/>
            </w:pPr>
            <w:r>
              <w:rPr>
                <w:rFonts w:ascii="Calibri" w:hAnsi="Calibri"/>
                <w:i w:val="0"/>
                <w:color w:val="1E293B"/>
                <w:sz w:val="18"/>
              </w:rPr>
              <w:t>PI 3.1.3</w:t>
            </w:r>
          </w:p>
        </w:tc>
        <w:tc>
          <w:tcPr>
            <w:tcW w:type="dxa" w:w="2592"/>
            <w:shd w:fill="FFFFFF"/>
            <w:tcMar>
              <w:top w:w="80" w:type="dxa"/>
              <w:bottom w:w="80" w:type="dxa"/>
              <w:left w:w="120" w:type="dxa"/>
              <w:right w:w="120" w:type="dxa"/>
            </w:tcMar>
            <w:vAlign w:val="center"/>
          </w:tcPr>
          <w:p>
            <w:pPr>
              <w:spacing w:before="0" w:after="0" w:line="264" w:lineRule="auto"/>
              <w:jc w:val="left"/>
            </w:pPr>
            <w:r>
              <w:rPr>
                <w:rFonts w:ascii="Calibri" w:hAnsi="Calibri"/>
                <w:i w:val="0"/>
                <w:color w:val="1E293B"/>
                <w:sz w:val="18"/>
              </w:rPr>
              <w:t>Clinical domain severity (ORPHA:2032), HRCT diagnostic dilemma, privacy-scarcity paradox</w:t>
            </w:r>
          </w:p>
        </w:tc>
      </w:tr>
      <w:tr>
        <w:trPr>
          <w:cantSplit/>
        </w:trPr>
        <w:tc>
          <w:tcPr>
            <w:tcW w:type="dxa" w:w="1296"/>
            <w:shd w:fill="F8FAFC"/>
            <w:tcMar>
              <w:top w:w="80" w:type="dxa"/>
              <w:bottom w:w="80" w:type="dxa"/>
              <w:left w:w="120" w:type="dxa"/>
              <w:right w:w="120" w:type="dxa"/>
            </w:tcMar>
            <w:vAlign w:val="center"/>
          </w:tcPr>
          <w:p>
            <w:pPr>
              <w:spacing w:before="0" w:after="0" w:line="264" w:lineRule="auto"/>
              <w:jc w:val="center"/>
            </w:pPr>
            <w:r>
              <w:rPr>
                <w:rFonts w:ascii="Calibri" w:hAnsi="Calibri"/>
                <w:b/>
                <w:color w:val="1E293B"/>
                <w:sz w:val="18"/>
              </w:rPr>
              <w:t>Slide 4</w:t>
            </w:r>
          </w:p>
        </w:tc>
        <w:tc>
          <w:tcPr>
            <w:tcW w:type="dxa" w:w="3312"/>
            <w:shd w:fill="F8FAFC"/>
            <w:tcMar>
              <w:top w:w="80" w:type="dxa"/>
              <w:bottom w:w="80" w:type="dxa"/>
              <w:left w:w="120" w:type="dxa"/>
              <w:right w:w="120" w:type="dxa"/>
            </w:tcMar>
            <w:vAlign w:val="center"/>
          </w:tcPr>
          <w:p>
            <w:pPr>
              <w:spacing w:before="0" w:after="0" w:line="264" w:lineRule="auto"/>
              <w:jc w:val="left"/>
            </w:pPr>
            <w:r>
              <w:rPr>
                <w:rFonts w:ascii="Calibri" w:hAnsi="Calibri"/>
                <w:b/>
                <w:color w:val="1E293B"/>
                <w:sz w:val="18"/>
              </w:rPr>
              <w:t>System Requirements Specification</w:t>
            </w:r>
          </w:p>
        </w:tc>
        <w:tc>
          <w:tcPr>
            <w:tcW w:type="dxa" w:w="2160"/>
            <w:shd w:fill="F8FAFC"/>
            <w:tcMar>
              <w:top w:w="80" w:type="dxa"/>
              <w:bottom w:w="80" w:type="dxa"/>
              <w:left w:w="120" w:type="dxa"/>
              <w:right w:w="120" w:type="dxa"/>
            </w:tcMar>
            <w:vAlign w:val="center"/>
          </w:tcPr>
          <w:p>
            <w:pPr>
              <w:spacing w:before="0" w:after="0" w:line="264" w:lineRule="auto"/>
              <w:jc w:val="center"/>
            </w:pPr>
            <w:r>
              <w:rPr>
                <w:rFonts w:ascii="Calibri" w:hAnsi="Calibri"/>
                <w:i w:val="0"/>
                <w:color w:val="1E293B"/>
                <w:sz w:val="18"/>
              </w:rPr>
              <w:t>PI 3.1.3</w:t>
            </w:r>
          </w:p>
        </w:tc>
        <w:tc>
          <w:tcPr>
            <w:tcW w:type="dxa" w:w="2592"/>
            <w:shd w:fill="F8FAFC"/>
            <w:tcMar>
              <w:top w:w="80" w:type="dxa"/>
              <w:bottom w:w="80" w:type="dxa"/>
              <w:left w:w="120" w:type="dxa"/>
              <w:right w:w="120" w:type="dxa"/>
            </w:tcMar>
            <w:vAlign w:val="center"/>
          </w:tcPr>
          <w:p>
            <w:pPr>
              <w:spacing w:before="0" w:after="0" w:line="264" w:lineRule="auto"/>
              <w:jc w:val="left"/>
            </w:pPr>
            <w:r>
              <w:rPr>
                <w:rFonts w:ascii="Calibri" w:hAnsi="Calibri"/>
                <w:i w:val="0"/>
                <w:color w:val="1E293B"/>
                <w:sz w:val="18"/>
              </w:rPr>
              <w:t>Functional Requirements (FR1–FR6), Non-Functional Requirements (NFR1–NFR4), Constraints, Assumptions</w:t>
            </w:r>
          </w:p>
        </w:tc>
      </w:tr>
      <w:tr>
        <w:trPr>
          <w:cantSplit/>
        </w:trPr>
        <w:tc>
          <w:tcPr>
            <w:tcW w:type="dxa" w:w="1296"/>
            <w:shd w:fill="FFFFFF"/>
            <w:tcMar>
              <w:top w:w="80" w:type="dxa"/>
              <w:bottom w:w="80" w:type="dxa"/>
              <w:left w:w="120" w:type="dxa"/>
              <w:right w:w="120" w:type="dxa"/>
            </w:tcMar>
            <w:vAlign w:val="center"/>
          </w:tcPr>
          <w:p>
            <w:pPr>
              <w:spacing w:before="0" w:after="0" w:line="264" w:lineRule="auto"/>
              <w:jc w:val="center"/>
            </w:pPr>
            <w:r>
              <w:rPr>
                <w:rFonts w:ascii="Calibri" w:hAnsi="Calibri"/>
                <w:b/>
                <w:color w:val="1E293B"/>
                <w:sz w:val="18"/>
              </w:rPr>
              <w:t>Slide 5</w:t>
            </w:r>
          </w:p>
        </w:tc>
        <w:tc>
          <w:tcPr>
            <w:tcW w:type="dxa" w:w="3312"/>
            <w:shd w:fill="FFFFFF"/>
            <w:tcMar>
              <w:top w:w="80" w:type="dxa"/>
              <w:bottom w:w="80" w:type="dxa"/>
              <w:left w:w="120" w:type="dxa"/>
              <w:right w:w="120" w:type="dxa"/>
            </w:tcMar>
            <w:vAlign w:val="center"/>
          </w:tcPr>
          <w:p>
            <w:pPr>
              <w:spacing w:before="0" w:after="0" w:line="264" w:lineRule="auto"/>
              <w:jc w:val="left"/>
            </w:pPr>
            <w:r>
              <w:rPr>
                <w:rFonts w:ascii="Calibri" w:hAnsi="Calibri"/>
                <w:b/>
                <w:color w:val="1E293B"/>
                <w:sz w:val="18"/>
              </w:rPr>
              <w:t>System Architecture — FedGen-Rare</w:t>
            </w:r>
          </w:p>
        </w:tc>
        <w:tc>
          <w:tcPr>
            <w:tcW w:type="dxa" w:w="2160"/>
            <w:shd w:fill="FFFFFF"/>
            <w:tcMar>
              <w:top w:w="80" w:type="dxa"/>
              <w:bottom w:w="80" w:type="dxa"/>
              <w:left w:w="120" w:type="dxa"/>
              <w:right w:w="120" w:type="dxa"/>
            </w:tcMar>
            <w:vAlign w:val="center"/>
          </w:tcPr>
          <w:p>
            <w:pPr>
              <w:spacing w:before="0" w:after="0" w:line="264" w:lineRule="auto"/>
              <w:jc w:val="center"/>
            </w:pPr>
            <w:r>
              <w:rPr>
                <w:rFonts w:ascii="Calibri" w:hAnsi="Calibri"/>
                <w:i w:val="0"/>
                <w:color w:val="1E293B"/>
                <w:sz w:val="18"/>
              </w:rPr>
              <w:t>PI 3.3.1</w:t>
            </w:r>
          </w:p>
        </w:tc>
        <w:tc>
          <w:tcPr>
            <w:tcW w:type="dxa" w:w="2592"/>
            <w:shd w:fill="FFFFFF"/>
            <w:tcMar>
              <w:top w:w="80" w:type="dxa"/>
              <w:bottom w:w="80" w:type="dxa"/>
              <w:left w:w="120" w:type="dxa"/>
              <w:right w:w="120" w:type="dxa"/>
            </w:tcMar>
            <w:vAlign w:val="center"/>
          </w:tcPr>
          <w:p>
            <w:pPr>
              <w:spacing w:before="0" w:after="0" w:line="264" w:lineRule="auto"/>
              <w:jc w:val="left"/>
            </w:pPr>
            <w:r>
              <w:rPr>
                <w:rFonts w:ascii="Calibri" w:hAnsi="Calibri"/>
                <w:i w:val="0"/>
                <w:color w:val="1E293B"/>
                <w:sz w:val="18"/>
              </w:rPr>
              <w:t>Pictorial architectural representation, 2-stage federated pipeline, UML component interaction</w:t>
            </w:r>
          </w:p>
        </w:tc>
      </w:tr>
      <w:tr>
        <w:trPr>
          <w:cantSplit/>
        </w:trPr>
        <w:tc>
          <w:tcPr>
            <w:tcW w:type="dxa" w:w="1296"/>
            <w:shd w:fill="F8FAFC"/>
            <w:tcMar>
              <w:top w:w="80" w:type="dxa"/>
              <w:bottom w:w="80" w:type="dxa"/>
              <w:left w:w="120" w:type="dxa"/>
              <w:right w:w="120" w:type="dxa"/>
            </w:tcMar>
            <w:vAlign w:val="center"/>
          </w:tcPr>
          <w:p>
            <w:pPr>
              <w:spacing w:before="0" w:after="0" w:line="264" w:lineRule="auto"/>
              <w:jc w:val="center"/>
            </w:pPr>
            <w:r>
              <w:rPr>
                <w:rFonts w:ascii="Calibri" w:hAnsi="Calibri"/>
                <w:b/>
                <w:color w:val="1E293B"/>
                <w:sz w:val="18"/>
              </w:rPr>
              <w:t>Slide 6</w:t>
            </w:r>
          </w:p>
        </w:tc>
        <w:tc>
          <w:tcPr>
            <w:tcW w:type="dxa" w:w="3312"/>
            <w:shd w:fill="F8FAFC"/>
            <w:tcMar>
              <w:top w:w="80" w:type="dxa"/>
              <w:bottom w:w="80" w:type="dxa"/>
              <w:left w:w="120" w:type="dxa"/>
              <w:right w:w="120" w:type="dxa"/>
            </w:tcMar>
            <w:vAlign w:val="center"/>
          </w:tcPr>
          <w:p>
            <w:pPr>
              <w:spacing w:before="0" w:after="0" w:line="264" w:lineRule="auto"/>
              <w:jc w:val="left"/>
            </w:pPr>
            <w:r>
              <w:rPr>
                <w:rFonts w:ascii="Calibri" w:hAnsi="Calibri"/>
                <w:b/>
                <w:color w:val="1E293B"/>
                <w:sz w:val="18"/>
              </w:rPr>
              <w:t>Baseline Analysis — Why FedIIC Fails on Rare Diseases</w:t>
            </w:r>
          </w:p>
        </w:tc>
        <w:tc>
          <w:tcPr>
            <w:tcW w:type="dxa" w:w="2160"/>
            <w:shd w:fill="F8FAFC"/>
            <w:tcMar>
              <w:top w:w="80" w:type="dxa"/>
              <w:bottom w:w="80" w:type="dxa"/>
              <w:left w:w="120" w:type="dxa"/>
              <w:right w:w="120" w:type="dxa"/>
            </w:tcMar>
            <w:vAlign w:val="center"/>
          </w:tcPr>
          <w:p>
            <w:pPr>
              <w:spacing w:before="0" w:after="0" w:line="264" w:lineRule="auto"/>
              <w:jc w:val="center"/>
            </w:pPr>
            <w:r>
              <w:rPr>
                <w:rFonts w:ascii="Calibri" w:hAnsi="Calibri"/>
                <w:i w:val="0"/>
                <w:color w:val="1E293B"/>
                <w:sz w:val="18"/>
              </w:rPr>
              <w:t>PI 3.3.3 / PI 12.1.2</w:t>
            </w:r>
          </w:p>
        </w:tc>
        <w:tc>
          <w:tcPr>
            <w:tcW w:type="dxa" w:w="2592"/>
            <w:shd w:fill="F8FAFC"/>
            <w:tcMar>
              <w:top w:w="80" w:type="dxa"/>
              <w:bottom w:w="80" w:type="dxa"/>
              <w:left w:w="120" w:type="dxa"/>
              <w:right w:w="120" w:type="dxa"/>
            </w:tcMar>
            <w:vAlign w:val="center"/>
          </w:tcPr>
          <w:p>
            <w:pPr>
              <w:spacing w:before="0" w:after="0" w:line="264" w:lineRule="auto"/>
              <w:jc w:val="left"/>
            </w:pPr>
            <w:r>
              <w:rPr>
                <w:rFonts w:ascii="Calibri" w:hAnsi="Calibri"/>
                <w:i w:val="0"/>
                <w:color w:val="1E293B"/>
                <w:sz w:val="18"/>
              </w:rPr>
              <w:t>Mathematical proof of failure: IntraSCL positive-pair starvation &amp; DALA margin breakdown</w:t>
            </w:r>
          </w:p>
        </w:tc>
      </w:tr>
      <w:tr>
        <w:trPr>
          <w:cantSplit/>
        </w:trPr>
        <w:tc>
          <w:tcPr>
            <w:tcW w:type="dxa" w:w="1296"/>
            <w:shd w:fill="FFFFFF"/>
            <w:tcMar>
              <w:top w:w="80" w:type="dxa"/>
              <w:bottom w:w="80" w:type="dxa"/>
              <w:left w:w="120" w:type="dxa"/>
              <w:right w:w="120" w:type="dxa"/>
            </w:tcMar>
            <w:vAlign w:val="center"/>
          </w:tcPr>
          <w:p>
            <w:pPr>
              <w:spacing w:before="0" w:after="0" w:line="264" w:lineRule="auto"/>
              <w:jc w:val="center"/>
            </w:pPr>
            <w:r>
              <w:rPr>
                <w:rFonts w:ascii="Calibri" w:hAnsi="Calibri"/>
                <w:b/>
                <w:color w:val="1E293B"/>
                <w:sz w:val="18"/>
              </w:rPr>
              <w:t>Slide 7</w:t>
            </w:r>
          </w:p>
        </w:tc>
        <w:tc>
          <w:tcPr>
            <w:tcW w:type="dxa" w:w="3312"/>
            <w:shd w:fill="FFFFFF"/>
            <w:tcMar>
              <w:top w:w="80" w:type="dxa"/>
              <w:bottom w:w="80" w:type="dxa"/>
              <w:left w:w="120" w:type="dxa"/>
              <w:right w:w="120" w:type="dxa"/>
            </w:tcMar>
            <w:vAlign w:val="center"/>
          </w:tcPr>
          <w:p>
            <w:pPr>
              <w:spacing w:before="0" w:after="0" w:line="264" w:lineRule="auto"/>
              <w:jc w:val="left"/>
            </w:pPr>
            <w:r>
              <w:rPr>
                <w:rFonts w:ascii="Calibri" w:hAnsi="Calibri"/>
                <w:b/>
                <w:color w:val="1E293B"/>
                <w:sz w:val="18"/>
              </w:rPr>
              <w:t>Detailed Design — Algorithms &amp; Mathematics</w:t>
            </w:r>
          </w:p>
        </w:tc>
        <w:tc>
          <w:tcPr>
            <w:tcW w:type="dxa" w:w="2160"/>
            <w:shd w:fill="FFFFFF"/>
            <w:tcMar>
              <w:top w:w="80" w:type="dxa"/>
              <w:bottom w:w="80" w:type="dxa"/>
              <w:left w:w="120" w:type="dxa"/>
              <w:right w:w="120" w:type="dxa"/>
            </w:tcMar>
            <w:vAlign w:val="center"/>
          </w:tcPr>
          <w:p>
            <w:pPr>
              <w:spacing w:before="0" w:after="0" w:line="264" w:lineRule="auto"/>
              <w:jc w:val="center"/>
            </w:pPr>
            <w:r>
              <w:rPr>
                <w:rFonts w:ascii="Calibri" w:hAnsi="Calibri"/>
                <w:i w:val="0"/>
                <w:color w:val="1E293B"/>
                <w:sz w:val="18"/>
              </w:rPr>
              <w:t>PI 3.3.3</w:t>
            </w:r>
          </w:p>
        </w:tc>
        <w:tc>
          <w:tcPr>
            <w:tcW w:type="dxa" w:w="2592"/>
            <w:shd w:fill="FFFFFF"/>
            <w:tcMar>
              <w:top w:w="80" w:type="dxa"/>
              <w:bottom w:w="80" w:type="dxa"/>
              <w:left w:w="120" w:type="dxa"/>
              <w:right w:w="120" w:type="dxa"/>
            </w:tcMar>
            <w:vAlign w:val="center"/>
          </w:tcPr>
          <w:p>
            <w:pPr>
              <w:spacing w:before="0" w:after="0" w:line="264" w:lineRule="auto"/>
              <w:jc w:val="left"/>
            </w:pPr>
            <w:r>
              <w:rPr>
                <w:rFonts w:ascii="Calibri" w:hAnsi="Calibri"/>
                <w:i w:val="0"/>
                <w:color w:val="1E293B"/>
                <w:sz w:val="18"/>
              </w:rPr>
              <w:t>Mathematical formulations (L_gen, L_FM, L_DIV, L_clf), Algorithms 1–3 with strict I/O specs</w:t>
            </w:r>
          </w:p>
        </w:tc>
      </w:tr>
      <w:tr>
        <w:trPr>
          <w:cantSplit/>
        </w:trPr>
        <w:tc>
          <w:tcPr>
            <w:tcW w:type="dxa" w:w="1296"/>
            <w:shd w:fill="F8FAFC"/>
            <w:tcMar>
              <w:top w:w="80" w:type="dxa"/>
              <w:bottom w:w="80" w:type="dxa"/>
              <w:left w:w="120" w:type="dxa"/>
              <w:right w:w="120" w:type="dxa"/>
            </w:tcMar>
            <w:vAlign w:val="center"/>
          </w:tcPr>
          <w:p>
            <w:pPr>
              <w:spacing w:before="0" w:after="0" w:line="264" w:lineRule="auto"/>
              <w:jc w:val="center"/>
            </w:pPr>
            <w:r>
              <w:rPr>
                <w:rFonts w:ascii="Calibri" w:hAnsi="Calibri"/>
                <w:b/>
                <w:color w:val="1E293B"/>
                <w:sz w:val="18"/>
              </w:rPr>
              <w:t>Slide 8</w:t>
            </w:r>
          </w:p>
        </w:tc>
        <w:tc>
          <w:tcPr>
            <w:tcW w:type="dxa" w:w="3312"/>
            <w:shd w:fill="F8FAFC"/>
            <w:tcMar>
              <w:top w:w="80" w:type="dxa"/>
              <w:bottom w:w="80" w:type="dxa"/>
              <w:left w:w="120" w:type="dxa"/>
              <w:right w:w="120" w:type="dxa"/>
            </w:tcMar>
            <w:vAlign w:val="center"/>
          </w:tcPr>
          <w:p>
            <w:pPr>
              <w:spacing w:before="0" w:after="0" w:line="264" w:lineRule="auto"/>
              <w:jc w:val="left"/>
            </w:pPr>
            <w:r>
              <w:rPr>
                <w:rFonts w:ascii="Calibri" w:hAnsi="Calibri"/>
                <w:b/>
                <w:color w:val="1E293B"/>
                <w:sz w:val="18"/>
              </w:rPr>
              <w:t>Modern Tools &amp; Module Testing Suite</w:t>
            </w:r>
          </w:p>
        </w:tc>
        <w:tc>
          <w:tcPr>
            <w:tcW w:type="dxa" w:w="2160"/>
            <w:shd w:fill="F8FAFC"/>
            <w:tcMar>
              <w:top w:w="80" w:type="dxa"/>
              <w:bottom w:w="80" w:type="dxa"/>
              <w:left w:w="120" w:type="dxa"/>
              <w:right w:w="120" w:type="dxa"/>
            </w:tcMar>
            <w:vAlign w:val="center"/>
          </w:tcPr>
          <w:p>
            <w:pPr>
              <w:spacing w:before="0" w:after="0" w:line="264" w:lineRule="auto"/>
              <w:jc w:val="center"/>
            </w:pPr>
            <w:r>
              <w:rPr>
                <w:rFonts w:ascii="Calibri" w:hAnsi="Calibri"/>
                <w:i w:val="0"/>
                <w:color w:val="1E293B"/>
                <w:sz w:val="18"/>
              </w:rPr>
              <w:t>PI 5.2.2 / PI 12.1.2</w:t>
            </w:r>
          </w:p>
        </w:tc>
        <w:tc>
          <w:tcPr>
            <w:tcW w:type="dxa" w:w="2592"/>
            <w:shd w:fill="F8FAFC"/>
            <w:tcMar>
              <w:top w:w="80" w:type="dxa"/>
              <w:bottom w:w="80" w:type="dxa"/>
              <w:left w:w="120" w:type="dxa"/>
              <w:right w:w="120" w:type="dxa"/>
            </w:tcMar>
            <w:vAlign w:val="center"/>
          </w:tcPr>
          <w:p>
            <w:pPr>
              <w:spacing w:before="0" w:after="0" w:line="264" w:lineRule="auto"/>
              <w:jc w:val="left"/>
            </w:pPr>
            <w:r>
              <w:rPr>
                <w:rFonts w:ascii="Calibri" w:hAnsi="Calibri"/>
                <w:i w:val="0"/>
                <w:color w:val="1E293B"/>
                <w:sz w:val="18"/>
              </w:rPr>
              <w:t>Engineering toolchain (PyTorch, pytest, Draw.io, LaTeX) + 31/31 passing unit tests</w:t>
            </w:r>
          </w:p>
        </w:tc>
      </w:tr>
      <w:tr>
        <w:trPr>
          <w:cantSplit/>
        </w:trPr>
        <w:tc>
          <w:tcPr>
            <w:tcW w:type="dxa" w:w="1296"/>
            <w:shd w:fill="FFFFFF"/>
            <w:tcMar>
              <w:top w:w="80" w:type="dxa"/>
              <w:bottom w:w="80" w:type="dxa"/>
              <w:left w:w="120" w:type="dxa"/>
              <w:right w:w="120" w:type="dxa"/>
            </w:tcMar>
            <w:vAlign w:val="center"/>
          </w:tcPr>
          <w:p>
            <w:pPr>
              <w:spacing w:before="0" w:after="0" w:line="264" w:lineRule="auto"/>
              <w:jc w:val="center"/>
            </w:pPr>
            <w:r>
              <w:rPr>
                <w:rFonts w:ascii="Calibri" w:hAnsi="Calibri"/>
                <w:b/>
                <w:color w:val="1E293B"/>
                <w:sz w:val="18"/>
              </w:rPr>
              <w:t>Slide 9</w:t>
            </w:r>
          </w:p>
        </w:tc>
        <w:tc>
          <w:tcPr>
            <w:tcW w:type="dxa" w:w="3312"/>
            <w:shd w:fill="FFFFFF"/>
            <w:tcMar>
              <w:top w:w="80" w:type="dxa"/>
              <w:bottom w:w="80" w:type="dxa"/>
              <w:left w:w="120" w:type="dxa"/>
              <w:right w:w="120" w:type="dxa"/>
            </w:tcMar>
            <w:vAlign w:val="center"/>
          </w:tcPr>
          <w:p>
            <w:pPr>
              <w:spacing w:before="0" w:after="0" w:line="264" w:lineRule="auto"/>
              <w:jc w:val="left"/>
            </w:pPr>
            <w:r>
              <w:rPr>
                <w:rFonts w:ascii="Calibri" w:hAnsi="Calibri"/>
                <w:b/>
                <w:color w:val="1E293B"/>
                <w:sz w:val="18"/>
              </w:rPr>
              <w:t>Baseline Paper Results &amp; Scientific Gap Analysis</w:t>
            </w:r>
          </w:p>
        </w:tc>
        <w:tc>
          <w:tcPr>
            <w:tcW w:type="dxa" w:w="2160"/>
            <w:shd w:fill="FFFFFF"/>
            <w:tcMar>
              <w:top w:w="80" w:type="dxa"/>
              <w:bottom w:w="80" w:type="dxa"/>
              <w:left w:w="120" w:type="dxa"/>
              <w:right w:w="120" w:type="dxa"/>
            </w:tcMar>
            <w:vAlign w:val="center"/>
          </w:tcPr>
          <w:p>
            <w:pPr>
              <w:spacing w:before="0" w:after="0" w:line="264" w:lineRule="auto"/>
              <w:jc w:val="center"/>
            </w:pPr>
            <w:r>
              <w:rPr>
                <w:rFonts w:ascii="Calibri" w:hAnsi="Calibri"/>
                <w:i w:val="0"/>
                <w:color w:val="1E293B"/>
                <w:sz w:val="18"/>
              </w:rPr>
              <w:t>PI 3.1.3 / PI 12.1.2</w:t>
            </w:r>
          </w:p>
        </w:tc>
        <w:tc>
          <w:tcPr>
            <w:tcW w:type="dxa" w:w="2592"/>
            <w:shd w:fill="FFFFFF"/>
            <w:tcMar>
              <w:top w:w="80" w:type="dxa"/>
              <w:bottom w:w="80" w:type="dxa"/>
              <w:left w:w="120" w:type="dxa"/>
              <w:right w:w="120" w:type="dxa"/>
            </w:tcMar>
            <w:vAlign w:val="center"/>
          </w:tcPr>
          <w:p>
            <w:pPr>
              <w:spacing w:before="0" w:after="0" w:line="264" w:lineRule="auto"/>
              <w:jc w:val="left"/>
            </w:pPr>
            <w:r>
              <w:rPr>
                <w:rFonts w:ascii="Calibri" w:hAnsi="Calibri"/>
                <w:i w:val="0"/>
                <w:color w:val="1E293B"/>
                <w:sz w:val="18"/>
              </w:rPr>
              <w:t>Published SOTA results from MICCAI '23 (24%–55% error), explanation of why 100% was an artifact</w:t>
            </w:r>
          </w:p>
        </w:tc>
      </w:tr>
      <w:tr>
        <w:trPr>
          <w:cantSplit/>
        </w:trPr>
        <w:tc>
          <w:tcPr>
            <w:tcW w:type="dxa" w:w="1296"/>
            <w:shd w:fill="F8FAFC"/>
            <w:tcMar>
              <w:top w:w="80" w:type="dxa"/>
              <w:bottom w:w="80" w:type="dxa"/>
              <w:left w:w="120" w:type="dxa"/>
              <w:right w:w="120" w:type="dxa"/>
            </w:tcMar>
            <w:vAlign w:val="center"/>
          </w:tcPr>
          <w:p>
            <w:pPr>
              <w:spacing w:before="0" w:after="0" w:line="264" w:lineRule="auto"/>
              <w:jc w:val="center"/>
            </w:pPr>
            <w:r>
              <w:rPr>
                <w:rFonts w:ascii="Calibri" w:hAnsi="Calibri"/>
                <w:b/>
                <w:color w:val="1E293B"/>
                <w:sz w:val="18"/>
              </w:rPr>
              <w:t>Slide 10</w:t>
            </w:r>
          </w:p>
        </w:tc>
        <w:tc>
          <w:tcPr>
            <w:tcW w:type="dxa" w:w="3312"/>
            <w:shd w:fill="F8FAFC"/>
            <w:tcMar>
              <w:top w:w="80" w:type="dxa"/>
              <w:bottom w:w="80" w:type="dxa"/>
              <w:left w:w="120" w:type="dxa"/>
              <w:right w:w="120" w:type="dxa"/>
            </w:tcMar>
            <w:vAlign w:val="center"/>
          </w:tcPr>
          <w:p>
            <w:pPr>
              <w:spacing w:before="0" w:after="0" w:line="264" w:lineRule="auto"/>
              <w:jc w:val="left"/>
            </w:pPr>
            <w:r>
              <w:rPr>
                <w:rFonts w:ascii="Calibri" w:hAnsi="Calibri"/>
                <w:b/>
                <w:color w:val="1E293B"/>
                <w:sz w:val="18"/>
              </w:rPr>
              <w:t>Thank You &amp; Discussion</w:t>
            </w:r>
          </w:p>
        </w:tc>
        <w:tc>
          <w:tcPr>
            <w:tcW w:type="dxa" w:w="2160"/>
            <w:shd w:fill="F8FAFC"/>
            <w:tcMar>
              <w:top w:w="80" w:type="dxa"/>
              <w:bottom w:w="80" w:type="dxa"/>
              <w:left w:w="120" w:type="dxa"/>
              <w:right w:w="120" w:type="dxa"/>
            </w:tcMar>
            <w:vAlign w:val="center"/>
          </w:tcPr>
          <w:p>
            <w:pPr>
              <w:spacing w:before="0" w:after="0" w:line="264" w:lineRule="auto"/>
              <w:jc w:val="center"/>
            </w:pPr>
            <w:r>
              <w:rPr>
                <w:rFonts w:ascii="Calibri" w:hAnsi="Calibri"/>
                <w:i w:val="0"/>
                <w:color w:val="1E293B"/>
                <w:sz w:val="18"/>
              </w:rPr>
              <w:t>PI 9.1.3</w:t>
            </w:r>
          </w:p>
        </w:tc>
        <w:tc>
          <w:tcPr>
            <w:tcW w:type="dxa" w:w="2592"/>
            <w:shd w:fill="F8FAFC"/>
            <w:tcMar>
              <w:top w:w="80" w:type="dxa"/>
              <w:bottom w:w="80" w:type="dxa"/>
              <w:left w:w="120" w:type="dxa"/>
              <w:right w:w="120" w:type="dxa"/>
            </w:tcMar>
            <w:vAlign w:val="center"/>
          </w:tcPr>
          <w:p>
            <w:pPr>
              <w:spacing w:before="0" w:after="0" w:line="264" w:lineRule="auto"/>
              <w:jc w:val="left"/>
            </w:pPr>
            <w:r>
              <w:rPr>
                <w:rFonts w:ascii="Calibri" w:hAnsi="Calibri"/>
                <w:i w:val="0"/>
                <w:color w:val="1E293B"/>
                <w:sz w:val="18"/>
              </w:rPr>
              <w:t>Professional closing, open defense facilitation, repository access</w:t>
            </w:r>
          </w:p>
        </w:tc>
      </w:tr>
    </w:tbl>
    <w:p>
      <w:pPr>
        <w:spacing w:after="80"/>
      </w:pPr>
    </w:p>
    <w:p>
      <w:pPr>
        <w:keepNext/>
        <w:spacing w:before="280" w:after="60"/>
      </w:pPr>
      <w:r>
        <w:rPr>
          <w:rFonts w:ascii="Calibri" w:hAnsi="Calibri"/>
          <w:b/>
          <w:color w:val="0A2540"/>
          <w:sz w:val="30"/>
        </w:rPr>
        <w:t>Slide 1: Cover — Title &amp; Team Information</w:t>
      </w:r>
      <w:r>
        <w:rPr>
          <w:rFonts w:ascii="Calibri" w:hAnsi="Calibri"/>
          <w:b/>
          <w:color w:val="1A5FB4"/>
          <w:sz w:val="21"/>
        </w:rPr>
        <w:t xml:space="preserve">  [PI 9.1.2 / PI 9.1.3]</w:t>
      </w:r>
    </w:p>
    <w:p>
      <w:pPr>
        <w:keepNext/>
        <w:spacing w:before="200" w:after="40"/>
      </w:pPr>
      <w:r>
        <w:rPr>
          <w:rFonts w:ascii="Calibri" w:hAnsi="Calibri"/>
          <w:b/>
          <w:color w:val="1A5FB4"/>
          <w:sz w:val="23"/>
        </w:rPr>
        <w:t>1. Slide Metadata</w:t>
      </w:r>
    </w:p>
    <w:p>
      <w:pPr>
        <w:pStyle w:val="ListBullet"/>
        <w:spacing w:before="0" w:after="50" w:line="269" w:lineRule="auto"/>
        <w:ind w:left="360"/>
      </w:pPr>
      <w:r>
        <w:rPr>
          <w:rFonts w:ascii="Calibri" w:hAnsi="Calibri"/>
          <w:b/>
          <w:color w:val="1E293B"/>
          <w:sz w:val="19"/>
        </w:rPr>
        <w:t>Slide Title:</w:t>
      </w:r>
      <w:r>
        <w:rPr>
          <w:rFonts w:ascii="Calibri" w:hAnsi="Calibri"/>
          <w:i w:val="0"/>
          <w:color w:val="1E293B"/>
          <w:sz w:val="19"/>
        </w:rPr>
        <w:t xml:space="preserve"> </w:t>
      </w:r>
      <w:r>
        <w:rPr>
          <w:rFonts w:ascii="Consolas" w:hAnsi="Consolas"/>
          <w:color w:val="2563EB"/>
          <w:sz w:val="18"/>
        </w:rPr>
        <w:t>Team - 48</w:t>
      </w:r>
    </w:p>
    <w:p>
      <w:pPr>
        <w:pStyle w:val="ListBullet"/>
        <w:spacing w:before="0" w:after="50" w:line="269" w:lineRule="auto"/>
        <w:ind w:left="360"/>
      </w:pPr>
      <w:r>
        <w:rPr>
          <w:rFonts w:ascii="Calibri" w:hAnsi="Calibri"/>
          <w:b/>
          <w:color w:val="1E293B"/>
          <w:sz w:val="19"/>
        </w:rPr>
        <w:t>On-Slide Subtitle:</w:t>
      </w:r>
      <w:r>
        <w:rPr>
          <w:rFonts w:ascii="Calibri" w:hAnsi="Calibri"/>
          <w:i w:val="0"/>
          <w:color w:val="1E293B"/>
          <w:sz w:val="19"/>
        </w:rPr>
        <w:t xml:space="preserve"> </w:t>
      </w:r>
      <w:r>
        <w:rPr>
          <w:rFonts w:ascii="Consolas" w:hAnsi="Consolas"/>
          <w:color w:val="2563EB"/>
          <w:sz w:val="18"/>
        </w:rPr>
        <w:t>Senior Design Project (SDP) – Review 2</w:t>
      </w:r>
    </w:p>
    <w:p>
      <w:pPr>
        <w:pStyle w:val="ListBullet"/>
        <w:spacing w:before="0" w:after="50" w:line="269" w:lineRule="auto"/>
        <w:ind w:left="360"/>
      </w:pPr>
      <w:r>
        <w:rPr>
          <w:rFonts w:ascii="Calibri" w:hAnsi="Calibri"/>
          <w:b/>
          <w:color w:val="1E293B"/>
          <w:sz w:val="19"/>
        </w:rPr>
        <w:t>Rubric Mapping:</w:t>
      </w:r>
      <w:r>
        <w:rPr>
          <w:rFonts w:ascii="Calibri" w:hAnsi="Calibri"/>
          <w:i w:val="0"/>
          <w:color w:val="1E293B"/>
          <w:sz w:val="19"/>
        </w:rPr>
        <w:t xml:space="preserve"> </w:t>
      </w:r>
      <w:r>
        <w:rPr>
          <w:rFonts w:ascii="Calibri" w:hAnsi="Calibri"/>
          <w:b/>
          <w:color w:val="1E293B"/>
          <w:sz w:val="19"/>
        </w:rPr>
        <w:t>PI 9.1.2</w:t>
      </w:r>
      <w:r>
        <w:rPr>
          <w:rFonts w:ascii="Calibri" w:hAnsi="Calibri"/>
          <w:i w:val="0"/>
          <w:color w:val="1E293B"/>
          <w:sz w:val="19"/>
        </w:rPr>
        <w:t xml:space="preserve"> (Organize and produce well-structured presentation content) &amp; </w:t>
      </w:r>
      <w:r>
        <w:rPr>
          <w:rFonts w:ascii="Calibri" w:hAnsi="Calibri"/>
          <w:b/>
          <w:color w:val="1E293B"/>
          <w:sz w:val="19"/>
        </w:rPr>
        <w:t>PI 9.1.3</w:t>
      </w:r>
      <w:r>
        <w:rPr>
          <w:rFonts w:ascii="Calibri" w:hAnsi="Calibri"/>
          <w:i w:val="0"/>
          <w:color w:val="1E293B"/>
          <w:sz w:val="19"/>
        </w:rPr>
        <w:t xml:space="preserve"> (Effective oral delivery and professional introduction).</w:t>
      </w:r>
    </w:p>
    <w:p>
      <w:pPr>
        <w:pStyle w:val="ListBullet"/>
        <w:spacing w:before="0" w:after="50" w:line="269" w:lineRule="auto"/>
        <w:ind w:left="360"/>
      </w:pPr>
      <w:r>
        <w:rPr>
          <w:rFonts w:ascii="Calibri" w:hAnsi="Calibri"/>
          <w:b/>
          <w:color w:val="1E293B"/>
          <w:sz w:val="19"/>
        </w:rPr>
        <w:t>Visual Composition:</w:t>
      </w:r>
      <w:r>
        <w:rPr>
          <w:rFonts w:ascii="Calibri" w:hAnsi="Calibri"/>
          <w:i w:val="0"/>
          <w:color w:val="1E293B"/>
          <w:sz w:val="19"/>
        </w:rPr>
        <w:t xml:space="preserve"> Clean modern header card, KLE Tech institutional color accents, team member credentials table, project title, guide designation.</w:t>
      </w:r>
    </w:p>
    <w:p>
      <w:pPr>
        <w:keepNext/>
        <w:spacing w:before="200" w:after="40"/>
      </w:pPr>
      <w:r>
        <w:rPr>
          <w:rFonts w:ascii="Calibri" w:hAnsi="Calibri"/>
          <w:b/>
          <w:color w:val="1A5FB4"/>
          <w:sz w:val="23"/>
        </w:rPr>
        <w:t>2. Breakdown of On-Slide Content</w:t>
      </w:r>
    </w:p>
    <w:p>
      <w:pPr>
        <w:pStyle w:val="ListBullet"/>
        <w:spacing w:before="0" w:after="50" w:line="269" w:lineRule="auto"/>
        <w:ind w:left="360"/>
      </w:pPr>
      <w:r>
        <w:rPr>
          <w:rFonts w:ascii="Calibri" w:hAnsi="Calibri"/>
          <w:b/>
          <w:color w:val="1E293B"/>
          <w:sz w:val="19"/>
        </w:rPr>
        <w:t>Project Title:</w:t>
      </w:r>
      <w:r>
        <w:rPr>
          <w:rFonts w:ascii="Calibri" w:hAnsi="Calibri"/>
          <w:i w:val="0"/>
          <w:color w:val="1E293B"/>
          <w:sz w:val="19"/>
        </w:rPr>
        <w:t xml:space="preserve"> </w:t>
      </w:r>
      <w:r>
        <w:rPr>
          <w:rFonts w:ascii="Calibri" w:hAnsi="Calibri"/>
          <w:i/>
          <w:color w:val="1E293B"/>
          <w:sz w:val="19"/>
        </w:rPr>
        <w:t>Privacy-Preserving Federated Generative Replay for Rare Disease Diagnosis: A Multi-Center Study on Idiopathic Pulmonary Fibrosis (IPF)</w:t>
      </w:r>
    </w:p>
    <w:p>
      <w:pPr>
        <w:pStyle w:val="ListBullet"/>
        <w:spacing w:before="0" w:after="50" w:line="269" w:lineRule="auto"/>
        <w:ind w:left="360"/>
      </w:pPr>
      <w:r>
        <w:rPr>
          <w:rFonts w:ascii="Calibri" w:hAnsi="Calibri"/>
          <w:b/>
          <w:color w:val="1E293B"/>
          <w:sz w:val="19"/>
        </w:rPr>
        <w:t>Project Guide:</w:t>
      </w:r>
      <w:r>
        <w:rPr>
          <w:rFonts w:ascii="Calibri" w:hAnsi="Calibri"/>
          <w:i w:val="0"/>
          <w:color w:val="1E293B"/>
          <w:sz w:val="19"/>
        </w:rPr>
        <w:t xml:space="preserve"> Prof. Mallikarjun Akki</w:t>
      </w:r>
    </w:p>
    <w:p>
      <w:pPr>
        <w:pStyle w:val="ListBullet"/>
        <w:spacing w:before="0" w:after="50" w:line="269" w:lineRule="auto"/>
        <w:ind w:left="360"/>
      </w:pPr>
      <w:r>
        <w:rPr>
          <w:rFonts w:ascii="Calibri" w:hAnsi="Calibri"/>
          <w:b/>
          <w:color w:val="1E293B"/>
          <w:sz w:val="19"/>
        </w:rPr>
        <w:t>Student Credentials:</w:t>
      </w:r>
      <w:r>
        <w:rPr>
          <w:rFonts w:ascii="Calibri" w:hAnsi="Calibri"/>
          <w:i w:val="0"/>
          <w:color w:val="1E293B"/>
          <w:sz w:val="19"/>
        </w:rPr>
        <w:t xml:space="preserve"> Ishwari J (Roll 117), Rakshita J (Roll 217), Amrutavarshini B (Roll 219), Aditya C (Roll 217).</w:t>
      </w:r>
    </w:p>
    <w:p>
      <w:pPr>
        <w:pStyle w:val="ListBullet"/>
        <w:spacing w:before="0" w:after="50" w:line="269" w:lineRule="auto"/>
        <w:ind w:left="360"/>
      </w:pPr>
      <w:r>
        <w:rPr>
          <w:rFonts w:ascii="Calibri" w:hAnsi="Calibri"/>
          <w:b/>
          <w:color w:val="1E293B"/>
          <w:sz w:val="19"/>
        </w:rPr>
        <w:t>Institutional Affiliation:</w:t>
      </w:r>
      <w:r>
        <w:rPr>
          <w:rFonts w:ascii="Calibri" w:hAnsi="Calibri"/>
          <w:i w:val="0"/>
          <w:color w:val="1E293B"/>
          <w:sz w:val="19"/>
        </w:rPr>
        <w:t xml:space="preserve"> Department of Computer Science and Engineering, KLE Technological University, Hubballi.</w:t>
      </w:r>
    </w:p>
    <w:p>
      <w:pPr>
        <w:keepNext/>
        <w:spacing w:before="200" w:after="40"/>
      </w:pPr>
      <w:r>
        <w:rPr>
          <w:rFonts w:ascii="Calibri" w:hAnsi="Calibri"/>
          <w:b/>
          <w:color w:val="1A5FB4"/>
          <w:sz w:val="23"/>
        </w:rPr>
        <w:t>3. Deep Technical &amp; Contextual Explanation</w:t>
      </w:r>
    </w:p>
    <w:p>
      <w:pPr>
        <w:spacing w:before="0" w:after="70" w:line="276" w:lineRule="auto"/>
      </w:pPr>
      <w:r>
        <w:rPr>
          <w:rFonts w:ascii="Calibri" w:hAnsi="Calibri"/>
          <w:i w:val="0"/>
          <w:color w:val="1E293B"/>
          <w:sz w:val="20"/>
        </w:rPr>
        <w:t>Slide 1 establishes the scope and identity of the project. The title encapsulates three foundational pillars of modern clinical artificial intelligence:</w:t>
      </w:r>
    </w:p>
    <w:p>
      <w:pPr>
        <w:pStyle w:val="ListBullet"/>
        <w:spacing w:before="0" w:after="50" w:line="269" w:lineRule="auto"/>
        <w:ind w:left="360"/>
      </w:pPr>
      <w:r>
        <w:rPr>
          <w:rFonts w:ascii="Calibri" w:hAnsi="Calibri"/>
          <w:b/>
          <w:color w:val="1E293B"/>
          <w:sz w:val="19"/>
        </w:rPr>
        <w:t>Privacy-Preservation:</w:t>
      </w:r>
      <w:r>
        <w:rPr>
          <w:rFonts w:ascii="Calibri" w:hAnsi="Calibri"/>
          <w:i w:val="0"/>
          <w:color w:val="1E293B"/>
          <w:sz w:val="19"/>
        </w:rPr>
        <w:t xml:space="preserve"> Strict compliance with international health data regulations (HIPAA in the US, GDPR in Europe, and DISHA in India). No raw medical imaging data (DICOM CT slices) ever cross hospital perimeters.</w:t>
      </w:r>
    </w:p>
    <w:p>
      <w:pPr>
        <w:pStyle w:val="ListBullet"/>
        <w:spacing w:before="0" w:after="50" w:line="269" w:lineRule="auto"/>
        <w:ind w:left="360"/>
      </w:pPr>
      <w:r>
        <w:rPr>
          <w:rFonts w:ascii="Calibri" w:hAnsi="Calibri"/>
          <w:b/>
          <w:color w:val="1E293B"/>
          <w:sz w:val="19"/>
        </w:rPr>
        <w:t>Federated Generative Replay:</w:t>
      </w:r>
      <w:r>
        <w:rPr>
          <w:rFonts w:ascii="Calibri" w:hAnsi="Calibri"/>
          <w:i w:val="0"/>
          <w:color w:val="1E293B"/>
          <w:sz w:val="19"/>
        </w:rPr>
        <w:t xml:space="preserve"> Instead of sharing raw patient data or relying on centralized servers to balance classes, edge nodes synthesize latent feature representations locally. This eliminates class imbalance without transferring identifiable patient attributes.</w:t>
      </w:r>
    </w:p>
    <w:p>
      <w:pPr>
        <w:pStyle w:val="ListBullet"/>
        <w:spacing w:before="0" w:after="50" w:line="269" w:lineRule="auto"/>
        <w:ind w:left="360"/>
      </w:pPr>
      <w:r>
        <w:rPr>
          <w:rFonts w:ascii="Calibri" w:hAnsi="Calibri"/>
          <w:b/>
          <w:color w:val="1E293B"/>
          <w:sz w:val="19"/>
        </w:rPr>
        <w:t>Multi-Center Study on Idiopathic Pulmonary Fibrosis (IPF):</w:t>
      </w:r>
      <w:r>
        <w:rPr>
          <w:rFonts w:ascii="Calibri" w:hAnsi="Calibri"/>
          <w:i w:val="0"/>
          <w:color w:val="1E293B"/>
          <w:sz w:val="19"/>
        </w:rPr>
        <w:t xml:space="preserve"> Grounding the algorithmic engineering in a high-impact, clinically validated, ultra-rare thoracic pathology where conventional centralized machine learning fails due to severe data scarcity.</w:t>
      </w:r>
    </w:p>
    <w:p>
      <w:pPr>
        <w:keepNext/>
        <w:spacing w:before="200" w:after="40"/>
      </w:pPr>
      <w:r>
        <w:rPr>
          <w:rFonts w:ascii="Calibri" w:hAnsi="Calibri"/>
          <w:b/>
          <w:color w:val="1A5FB4"/>
          <w:sz w:val="23"/>
        </w:rPr>
        <w:t>4. Verbatim Oral Defense Script (Speaker Notes)</w:t>
      </w:r>
    </w:p>
    <w:tbl>
      <w:tblPr>
        <w:tblW w:type="auto" w:w="0"/>
        <w:jc w:val="center"/>
        <w:tblLayout w:type="fixed"/>
        <w:tblLook w:firstColumn="1" w:firstRow="1" w:lastColumn="0" w:lastRow="0" w:noHBand="0" w:noVBand="1" w:val="04A0"/>
      </w:tblPr>
      <w:tblGrid>
        <w:gridCol w:w="9360"/>
      </w:tblGrid>
      <w:tr>
        <w:tc>
          <w:tcPr>
            <w:tcW w:type="dxa" w:w="9360"/>
            <w:shd w:fill="F0F7FF"/>
            <w:tcBorders>
              <w:top w:val="none"/>
              <w:left w:val="single" w:sz="36" w:space="0" w:color="1A5FB4"/>
              <w:bottom w:val="none"/>
              <w:right w:val="none"/>
            </w:tcBorders>
            <w:tcMar>
              <w:top w:w="120" w:type="dxa"/>
              <w:bottom w:w="120" w:type="dxa"/>
              <w:left w:w="180" w:type="dxa"/>
              <w:right w:w="160" w:type="dxa"/>
            </w:tcMar>
          </w:tcPr>
          <w:p>
            <w:pPr>
              <w:spacing w:before="0" w:after="80"/>
            </w:pPr>
            <w:r>
              <w:rPr>
                <w:rFonts w:ascii="Calibri" w:hAnsi="Calibri"/>
                <w:b/>
                <w:color w:val="1A5FB4"/>
                <w:sz w:val="20"/>
              </w:rPr>
              <w:t>🗣️  VERBATIM ORAL DEFENSE SCRIPT (SPEAKER NOTES)</w:t>
            </w:r>
          </w:p>
          <w:p>
            <w:pPr>
              <w:spacing w:before="40" w:after="80" w:line="276" w:lineRule="auto"/>
            </w:pPr>
            <w:r>
              <w:rPr>
                <w:rFonts w:ascii="Calibri" w:hAnsi="Calibri"/>
                <w:i/>
                <w:color w:val="1E293B"/>
                <w:sz w:val="19"/>
              </w:rPr>
              <w:t>"Good morning, respected members of the evaluation panel and our project guide, Prof. Mallikarjun Akki. We are Team 48, comprising Ishwari, Rakshita, Amrutavarshini, and Aditya from the Department of Computer Science and Engineering. Today, we present our Senior Design Project Review 2 on 'Privacy-Preserving Federated Generative Replay for Rare Disease Diagnosis: A Multi-Center Study on Idiopathic Pulmonary Fibrosis'."</w:t>
            </w:r>
          </w:p>
          <w:p>
            <w:pPr>
              <w:spacing w:before="40" w:after="0" w:line="276" w:lineRule="auto"/>
            </w:pPr>
            <w:r>
              <w:rPr>
                <w:rFonts w:ascii="Calibri" w:hAnsi="Calibri"/>
                <w:i/>
                <w:color w:val="1E293B"/>
                <w:sz w:val="19"/>
              </w:rPr>
              <w:t>"In Review 1, our problem formulation was evaluated, and the panel provided constructive critique regarding disease scoping and baseline justification. Over the past several weeks, we have addressed every feedback item, formalized the system requirements under PI 3.1.3, engineered a modular pictorial system architecture under PI 3.3.1, mathematically formalized our algorithms under PI 3.3.3, and built a 31-test automated verification suite using modern tools under PI 5.2.2 and PI 12.1.2. We are excited to walk you through our technical progress."</w:t>
            </w:r>
          </w:p>
        </w:tc>
      </w:tr>
    </w:tbl>
    <w:p>
      <w:pPr>
        <w:spacing w:after="40"/>
      </w:pPr>
    </w:p>
    <w:p>
      <w:pPr>
        <w:keepNext/>
        <w:spacing w:before="200" w:after="40"/>
      </w:pPr>
      <w:r>
        <w:rPr>
          <w:rFonts w:ascii="Calibri" w:hAnsi="Calibri"/>
          <w:b/>
          <w:color w:val="1A5FB4"/>
          <w:sz w:val="23"/>
        </w:rPr>
        <w:t>5. Anticipated Reviewer Questions &amp; Bulletproof Defense</w:t>
      </w:r>
    </w:p>
    <w:tbl>
      <w:tblPr>
        <w:tblW w:type="auto" w:w="0"/>
        <w:jc w:val="center"/>
        <w:tblLayout w:type="fixed"/>
        <w:tblLook w:firstColumn="1" w:firstRow="1" w:lastColumn="0" w:lastRow="0" w:noHBand="0" w:noVBand="1" w:val="04A0"/>
      </w:tblPr>
      <w:tblGrid>
        <w:gridCol w:w="9360"/>
      </w:tblGrid>
      <w:tr>
        <w:tc>
          <w:tcPr>
            <w:tcW w:type="dxa" w:w="9360"/>
            <w:shd w:fill="FFFBEB"/>
            <w:tcBorders>
              <w:top w:val="none"/>
              <w:left w:val="single" w:sz="36" w:space="0" w:color="D97706"/>
              <w:bottom w:val="none"/>
              <w:right w:val="none"/>
            </w:tcBorders>
            <w:tcMar>
              <w:top w:w="120" w:type="dxa"/>
              <w:bottom w:w="120" w:type="dxa"/>
              <w:left w:w="180" w:type="dxa"/>
              <w:right w:w="160" w:type="dxa"/>
            </w:tcMar>
          </w:tcPr>
          <w:p>
            <w:pPr>
              <w:spacing w:before="0" w:after="80"/>
            </w:pPr>
            <w:r>
              <w:rPr>
                <w:rFonts w:ascii="Calibri" w:hAnsi="Calibri"/>
                <w:b/>
                <w:color w:val="92400E"/>
                <w:sz w:val="20"/>
              </w:rPr>
              <w:t>❓  ANTICIPATED REVIEWER QUESTIONS &amp; BULLETPROOF DEFENSE</w:t>
            </w:r>
          </w:p>
          <w:p>
            <w:pPr>
              <w:spacing w:before="80" w:after="40" w:line="269" w:lineRule="auto"/>
            </w:pPr>
            <w:r>
              <w:rPr>
                <w:rFonts w:ascii="Calibri" w:hAnsi="Calibri"/>
                <w:b/>
                <w:color w:val="92400E"/>
                <w:sz w:val="19"/>
              </w:rPr>
              <w:t xml:space="preserve">Q1: </w:t>
            </w:r>
            <w:r>
              <w:rPr>
                <w:rFonts w:ascii="Calibri" w:hAnsi="Calibri"/>
                <w:i w:val="0"/>
                <w:color w:val="92400E"/>
                <w:sz w:val="19"/>
              </w:rPr>
              <w:t>Why did your title specifically change to emphasize a single rare disease instead of a generic multi-disease federated platform?</w:t>
            </w:r>
          </w:p>
          <w:p>
            <w:pPr>
              <w:spacing w:before="20" w:after="0" w:line="269" w:lineRule="auto"/>
            </w:pPr>
            <w:r>
              <w:rPr>
                <w:rFonts w:ascii="Calibri" w:hAnsi="Calibri"/>
                <w:b/>
                <w:color w:val="0A2540"/>
                <w:sz w:val="19"/>
              </w:rPr>
              <w:t xml:space="preserve">Defense Answer: </w:t>
            </w:r>
            <w:r>
              <w:rPr>
                <w:rFonts w:ascii="Calibri" w:hAnsi="Calibri"/>
                <w:i w:val="0"/>
                <w:color w:val="1E293B"/>
                <w:sz w:val="19"/>
              </w:rPr>
              <w:t>In Review 1, the panel rightly pointed out that clinical imaging modalities are fundamentally non-interoperable across disparate rare diseases—for example, ophthalmological fundus scans cannot share convolutional feature extractors with thoracic high-resolution CT scans. Furthermore, gradient updates across unrelated diseases are orthogonal or conflicting, inducing catastrophic client drift. Therefore, we tightened our scope to Idiopathic Pulmonary Fibrosis (IPF), where federated multi-center collaboration solves a genuine clinical bottleneck.</w:t>
            </w:r>
          </w:p>
        </w:tc>
      </w:tr>
    </w:tbl>
    <w:p>
      <w:pPr>
        <w:spacing w:after="40"/>
      </w:pPr>
    </w:p>
    <w:p>
      <w:pPr>
        <w:keepNext/>
        <w:spacing w:before="200" w:after="40"/>
      </w:pPr>
      <w:r>
        <w:rPr>
          <w:rFonts w:ascii="Calibri" w:hAnsi="Calibri"/>
          <w:b/>
          <w:color w:val="1A5FB4"/>
          <w:sz w:val="23"/>
        </w:rPr>
        <w:t>6. Plain-English Intuitive Explanation (In Simple Words)</w:t>
      </w:r>
    </w:p>
    <w:tbl>
      <w:tblPr>
        <w:tblW w:type="auto" w:w="0"/>
        <w:jc w:val="center"/>
        <w:tblLayout w:type="fixed"/>
        <w:tblLook w:firstColumn="1" w:firstRow="1" w:lastColumn="0" w:lastRow="0" w:noHBand="0" w:noVBand="1" w:val="04A0"/>
      </w:tblPr>
      <w:tblGrid>
        <w:gridCol w:w="9360"/>
      </w:tblGrid>
      <w:tr>
        <w:tc>
          <w:tcPr>
            <w:tcW w:type="dxa" w:w="9360"/>
            <w:shd w:fill="F0FDF4"/>
            <w:tcBorders>
              <w:top w:val="none"/>
              <w:left w:val="single" w:sz="36" w:space="0" w:color="16A34A"/>
              <w:bottom w:val="none"/>
              <w:right w:val="none"/>
            </w:tcBorders>
            <w:tcMar>
              <w:top w:w="120" w:type="dxa"/>
              <w:bottom w:w="120" w:type="dxa"/>
              <w:left w:w="180" w:type="dxa"/>
              <w:right w:w="160" w:type="dxa"/>
            </w:tcMar>
          </w:tcPr>
          <w:p>
            <w:pPr>
              <w:spacing w:before="0" w:after="80"/>
            </w:pPr>
            <w:r>
              <w:rPr>
                <w:rFonts w:ascii="Calibri" w:hAnsi="Calibri"/>
                <w:b/>
                <w:color w:val="15803D"/>
                <w:sz w:val="20"/>
              </w:rPr>
              <w:t>💡  IN SIMPLE WORDS — INTUITIVE EXPLANATION &amp; CONCEPTS</w:t>
            </w:r>
          </w:p>
          <w:p>
            <w:pPr>
              <w:spacing w:before="40" w:after="60" w:line="269" w:lineRule="auto"/>
            </w:pPr>
            <w:r>
              <w:rPr>
                <w:rFonts w:ascii="Calibri" w:hAnsi="Calibri"/>
                <w:b/>
                <w:color w:val="15803D"/>
                <w:sz w:val="19"/>
              </w:rPr>
              <w:t xml:space="preserve">• The Core Idea in One Sentence: </w:t>
            </w:r>
            <w:r>
              <w:rPr>
                <w:rFonts w:ascii="Calibri" w:hAnsi="Calibri"/>
                <w:i w:val="0"/>
                <w:color w:val="1E293B"/>
                <w:sz w:val="19"/>
              </w:rPr>
              <w:t>We are building a collaborative AI system that allows different hospitals to teach a computer how to detect an extremely rare, fatal lung disease without any hospital ever sharing its private patient medical scans outside its own building.</w:t>
            </w:r>
          </w:p>
          <w:p>
            <w:pPr>
              <w:spacing w:before="40" w:after="60" w:line="269" w:lineRule="auto"/>
            </w:pPr>
            <w:r>
              <w:rPr>
                <w:rFonts w:ascii="Calibri" w:hAnsi="Calibri"/>
                <w:b/>
                <w:color w:val="15803D"/>
                <w:sz w:val="19"/>
              </w:rPr>
              <w:t xml:space="preserve">• Privacy-Preserving: </w:t>
            </w:r>
            <w:r>
              <w:rPr>
                <w:rFonts w:ascii="Calibri" w:hAnsi="Calibri"/>
                <w:i w:val="0"/>
                <w:color w:val="1E293B"/>
                <w:sz w:val="19"/>
              </w:rPr>
              <w:t>Imagine if a hospital could consult world-class medical specialists without ever revealing a patient's photo, name, or confidential record. The scans remain safely locked inside the local clinic firewall.</w:t>
            </w:r>
          </w:p>
          <w:p>
            <w:pPr>
              <w:spacing w:before="40" w:after="60" w:line="269" w:lineRule="auto"/>
            </w:pPr>
            <w:r>
              <w:rPr>
                <w:rFonts w:ascii="Calibri" w:hAnsi="Calibri"/>
                <w:b/>
                <w:color w:val="15803D"/>
                <w:sz w:val="19"/>
              </w:rPr>
              <w:t xml:space="preserve">• Federated Learning: </w:t>
            </w:r>
            <w:r>
              <w:rPr>
                <w:rFonts w:ascii="Calibri" w:hAnsi="Calibri"/>
                <w:i w:val="0"/>
                <w:color w:val="1E293B"/>
                <w:sz w:val="19"/>
              </w:rPr>
              <w:t>In old-fashioned machine learning, all hospitals had to upload their private scans to one giant central cloud server. In Federated Learning, the data never travels. Instead, a copy of the AI program travels to each hospital, practices on the hospital's private scans on-site, and sends back only abstract numerical lessons (weights and gradients)—never actual images.</w:t>
            </w:r>
          </w:p>
          <w:p>
            <w:pPr>
              <w:spacing w:before="40" w:after="60" w:line="269" w:lineRule="auto"/>
            </w:pPr>
            <w:r>
              <w:rPr>
                <w:rFonts w:ascii="Calibri" w:hAnsi="Calibri"/>
                <w:b/>
                <w:color w:val="15803D"/>
                <w:sz w:val="19"/>
              </w:rPr>
              <w:t xml:space="preserve">• Generative Replay: </w:t>
            </w:r>
            <w:r>
              <w:rPr>
                <w:rFonts w:ascii="Calibri" w:hAnsi="Calibri"/>
                <w:i w:val="0"/>
                <w:color w:val="1E293B"/>
                <w:sz w:val="19"/>
              </w:rPr>
              <w:t>In small rural clinics, a doctor might see an Idiopathic Pulmonary Fibrosis patient only once every few years, or never! Because the local AI has almost no real rare patients to learn from, our system generates artificial mathematical 'flashcards' of the rare disease right inside the clinic so the AI doesn't forget how to spot it.</w:t>
            </w:r>
          </w:p>
          <w:p>
            <w:pPr>
              <w:spacing w:before="40" w:after="60" w:line="269" w:lineRule="auto"/>
            </w:pPr>
            <w:r>
              <w:rPr>
                <w:rFonts w:ascii="Calibri" w:hAnsi="Calibri"/>
                <w:b/>
                <w:color w:val="15803D"/>
                <w:sz w:val="19"/>
              </w:rPr>
              <w:t xml:space="preserve">• Idiopathic Pulmonary Fibrosis (IPF): </w:t>
            </w:r>
            <w:r>
              <w:rPr>
                <w:rFonts w:ascii="Calibri" w:hAnsi="Calibri"/>
                <w:i w:val="0"/>
                <w:color w:val="1E293B"/>
                <w:sz w:val="19"/>
              </w:rPr>
              <w:t>'Idiopathic' means doctors do not know what causes it; 'Pulmonary Fibrosis' means lung tissue progressively turns into thick, stiff scar tissue until breathing becomes difficult.</w:t>
            </w:r>
          </w:p>
          <w:p>
            <w:pPr>
              <w:spacing w:before="40" w:after="0" w:line="269" w:lineRule="auto"/>
            </w:pPr>
            <w:r>
              <w:rPr>
                <w:rFonts w:ascii="Calibri" w:hAnsi="Calibri"/>
                <w:b/>
                <w:color w:val="15803D"/>
                <w:sz w:val="19"/>
              </w:rPr>
              <w:t xml:space="preserve">• Why this Matters for Your Defense: </w:t>
            </w:r>
            <w:r>
              <w:rPr>
                <w:rFonts w:ascii="Calibri" w:hAnsi="Calibri"/>
                <w:i w:val="0"/>
                <w:color w:val="1E293B"/>
                <w:sz w:val="19"/>
              </w:rPr>
              <w:t>It immediately assures the panel that you understand the real-world medical, legal, and algorithmic significance of your project title rather than just repeating academic buzzwords.</w:t>
            </w:r>
          </w:p>
        </w:tc>
      </w:tr>
    </w:tbl>
    <w:p>
      <w:pPr>
        <w:spacing w:after="40"/>
      </w:pPr>
    </w:p>
    <w:p>
      <w:pPr>
        <w:keepNext/>
        <w:spacing w:before="280" w:after="60"/>
      </w:pPr>
      <w:r>
        <w:rPr>
          <w:rFonts w:ascii="Calibri" w:hAnsi="Calibri"/>
          <w:b/>
          <w:color w:val="0A2540"/>
          <w:sz w:val="30"/>
        </w:rPr>
        <w:t>Slide 2: Review 1 Feedback &amp; Problem Formulation</w:t>
      </w:r>
      <w:r>
        <w:rPr>
          <w:rFonts w:ascii="Calibri" w:hAnsi="Calibri"/>
          <w:b/>
          <w:color w:val="1A5FB4"/>
          <w:sz w:val="21"/>
        </w:rPr>
        <w:t xml:space="preserve">  [PI 3.1.3 / PI 12.1.2]</w:t>
      </w:r>
    </w:p>
    <w:p>
      <w:pPr>
        <w:keepNext/>
        <w:spacing w:before="200" w:after="40"/>
      </w:pPr>
      <w:r>
        <w:rPr>
          <w:rFonts w:ascii="Calibri" w:hAnsi="Calibri"/>
          <w:b/>
          <w:color w:val="1A5FB4"/>
          <w:sz w:val="23"/>
        </w:rPr>
        <w:t>1. Slide Metadata</w:t>
      </w:r>
    </w:p>
    <w:p>
      <w:pPr>
        <w:pStyle w:val="ListBullet"/>
        <w:spacing w:before="0" w:after="50" w:line="269" w:lineRule="auto"/>
        <w:ind w:left="360"/>
      </w:pPr>
      <w:r>
        <w:rPr>
          <w:rFonts w:ascii="Calibri" w:hAnsi="Calibri"/>
          <w:b/>
          <w:color w:val="1E293B"/>
          <w:sz w:val="19"/>
        </w:rPr>
        <w:t>Slide Title:</w:t>
      </w:r>
      <w:r>
        <w:rPr>
          <w:rFonts w:ascii="Calibri" w:hAnsi="Calibri"/>
          <w:i w:val="0"/>
          <w:color w:val="1E293B"/>
          <w:sz w:val="19"/>
        </w:rPr>
        <w:t xml:space="preserve"> </w:t>
      </w:r>
      <w:r>
        <w:rPr>
          <w:rFonts w:ascii="Consolas" w:hAnsi="Consolas"/>
          <w:color w:val="2563EB"/>
          <w:sz w:val="18"/>
        </w:rPr>
        <w:t>Review 1 Feedback &amp; Problem Formulation</w:t>
      </w:r>
    </w:p>
    <w:p>
      <w:pPr>
        <w:pStyle w:val="ListBullet"/>
        <w:spacing w:before="0" w:after="50" w:line="269" w:lineRule="auto"/>
        <w:ind w:left="360"/>
      </w:pPr>
      <w:r>
        <w:rPr>
          <w:rFonts w:ascii="Calibri" w:hAnsi="Calibri"/>
          <w:b/>
          <w:color w:val="1E293B"/>
          <w:sz w:val="19"/>
        </w:rPr>
        <w:t>On-Slide Subtitle:</w:t>
      </w:r>
      <w:r>
        <w:rPr>
          <w:rFonts w:ascii="Calibri" w:hAnsi="Calibri"/>
          <w:i w:val="0"/>
          <w:color w:val="1E293B"/>
          <w:sz w:val="19"/>
        </w:rPr>
        <w:t xml:space="preserve"> </w:t>
      </w:r>
      <w:r>
        <w:rPr>
          <w:rFonts w:ascii="Consolas" w:hAnsi="Consolas"/>
          <w:color w:val="2563EB"/>
          <w:sz w:val="18"/>
        </w:rPr>
        <w:t>ADDRESSING REVIEWER CRITIQUE &amp; RESEARCH JUSTIFICATION</w:t>
      </w:r>
    </w:p>
    <w:p>
      <w:pPr>
        <w:pStyle w:val="ListBullet"/>
        <w:spacing w:before="0" w:after="50" w:line="269" w:lineRule="auto"/>
        <w:ind w:left="360"/>
      </w:pPr>
      <w:r>
        <w:rPr>
          <w:rFonts w:ascii="Calibri" w:hAnsi="Calibri"/>
          <w:b/>
          <w:color w:val="1E293B"/>
          <w:sz w:val="19"/>
        </w:rPr>
        <w:t>Rubric Mapping:</w:t>
      </w:r>
      <w:r>
        <w:rPr>
          <w:rFonts w:ascii="Calibri" w:hAnsi="Calibri"/>
          <w:i w:val="0"/>
          <w:color w:val="1E293B"/>
          <w:sz w:val="19"/>
        </w:rPr>
        <w:t xml:space="preserve"> </w:t>
      </w:r>
      <w:r>
        <w:rPr>
          <w:rFonts w:ascii="Calibri" w:hAnsi="Calibri"/>
          <w:b/>
          <w:color w:val="1E293B"/>
          <w:sz w:val="19"/>
        </w:rPr>
        <w:t>PI 3.1.3</w:t>
      </w:r>
      <w:r>
        <w:rPr>
          <w:rFonts w:ascii="Calibri" w:hAnsi="Calibri"/>
          <w:i w:val="0"/>
          <w:color w:val="1E293B"/>
          <w:sz w:val="19"/>
        </w:rPr>
        <w:t xml:space="preserve"> (Design objectives and literature review alignment) &amp; </w:t>
      </w:r>
      <w:r>
        <w:rPr>
          <w:rFonts w:ascii="Calibri" w:hAnsi="Calibri"/>
          <w:b/>
          <w:color w:val="1E293B"/>
          <w:sz w:val="19"/>
        </w:rPr>
        <w:t>PI 12.1.2</w:t>
      </w:r>
      <w:r>
        <w:rPr>
          <w:rFonts w:ascii="Calibri" w:hAnsi="Calibri"/>
          <w:i w:val="0"/>
          <w:color w:val="1E293B"/>
          <w:sz w:val="19"/>
        </w:rPr>
        <w:t xml:space="preserve"> (Critical thinking, addressing feedback, and scientific justification).</w:t>
      </w:r>
    </w:p>
    <w:p>
      <w:pPr>
        <w:pStyle w:val="ListBullet"/>
        <w:spacing w:before="0" w:after="50" w:line="269" w:lineRule="auto"/>
        <w:ind w:left="360"/>
      </w:pPr>
      <w:r>
        <w:rPr>
          <w:rFonts w:ascii="Calibri" w:hAnsi="Calibri"/>
          <w:b/>
          <w:color w:val="1E293B"/>
          <w:sz w:val="19"/>
        </w:rPr>
        <w:t>Visual Composition:</w:t>
      </w:r>
      <w:r>
        <w:rPr>
          <w:rFonts w:ascii="Calibri" w:hAnsi="Calibri"/>
          <w:i w:val="0"/>
          <w:color w:val="1E293B"/>
          <w:sz w:val="19"/>
        </w:rPr>
        <w:t xml:space="preserve"> Split-column layout. Left column: Reviewer critique and scientific reasons why the critique was valid. Right column: Selected single disease focus, identified SOTA baseline, and concrete scope for improvement.</w:t>
      </w:r>
    </w:p>
    <w:p>
      <w:pPr>
        <w:keepNext/>
        <w:spacing w:before="200" w:after="40"/>
      </w:pPr>
      <w:r>
        <w:rPr>
          <w:rFonts w:ascii="Calibri" w:hAnsi="Calibri"/>
          <w:b/>
          <w:color w:val="1A5FB4"/>
          <w:sz w:val="23"/>
        </w:rPr>
        <w:t>2. Breakdown of On-Slide Content</w:t>
      </w:r>
    </w:p>
    <w:p>
      <w:pPr>
        <w:pStyle w:val="ListBullet"/>
        <w:spacing w:before="0" w:after="50" w:line="269" w:lineRule="auto"/>
        <w:ind w:left="360"/>
      </w:pPr>
      <w:r>
        <w:rPr>
          <w:rFonts w:ascii="Calibri" w:hAnsi="Calibri"/>
          <w:b/>
          <w:color w:val="1E293B"/>
          <w:sz w:val="19"/>
        </w:rPr>
        <w:t>1. Reviewer Feedback &amp; Critique:</w:t>
      </w:r>
      <w:r>
        <w:rPr>
          <w:rFonts w:ascii="Calibri" w:hAnsi="Calibri"/>
          <w:i w:val="0"/>
          <w:color w:val="1E293B"/>
          <w:sz w:val="19"/>
        </w:rPr>
        <w:t xml:space="preserve"> 'Federated learning cannot be done for multiple rare diseases simultaneously. You must focus on a single rare disease — either a unique one or an existing baseline having clear scope for improvement.'</w:t>
      </w:r>
    </w:p>
    <w:p>
      <w:pPr>
        <w:pStyle w:val="ListBullet"/>
        <w:spacing w:before="0" w:after="50" w:line="269" w:lineRule="auto"/>
        <w:ind w:left="720"/>
      </w:pPr>
      <w:r>
        <w:rPr>
          <w:rFonts w:ascii="Calibri" w:hAnsi="Calibri"/>
          <w:b/>
          <w:color w:val="1E293B"/>
          <w:sz w:val="19"/>
        </w:rPr>
        <w:t>Scientific Justification of Critique:</w:t>
      </w:r>
      <w:r>
        <w:rPr>
          <w:rFonts w:ascii="Calibri" w:hAnsi="Calibri"/>
          <w:i w:val="0"/>
          <w:color w:val="1E293B"/>
          <w:sz w:val="19"/>
        </w:rPr>
        <w:t xml:space="preserve"> Cross-Modality Incompatibility (retina, brain, lung scans cannot share feature extractors); Conflicting Gradient Dynamics causing severe client drift; Regulatory &amp; Cohort Isolation preventing joint clinical consent.</w:t>
      </w:r>
    </w:p>
    <w:p>
      <w:pPr>
        <w:pStyle w:val="ListBullet"/>
        <w:spacing w:before="0" w:after="50" w:line="269" w:lineRule="auto"/>
        <w:ind w:left="360"/>
      </w:pPr>
      <w:r>
        <w:rPr>
          <w:rFonts w:ascii="Calibri" w:hAnsi="Calibri"/>
          <w:b/>
          <w:color w:val="1E293B"/>
          <w:sz w:val="19"/>
        </w:rPr>
        <w:t>2. Selected Single Disease Focus — Idiopathic Pulmonary Fibrosis (IPF):</w:t>
      </w:r>
      <w:r>
        <w:rPr>
          <w:rFonts w:ascii="Calibri" w:hAnsi="Calibri"/>
          <w:i w:val="0"/>
          <w:color w:val="1E293B"/>
          <w:sz w:val="19"/>
        </w:rPr>
        <w:t xml:space="preserve"> High-impact progressive interstitial lung disease with severe data scarcity (prevalence &lt; 0.05%, ORPHA:2032).</w:t>
      </w:r>
    </w:p>
    <w:p>
      <w:pPr>
        <w:pStyle w:val="ListBullet"/>
        <w:spacing w:before="0" w:after="50" w:line="269" w:lineRule="auto"/>
        <w:ind w:left="360"/>
      </w:pPr>
      <w:r>
        <w:rPr>
          <w:rFonts w:ascii="Calibri" w:hAnsi="Calibri"/>
          <w:b/>
          <w:color w:val="1E293B"/>
          <w:sz w:val="19"/>
        </w:rPr>
        <w:t>3. Identified SOTA Baseline — FedIIC (MICCAI 2023):</w:t>
      </w:r>
      <w:r>
        <w:rPr>
          <w:rFonts w:ascii="Calibri" w:hAnsi="Calibri"/>
          <w:i w:val="0"/>
          <w:color w:val="1E293B"/>
          <w:sz w:val="19"/>
        </w:rPr>
        <w:t xml:space="preserve"> Recognized state-of-the-art framework for class-imbalanced federated medical imaging.</w:t>
      </w:r>
    </w:p>
    <w:p>
      <w:pPr>
        <w:pStyle w:val="ListBullet"/>
        <w:spacing w:before="0" w:after="50" w:line="269" w:lineRule="auto"/>
        <w:ind w:left="360"/>
      </w:pPr>
      <w:r>
        <w:rPr>
          <w:rFonts w:ascii="Calibri" w:hAnsi="Calibri"/>
          <w:b/>
          <w:color w:val="1E293B"/>
          <w:sz w:val="19"/>
        </w:rPr>
        <w:t>4. Concrete Scope for Improvement:</w:t>
      </w:r>
      <w:r>
        <w:rPr>
          <w:rFonts w:ascii="Calibri" w:hAnsi="Calibri"/>
          <w:i w:val="0"/>
          <w:color w:val="1E293B"/>
          <w:sz w:val="19"/>
        </w:rPr>
        <w:t xml:space="preserve"> FedIIC collapses on ultra-rare diseases where community clinics have 0 or 1 scan because IntraSCL starves of positive pairs and DALA logit adjustment diverges. FedGen-Rare solves both failure modes.</w:t>
      </w:r>
    </w:p>
    <w:p>
      <w:pPr>
        <w:keepNext/>
        <w:spacing w:before="200" w:after="40"/>
      </w:pPr>
      <w:r>
        <w:rPr>
          <w:rFonts w:ascii="Calibri" w:hAnsi="Calibri"/>
          <w:b/>
          <w:color w:val="1A5FB4"/>
          <w:sz w:val="23"/>
        </w:rPr>
        <w:t>3. Deep Technical &amp; Contextual Explanation</w:t>
      </w:r>
    </w:p>
    <w:p>
      <w:pPr>
        <w:spacing w:before="0" w:after="70" w:line="276" w:lineRule="auto"/>
      </w:pPr>
      <w:r>
        <w:rPr>
          <w:rFonts w:ascii="Calibri" w:hAnsi="Calibri"/>
          <w:i w:val="0"/>
          <w:color w:val="1E293B"/>
          <w:sz w:val="20"/>
        </w:rPr>
        <w:t>Addressing reviewer feedback with scientific humility and engineering precision is a core requirement of PI 12.1.2. The committee's critique in Review 1 was thoroughly validated through our literature analysis:</w:t>
      </w:r>
    </w:p>
    <w:p>
      <w:pPr>
        <w:pStyle w:val="ListBullet"/>
        <w:spacing w:before="0" w:after="50" w:line="269" w:lineRule="auto"/>
        <w:ind w:left="360"/>
      </w:pPr>
      <w:r>
        <w:rPr>
          <w:rFonts w:ascii="Calibri" w:hAnsi="Calibri"/>
          <w:b/>
          <w:color w:val="1E293B"/>
          <w:sz w:val="19"/>
        </w:rPr>
        <w:t>Representation Space Heterogeneity:</w:t>
      </w:r>
      <w:r>
        <w:rPr>
          <w:rFonts w:ascii="Calibri" w:hAnsi="Calibri"/>
          <w:i w:val="0"/>
          <w:color w:val="1E293B"/>
          <w:sz w:val="19"/>
        </w:rPr>
        <w:t xml:space="preserve"> Attempting to train a shared ResNet backbone on fundus imaging (2D RGB), brain MRI (3D T1/T2), and thoracic CT (axial Hounsfield Units) requires either disparate encoder heads or an excessively dilated feature manifold that destroys local feature granularity.</w:t>
      </w:r>
    </w:p>
    <w:p>
      <w:pPr>
        <w:pStyle w:val="ListBullet"/>
        <w:spacing w:before="0" w:after="50" w:line="269" w:lineRule="auto"/>
        <w:ind w:left="360"/>
      </w:pPr>
      <w:r>
        <w:rPr>
          <w:rFonts w:ascii="Calibri" w:hAnsi="Calibri"/>
          <w:b/>
          <w:color w:val="1E293B"/>
          <w:sz w:val="19"/>
        </w:rPr>
        <w:t>Gradient Orthogonality:</w:t>
      </w:r>
      <w:r>
        <w:rPr>
          <w:rFonts w:ascii="Calibri" w:hAnsi="Calibri"/>
          <w:i w:val="0"/>
          <w:color w:val="1E293B"/>
          <w:sz w:val="19"/>
        </w:rPr>
        <w:t xml:space="preserve"> Gradients calculated on retinal microaneurysms point in orthogonal directions relative to gradients calculated on pulmonary honeycombing, causing destructive gradient cancellation during federated averaging.</w:t>
      </w:r>
    </w:p>
    <w:p>
      <w:pPr>
        <w:pStyle w:val="ListBullet"/>
        <w:spacing w:before="0" w:after="50" w:line="269" w:lineRule="auto"/>
        <w:ind w:left="360"/>
      </w:pPr>
      <w:r>
        <w:rPr>
          <w:rFonts w:ascii="Calibri" w:hAnsi="Calibri"/>
          <w:b/>
          <w:color w:val="1E293B"/>
          <w:sz w:val="19"/>
        </w:rPr>
        <w:t>Baseline Selection Rigor:</w:t>
      </w:r>
      <w:r>
        <w:rPr>
          <w:rFonts w:ascii="Calibri" w:hAnsi="Calibri"/>
          <w:i w:val="0"/>
          <w:color w:val="1E293B"/>
          <w:sz w:val="19"/>
        </w:rPr>
        <w:t xml:space="preserve"> By selecting FedIIC (published at MICCAI 2023, the premier venue in medical AI), we pit our proposed method against the strongest published peer-reviewed benchmark rather than an easily defeated strawman.</w:t>
      </w:r>
    </w:p>
    <w:p>
      <w:pPr>
        <w:keepNext/>
        <w:spacing w:before="200" w:after="40"/>
      </w:pPr>
      <w:r>
        <w:rPr>
          <w:rFonts w:ascii="Calibri" w:hAnsi="Calibri"/>
          <w:b/>
          <w:color w:val="1A5FB4"/>
          <w:sz w:val="23"/>
        </w:rPr>
        <w:t>4. Verbatim Oral Defense Script (Speaker Notes)</w:t>
      </w:r>
    </w:p>
    <w:tbl>
      <w:tblPr>
        <w:tblW w:type="auto" w:w="0"/>
        <w:jc w:val="center"/>
        <w:tblLayout w:type="fixed"/>
        <w:tblLook w:firstColumn="1" w:firstRow="1" w:lastColumn="0" w:lastRow="0" w:noHBand="0" w:noVBand="1" w:val="04A0"/>
      </w:tblPr>
      <w:tblGrid>
        <w:gridCol w:w="9360"/>
      </w:tblGrid>
      <w:tr>
        <w:tc>
          <w:tcPr>
            <w:tcW w:type="dxa" w:w="9360"/>
            <w:shd w:fill="F0F7FF"/>
            <w:tcBorders>
              <w:top w:val="none"/>
              <w:left w:val="single" w:sz="36" w:space="0" w:color="1A5FB4"/>
              <w:bottom w:val="none"/>
              <w:right w:val="none"/>
            </w:tcBorders>
            <w:tcMar>
              <w:top w:w="120" w:type="dxa"/>
              <w:bottom w:w="120" w:type="dxa"/>
              <w:left w:w="180" w:type="dxa"/>
              <w:right w:w="160" w:type="dxa"/>
            </w:tcMar>
          </w:tcPr>
          <w:p>
            <w:pPr>
              <w:spacing w:before="0" w:after="80"/>
            </w:pPr>
            <w:r>
              <w:rPr>
                <w:rFonts w:ascii="Calibri" w:hAnsi="Calibri"/>
                <w:b/>
                <w:color w:val="1A5FB4"/>
                <w:sz w:val="20"/>
              </w:rPr>
              <w:t>🗣️  VERBATIM ORAL DEFENSE SCRIPT (SPEAKER NOTES)</w:t>
            </w:r>
          </w:p>
          <w:p>
            <w:pPr>
              <w:spacing w:before="40" w:after="80" w:line="276" w:lineRule="auto"/>
            </w:pPr>
            <w:r>
              <w:rPr>
                <w:rFonts w:ascii="Calibri" w:hAnsi="Calibri"/>
                <w:i/>
                <w:color w:val="1E293B"/>
                <w:sz w:val="19"/>
              </w:rPr>
              <w:t>"In Review 1, the committee gave us invaluable guidance: they pointed out that federated learning across multiple heterogeneous rare diseases is fundamentally flawed, and advised us to narrow our scope to a single rare disease with an established baseline and clear scope for improvement."</w:t>
            </w:r>
          </w:p>
          <w:p>
            <w:pPr>
              <w:spacing w:before="40" w:after="80" w:line="276" w:lineRule="auto"/>
            </w:pPr>
            <w:r>
              <w:rPr>
                <w:rFonts w:ascii="Calibri" w:hAnsi="Calibri"/>
                <w:i/>
                <w:color w:val="1E293B"/>
                <w:sz w:val="19"/>
              </w:rPr>
              <w:t>"On Slide 2, we show how we embraced this feedback. We scientifically validated the panel's critique: disparate rare diseases use non-interoperable imaging modalities, induce conflicting gradient trajectories, and introduce insurmountable data governance barriers."</w:t>
            </w:r>
          </w:p>
          <w:p>
            <w:pPr>
              <w:spacing w:before="40" w:after="0" w:line="276" w:lineRule="auto"/>
            </w:pPr>
            <w:r>
              <w:rPr>
                <w:rFonts w:ascii="Calibri" w:hAnsi="Calibri"/>
                <w:i/>
                <w:color w:val="1E293B"/>
                <w:sz w:val="19"/>
              </w:rPr>
              <w:t>"Consequently, we focused strictly on Idiopathic Pulmonary Fibrosis (IPF)—a single, lethal rare disease where lack of hospital data is a genuine bottleneck. We identified our SOTA baseline: FedIIC, published at MICCAI 2023. While FedIIC handles mild long-tailed imbalance, we mathematically demonstrate that it collapses when applied to ultra-rare diseases where community hospitals have zero or one patient. Resolving this failure provides our clear scope for novel scientific contribution."</w:t>
            </w:r>
          </w:p>
        </w:tc>
      </w:tr>
    </w:tbl>
    <w:p>
      <w:pPr>
        <w:spacing w:after="40"/>
      </w:pPr>
    </w:p>
    <w:p>
      <w:pPr>
        <w:keepNext/>
        <w:spacing w:before="200" w:after="40"/>
      </w:pPr>
      <w:r>
        <w:rPr>
          <w:rFonts w:ascii="Calibri" w:hAnsi="Calibri"/>
          <w:b/>
          <w:color w:val="1A5FB4"/>
          <w:sz w:val="23"/>
        </w:rPr>
        <w:t>5. Anticipated Reviewer Questions &amp; Bulletproof Defense</w:t>
      </w:r>
    </w:p>
    <w:tbl>
      <w:tblPr>
        <w:tblW w:type="auto" w:w="0"/>
        <w:jc w:val="center"/>
        <w:tblLayout w:type="fixed"/>
        <w:tblLook w:firstColumn="1" w:firstRow="1" w:lastColumn="0" w:lastRow="0" w:noHBand="0" w:noVBand="1" w:val="04A0"/>
      </w:tblPr>
      <w:tblGrid>
        <w:gridCol w:w="9360"/>
      </w:tblGrid>
      <w:tr>
        <w:tc>
          <w:tcPr>
            <w:tcW w:type="dxa" w:w="9360"/>
            <w:shd w:fill="FFFBEB"/>
            <w:tcBorders>
              <w:top w:val="none"/>
              <w:left w:val="single" w:sz="36" w:space="0" w:color="D97706"/>
              <w:bottom w:val="none"/>
              <w:right w:val="none"/>
            </w:tcBorders>
            <w:tcMar>
              <w:top w:w="120" w:type="dxa"/>
              <w:bottom w:w="120" w:type="dxa"/>
              <w:left w:w="180" w:type="dxa"/>
              <w:right w:w="160" w:type="dxa"/>
            </w:tcMar>
          </w:tcPr>
          <w:p>
            <w:pPr>
              <w:spacing w:before="0" w:after="80"/>
            </w:pPr>
            <w:r>
              <w:rPr>
                <w:rFonts w:ascii="Calibri" w:hAnsi="Calibri"/>
                <w:b/>
                <w:color w:val="92400E"/>
                <w:sz w:val="20"/>
              </w:rPr>
              <w:t>❓  ANTICIPATED REVIEWER QUESTIONS &amp; BULLETPROOF DEFENSE</w:t>
            </w:r>
          </w:p>
          <w:p>
            <w:pPr>
              <w:spacing w:before="80" w:after="40" w:line="269" w:lineRule="auto"/>
            </w:pPr>
            <w:r>
              <w:rPr>
                <w:rFonts w:ascii="Calibri" w:hAnsi="Calibri"/>
                <w:b/>
                <w:color w:val="92400E"/>
                <w:sz w:val="19"/>
              </w:rPr>
              <w:t xml:space="preserve">Q1: </w:t>
            </w:r>
            <w:r>
              <w:rPr>
                <w:rFonts w:ascii="Calibri" w:hAnsi="Calibri"/>
                <w:i w:val="0"/>
                <w:color w:val="92400E"/>
                <w:sz w:val="19"/>
              </w:rPr>
              <w:t>Why didn't you pick a more common disease like COVID-19 or pneumonia where lots of data is available?</w:t>
            </w:r>
          </w:p>
          <w:p>
            <w:pPr>
              <w:spacing w:before="20" w:after="120" w:line="269" w:lineRule="auto"/>
            </w:pPr>
            <w:r>
              <w:rPr>
                <w:rFonts w:ascii="Calibri" w:hAnsi="Calibri"/>
                <w:b/>
                <w:color w:val="0A2540"/>
                <w:sz w:val="19"/>
              </w:rPr>
              <w:t xml:space="preserve">Defense Answer: </w:t>
            </w:r>
            <w:r>
              <w:rPr>
                <w:rFonts w:ascii="Calibri" w:hAnsi="Calibri"/>
                <w:i w:val="0"/>
                <w:color w:val="1E293B"/>
                <w:sz w:val="19"/>
              </w:rPr>
              <w:t>Common conditions like pneumonia or COVID-19 have abundant data in nearly every district hospital; centralized models already achieve &gt;95% accuracy on them, leaving little room for novel research. In contrast, IPF is an ultra-rare disease where individual community hospitals might only encounter 1 to 3 cases a year. Federated learning is uniquely required here because no single hospital has enough cases to train a deep model, and privacy regulations prevent pooling them.</w:t>
            </w:r>
          </w:p>
          <w:p>
            <w:pPr>
              <w:spacing w:before="80" w:after="40" w:line="269" w:lineRule="auto"/>
            </w:pPr>
            <w:r>
              <w:rPr>
                <w:rFonts w:ascii="Calibri" w:hAnsi="Calibri"/>
                <w:b/>
                <w:color w:val="92400E"/>
                <w:sz w:val="19"/>
              </w:rPr>
              <w:t xml:space="preserve">Q2: </w:t>
            </w:r>
            <w:r>
              <w:rPr>
                <w:rFonts w:ascii="Calibri" w:hAnsi="Calibri"/>
                <w:i w:val="0"/>
                <w:color w:val="92400E"/>
                <w:sz w:val="19"/>
              </w:rPr>
              <w:t>What exactly is FedIIC and why is it your chosen baseline?</w:t>
            </w:r>
          </w:p>
          <w:p>
            <w:pPr>
              <w:spacing w:before="20" w:after="0" w:line="269" w:lineRule="auto"/>
            </w:pPr>
            <w:r>
              <w:rPr>
                <w:rFonts w:ascii="Calibri" w:hAnsi="Calibri"/>
                <w:b/>
                <w:color w:val="0A2540"/>
                <w:sz w:val="19"/>
              </w:rPr>
              <w:t xml:space="preserve">Defense Answer: </w:t>
            </w:r>
            <w:r>
              <w:rPr>
                <w:rFonts w:ascii="Calibri" w:hAnsi="Calibri"/>
                <w:i w:val="0"/>
                <w:color w:val="1E293B"/>
                <w:sz w:val="19"/>
              </w:rPr>
              <w:t>FedIIC was published at MICCAI 2023 (Early Accept) specifically to solve class imbalance in federated medical imaging using Intra-Client Supervised Contrastive Learning (IntraSCL) and Dynamic Logit Adjustment (DALA). Because it is the current benchmark cited across literature, demonstrating its mathematical failure on rare diseases and proving our improvement provides the highest standard of scientific contribution.</w:t>
            </w:r>
          </w:p>
        </w:tc>
      </w:tr>
    </w:tbl>
    <w:p>
      <w:pPr>
        <w:spacing w:after="40"/>
      </w:pPr>
    </w:p>
    <w:p>
      <w:pPr>
        <w:keepNext/>
        <w:spacing w:before="200" w:after="40"/>
      </w:pPr>
      <w:r>
        <w:rPr>
          <w:rFonts w:ascii="Calibri" w:hAnsi="Calibri"/>
          <w:b/>
          <w:color w:val="1A5FB4"/>
          <w:sz w:val="23"/>
        </w:rPr>
        <w:t>6. Plain-English Intuitive Explanation (In Simple Words)</w:t>
      </w:r>
    </w:p>
    <w:tbl>
      <w:tblPr>
        <w:tblW w:type="auto" w:w="0"/>
        <w:jc w:val="center"/>
        <w:tblLayout w:type="fixed"/>
        <w:tblLook w:firstColumn="1" w:firstRow="1" w:lastColumn="0" w:lastRow="0" w:noHBand="0" w:noVBand="1" w:val="04A0"/>
      </w:tblPr>
      <w:tblGrid>
        <w:gridCol w:w="9360"/>
      </w:tblGrid>
      <w:tr>
        <w:tc>
          <w:tcPr>
            <w:tcW w:type="dxa" w:w="9360"/>
            <w:shd w:fill="F0FDF4"/>
            <w:tcBorders>
              <w:top w:val="none"/>
              <w:left w:val="single" w:sz="36" w:space="0" w:color="16A34A"/>
              <w:bottom w:val="none"/>
              <w:right w:val="none"/>
            </w:tcBorders>
            <w:tcMar>
              <w:top w:w="120" w:type="dxa"/>
              <w:bottom w:w="120" w:type="dxa"/>
              <w:left w:w="180" w:type="dxa"/>
              <w:right w:w="160" w:type="dxa"/>
            </w:tcMar>
          </w:tcPr>
          <w:p>
            <w:pPr>
              <w:spacing w:before="0" w:after="80"/>
            </w:pPr>
            <w:r>
              <w:rPr>
                <w:rFonts w:ascii="Calibri" w:hAnsi="Calibri"/>
                <w:b/>
                <w:color w:val="15803D"/>
                <w:sz w:val="20"/>
              </w:rPr>
              <w:t>💡  IN SIMPLE WORDS — INTUITIVE EXPLANATION &amp; CONCEPTS</w:t>
            </w:r>
          </w:p>
          <w:p>
            <w:pPr>
              <w:spacing w:before="40" w:after="60" w:line="269" w:lineRule="auto"/>
            </w:pPr>
            <w:r>
              <w:rPr>
                <w:rFonts w:ascii="Calibri" w:hAnsi="Calibri"/>
                <w:b/>
                <w:color w:val="15803D"/>
                <w:sz w:val="19"/>
              </w:rPr>
              <w:t xml:space="preserve">• The Core Idea in One Sentence: </w:t>
            </w:r>
            <w:r>
              <w:rPr>
                <w:rFonts w:ascii="Calibri" w:hAnsi="Calibri"/>
                <w:i w:val="0"/>
                <w:color w:val="1E293B"/>
                <w:sz w:val="19"/>
              </w:rPr>
              <w:t>We addressed the Review 1 panel's feedback by dropping the unrealistic goal of solving multiple unrelated rare diseases at once, focusing strictly on one high-impact lung disease (IPF), and picking the world's leading benchmark algorithm (FedIIC from MICCAI 2023) to improve upon.</w:t>
            </w:r>
          </w:p>
          <w:p>
            <w:pPr>
              <w:spacing w:before="40" w:after="60" w:line="269" w:lineRule="auto"/>
            </w:pPr>
            <w:r>
              <w:rPr>
                <w:rFonts w:ascii="Calibri" w:hAnsi="Calibri"/>
                <w:b/>
                <w:color w:val="15803D"/>
                <w:sz w:val="19"/>
              </w:rPr>
              <w:t xml:space="preserve">• The Everyday Analogy: </w:t>
            </w:r>
            <w:r>
              <w:rPr>
                <w:rFonts w:ascii="Calibri" w:hAnsi="Calibri"/>
                <w:i w:val="0"/>
                <w:color w:val="1E293B"/>
                <w:sz w:val="19"/>
              </w:rPr>
              <w:t>Trying to train one single AI to simultaneously look at eye photos, brain scans, and lung scans is like asking an eye surgeon to perform brain surgery while also acting as a pulmonologist. Retinal scans, brain MRIs, and lung CT scans look completely different; forcing one neural network to learn all three simultaneously creates conflicting gradients that scramble the model's memory.</w:t>
            </w:r>
          </w:p>
          <w:p>
            <w:pPr>
              <w:spacing w:before="40" w:after="60" w:line="269" w:lineRule="auto"/>
            </w:pPr>
            <w:r>
              <w:rPr>
                <w:rFonts w:ascii="Calibri" w:hAnsi="Calibri"/>
                <w:b/>
                <w:color w:val="15803D"/>
                <w:sz w:val="19"/>
              </w:rPr>
              <w:t xml:space="preserve">• Focused Scope: </w:t>
            </w:r>
            <w:r>
              <w:rPr>
                <w:rFonts w:ascii="Calibri" w:hAnsi="Calibri"/>
                <w:i w:val="0"/>
                <w:color w:val="1E293B"/>
                <w:sz w:val="19"/>
              </w:rPr>
              <w:t>We narrowed down to Idiopathic Pulmonary Fibrosis (IPF)—a single, lethal rare disease where lack of hospital data is a genuine bottleneck.</w:t>
            </w:r>
          </w:p>
          <w:p>
            <w:pPr>
              <w:spacing w:before="40" w:after="60" w:line="269" w:lineRule="auto"/>
            </w:pPr>
            <w:r>
              <w:rPr>
                <w:rFonts w:ascii="Calibri" w:hAnsi="Calibri"/>
                <w:b/>
                <w:color w:val="15803D"/>
                <w:sz w:val="19"/>
              </w:rPr>
              <w:t xml:space="preserve">• Targeted the State-of-the-Art: </w:t>
            </w:r>
            <w:r>
              <w:rPr>
                <w:rFonts w:ascii="Calibri" w:hAnsi="Calibri"/>
                <w:i w:val="0"/>
                <w:color w:val="1E293B"/>
                <w:sz w:val="19"/>
              </w:rPr>
              <w:t>Instead of inventing a problem or comparing against a weak baseline, we selected FedIIC, which was published at MICCAI 2023 (the premier medical AI conference globally).</w:t>
            </w:r>
          </w:p>
          <w:p>
            <w:pPr>
              <w:spacing w:before="40" w:after="0" w:line="269" w:lineRule="auto"/>
            </w:pPr>
            <w:r>
              <w:rPr>
                <w:rFonts w:ascii="Calibri" w:hAnsi="Calibri"/>
                <w:b/>
                <w:color w:val="15803D"/>
                <w:sz w:val="19"/>
              </w:rPr>
              <w:t xml:space="preserve">• Found the Scientific Vulnerability: </w:t>
            </w:r>
            <w:r>
              <w:rPr>
                <w:rFonts w:ascii="Calibri" w:hAnsi="Calibri"/>
                <w:i w:val="0"/>
                <w:color w:val="1E293B"/>
                <w:sz w:val="19"/>
              </w:rPr>
              <w:t>While FedIIC works reasonably well when a disease is mildly uncommon (like 20 patients out of 100), we mathematically proved that it completely collapses when a disease is truly rare (like a village clinic having zero patients). Fixing this failure is our project's core research contribution.</w:t>
            </w:r>
          </w:p>
        </w:tc>
      </w:tr>
    </w:tbl>
    <w:p>
      <w:pPr>
        <w:spacing w:after="40"/>
      </w:pPr>
    </w:p>
    <w:p>
      <w:pPr>
        <w:keepNext/>
        <w:spacing w:before="280" w:after="60"/>
      </w:pPr>
      <w:r>
        <w:rPr>
          <w:rFonts w:ascii="Calibri" w:hAnsi="Calibri"/>
          <w:b/>
          <w:color w:val="0A2540"/>
          <w:sz w:val="30"/>
        </w:rPr>
        <w:t>Slide 3: Target Pathology — Idiopathic Pulmonary Fibrosis (IPF)</w:t>
      </w:r>
      <w:r>
        <w:rPr>
          <w:rFonts w:ascii="Calibri" w:hAnsi="Calibri"/>
          <w:b/>
          <w:color w:val="1A5FB4"/>
          <w:sz w:val="21"/>
        </w:rPr>
        <w:t xml:space="preserve">  [PI 3.1.3]</w:t>
      </w:r>
    </w:p>
    <w:p>
      <w:pPr>
        <w:keepNext/>
        <w:spacing w:before="200" w:after="40"/>
      </w:pPr>
      <w:r>
        <w:rPr>
          <w:rFonts w:ascii="Calibri" w:hAnsi="Calibri"/>
          <w:b/>
          <w:color w:val="1A5FB4"/>
          <w:sz w:val="23"/>
        </w:rPr>
        <w:t>1. Slide Metadata</w:t>
      </w:r>
    </w:p>
    <w:p>
      <w:pPr>
        <w:pStyle w:val="ListBullet"/>
        <w:spacing w:before="0" w:after="50" w:line="269" w:lineRule="auto"/>
        <w:ind w:left="360"/>
      </w:pPr>
      <w:r>
        <w:rPr>
          <w:rFonts w:ascii="Calibri" w:hAnsi="Calibri"/>
          <w:b/>
          <w:color w:val="1E293B"/>
          <w:sz w:val="19"/>
        </w:rPr>
        <w:t>Slide Title:</w:t>
      </w:r>
      <w:r>
        <w:rPr>
          <w:rFonts w:ascii="Calibri" w:hAnsi="Calibri"/>
          <w:i w:val="0"/>
          <w:color w:val="1E293B"/>
          <w:sz w:val="19"/>
        </w:rPr>
        <w:t xml:space="preserve"> </w:t>
      </w:r>
      <w:r>
        <w:rPr>
          <w:rFonts w:ascii="Consolas" w:hAnsi="Consolas"/>
          <w:color w:val="2563EB"/>
          <w:sz w:val="18"/>
        </w:rPr>
        <w:t>Target Pathology — Idiopathic Pulmonary Fibrosis (IPF)</w:t>
      </w:r>
    </w:p>
    <w:p>
      <w:pPr>
        <w:pStyle w:val="ListBullet"/>
        <w:spacing w:before="0" w:after="50" w:line="269" w:lineRule="auto"/>
        <w:ind w:left="360"/>
      </w:pPr>
      <w:r>
        <w:rPr>
          <w:rFonts w:ascii="Calibri" w:hAnsi="Calibri"/>
          <w:b/>
          <w:color w:val="1E293B"/>
          <w:sz w:val="19"/>
        </w:rPr>
        <w:t>On-Slide Subtitle:</w:t>
      </w:r>
      <w:r>
        <w:rPr>
          <w:rFonts w:ascii="Calibri" w:hAnsi="Calibri"/>
          <w:i w:val="0"/>
          <w:color w:val="1E293B"/>
          <w:sz w:val="19"/>
        </w:rPr>
        <w:t xml:space="preserve"> </w:t>
      </w:r>
      <w:r>
        <w:rPr>
          <w:rFonts w:ascii="Consolas" w:hAnsi="Consolas"/>
          <w:color w:val="2563EB"/>
          <w:sz w:val="18"/>
        </w:rPr>
        <w:t>CLINICAL PROFILE, DIAGNOSTIC DILEMMA &amp; FEDERATED CHALLENGE</w:t>
      </w:r>
    </w:p>
    <w:p>
      <w:pPr>
        <w:pStyle w:val="ListBullet"/>
        <w:spacing w:before="0" w:after="50" w:line="269" w:lineRule="auto"/>
        <w:ind w:left="360"/>
      </w:pPr>
      <w:r>
        <w:rPr>
          <w:rFonts w:ascii="Calibri" w:hAnsi="Calibri"/>
          <w:b/>
          <w:color w:val="1E293B"/>
          <w:sz w:val="19"/>
        </w:rPr>
        <w:t>Rubric Mapping:</w:t>
      </w:r>
      <w:r>
        <w:rPr>
          <w:rFonts w:ascii="Calibri" w:hAnsi="Calibri"/>
          <w:i w:val="0"/>
          <w:color w:val="1E293B"/>
          <w:sz w:val="19"/>
        </w:rPr>
        <w:t xml:space="preserve"> </w:t>
      </w:r>
      <w:r>
        <w:rPr>
          <w:rFonts w:ascii="Calibri" w:hAnsi="Calibri"/>
          <w:b/>
          <w:color w:val="1E293B"/>
          <w:sz w:val="19"/>
        </w:rPr>
        <w:t>PI 3.1.3</w:t>
      </w:r>
      <w:r>
        <w:rPr>
          <w:rFonts w:ascii="Calibri" w:hAnsi="Calibri"/>
          <w:i w:val="0"/>
          <w:color w:val="1E293B"/>
          <w:sz w:val="19"/>
        </w:rPr>
        <w:t xml:space="preserve"> (Demonstrate clear clinical context, constraints, and problem significance).</w:t>
      </w:r>
    </w:p>
    <w:p>
      <w:pPr>
        <w:pStyle w:val="ListBullet"/>
        <w:spacing w:before="0" w:after="50" w:line="269" w:lineRule="auto"/>
        <w:ind w:left="360"/>
      </w:pPr>
      <w:r>
        <w:rPr>
          <w:rFonts w:ascii="Calibri" w:hAnsi="Calibri"/>
          <w:b/>
          <w:color w:val="1E293B"/>
          <w:sz w:val="19"/>
        </w:rPr>
        <w:t>Visual Composition:</w:t>
      </w:r>
      <w:r>
        <w:rPr>
          <w:rFonts w:ascii="Calibri" w:hAnsi="Calibri"/>
          <w:i w:val="0"/>
          <w:color w:val="1E293B"/>
          <w:sz w:val="19"/>
        </w:rPr>
        <w:t xml:space="preserve"> Three distinct clinical insight cards: (1) Clinical Severity &amp; Epidemiological Rarity (ORPHA:2032), (2) Diagnostic Dilemma on High-Resolution CT (HRCT), and (3) Why Federated Learning is Mandatory (Privacy-Scarcity Paradox).</w:t>
      </w:r>
    </w:p>
    <w:p>
      <w:pPr>
        <w:keepNext/>
        <w:spacing w:before="200" w:after="40"/>
      </w:pPr>
      <w:r>
        <w:rPr>
          <w:rFonts w:ascii="Calibri" w:hAnsi="Calibri"/>
          <w:b/>
          <w:color w:val="1A5FB4"/>
          <w:sz w:val="23"/>
        </w:rPr>
        <w:t>2. Breakdown of On-Slide Content</w:t>
      </w:r>
    </w:p>
    <w:p>
      <w:pPr>
        <w:pStyle w:val="ListBullet"/>
        <w:spacing w:before="0" w:after="50" w:line="269" w:lineRule="auto"/>
        <w:ind w:left="360"/>
      </w:pPr>
      <w:r>
        <w:rPr>
          <w:rFonts w:ascii="Calibri" w:hAnsi="Calibri"/>
          <w:b/>
          <w:color w:val="1E293B"/>
          <w:sz w:val="19"/>
        </w:rPr>
        <w:t>1. Clinical Severity &amp; Epidemiological Rarity (ORPHA:2032):</w:t>
      </w:r>
      <w:r>
        <w:rPr>
          <w:rFonts w:ascii="Calibri" w:hAnsi="Calibri"/>
          <w:i w:val="0"/>
          <w:color w:val="1E293B"/>
          <w:sz w:val="19"/>
        </w:rPr>
        <w:t xml:space="preserve"> Irreversible progressive fibrosing interstitial pneumonia; median survival 2–3 years (worse prognosis than most common stage III malignancies); prevalence &lt; 0.05% (&lt; 8% of thoracic scans in clinics).</w:t>
      </w:r>
    </w:p>
    <w:p>
      <w:pPr>
        <w:pStyle w:val="ListBullet"/>
        <w:spacing w:before="0" w:after="50" w:line="269" w:lineRule="auto"/>
        <w:ind w:left="360"/>
      </w:pPr>
      <w:r>
        <w:rPr>
          <w:rFonts w:ascii="Calibri" w:hAnsi="Calibri"/>
          <w:b/>
          <w:color w:val="1E293B"/>
          <w:sz w:val="19"/>
        </w:rPr>
        <w:t>2. The Diagnostic Dilemma on High-Resolution CT (HRCT):</w:t>
      </w:r>
      <w:r>
        <w:rPr>
          <w:rFonts w:ascii="Calibri" w:hAnsi="Calibri"/>
          <w:i w:val="0"/>
          <w:color w:val="1E293B"/>
          <w:sz w:val="19"/>
        </w:rPr>
        <w:t xml:space="preserve"> Early visual mimicry (subtle Ground-Glass Opacities overlap with common COPD); diagnostic hallmark is Usual Interstitial Pneumonia (UIP) featuring subpleural basal reticular honeycombing and traction bronchiectasis; community hospital diagnostic delay exceeds 1.5–2 years.</w:t>
      </w:r>
    </w:p>
    <w:p>
      <w:pPr>
        <w:pStyle w:val="ListBullet"/>
        <w:spacing w:before="0" w:after="50" w:line="269" w:lineRule="auto"/>
        <w:ind w:left="360"/>
      </w:pPr>
      <w:r>
        <w:rPr>
          <w:rFonts w:ascii="Calibri" w:hAnsi="Calibri"/>
          <w:b/>
          <w:color w:val="1E293B"/>
          <w:sz w:val="19"/>
        </w:rPr>
        <w:t>3. Why Federated Learning is Mandatory (Privacy-Scarcity Paradox):</w:t>
      </w:r>
      <w:r>
        <w:rPr>
          <w:rFonts w:ascii="Calibri" w:hAnsi="Calibri"/>
          <w:i w:val="0"/>
          <w:color w:val="1E293B"/>
          <w:sz w:val="19"/>
        </w:rPr>
        <w:t xml:space="preserve"> HIPAA and GDPR strictly prohibit cross-institutional raw CT aggregation; individual clinics have too few cases to train local models; federated training decouples learning from data sharing.</w:t>
      </w:r>
    </w:p>
    <w:p>
      <w:pPr>
        <w:keepNext/>
        <w:spacing w:before="200" w:after="40"/>
      </w:pPr>
      <w:r>
        <w:rPr>
          <w:rFonts w:ascii="Calibri" w:hAnsi="Calibri"/>
          <w:b/>
          <w:color w:val="1A5FB4"/>
          <w:sz w:val="23"/>
        </w:rPr>
        <w:t>3. Deep Technical &amp; Contextual Explanation</w:t>
      </w:r>
    </w:p>
    <w:p>
      <w:pPr>
        <w:spacing w:before="0" w:after="70" w:line="276" w:lineRule="auto"/>
      </w:pPr>
      <w:r>
        <w:rPr>
          <w:rFonts w:ascii="Calibri" w:hAnsi="Calibri"/>
          <w:i w:val="0"/>
          <w:color w:val="1E293B"/>
          <w:sz w:val="20"/>
        </w:rPr>
        <w:t>Idiopathic Pulmonary Fibrosis represents the quintessential diagnostic challenge in medical AI:</w:t>
      </w:r>
    </w:p>
    <w:p>
      <w:pPr>
        <w:pStyle w:val="ListBullet"/>
        <w:spacing w:before="0" w:after="50" w:line="269" w:lineRule="auto"/>
        <w:ind w:left="360"/>
      </w:pPr>
      <w:r>
        <w:rPr>
          <w:rFonts w:ascii="Calibri" w:hAnsi="Calibri"/>
          <w:b/>
          <w:color w:val="1E293B"/>
          <w:sz w:val="19"/>
        </w:rPr>
        <w:t>Epidemiological Definition:</w:t>
      </w:r>
      <w:r>
        <w:rPr>
          <w:rFonts w:ascii="Calibri" w:hAnsi="Calibri"/>
          <w:i w:val="0"/>
          <w:color w:val="1E293B"/>
          <w:sz w:val="19"/>
        </w:rPr>
        <w:t xml:space="preserve"> Classified under Orphanet code ORPHA:2032, IPF has an annual incidence of 3–9 cases per 100,000 and an estimated prevalence under 0.05%.</w:t>
      </w:r>
    </w:p>
    <w:p>
      <w:pPr>
        <w:pStyle w:val="ListBullet"/>
        <w:spacing w:before="0" w:after="50" w:line="269" w:lineRule="auto"/>
        <w:ind w:left="360"/>
      </w:pPr>
      <w:r>
        <w:rPr>
          <w:rFonts w:ascii="Calibri" w:hAnsi="Calibri"/>
          <w:b/>
          <w:color w:val="1E293B"/>
          <w:sz w:val="19"/>
        </w:rPr>
        <w:t>Radiological Phenotyping:</w:t>
      </w:r>
      <w:r>
        <w:rPr>
          <w:rFonts w:ascii="Calibri" w:hAnsi="Calibri"/>
          <w:i w:val="0"/>
          <w:color w:val="1E293B"/>
          <w:sz w:val="19"/>
        </w:rPr>
        <w:t xml:space="preserve"> The official ATS/ERS/JRS/ALAT clinical practice guidelines require identification of the Usual Interstitial Pneumonia (UIP) pattern on HRCT. Clustered cystic airspaces (3–10 mm) sharing thick fibrous walls (honeycombing) and traction bronchiectasis are subtle in early stages and visually mimic common COPD parenchymal attenuation.</w:t>
      </w:r>
    </w:p>
    <w:p>
      <w:pPr>
        <w:pStyle w:val="ListBullet"/>
        <w:spacing w:before="0" w:after="50" w:line="269" w:lineRule="auto"/>
        <w:ind w:left="360"/>
      </w:pPr>
      <w:r>
        <w:rPr>
          <w:rFonts w:ascii="Calibri" w:hAnsi="Calibri"/>
          <w:b/>
          <w:color w:val="1E293B"/>
          <w:sz w:val="19"/>
        </w:rPr>
        <w:t>The Privacy-Scarcity Paradox:</w:t>
      </w:r>
      <w:r>
        <w:rPr>
          <w:rFonts w:ascii="Calibri" w:hAnsi="Calibri"/>
          <w:i w:val="0"/>
          <w:color w:val="1E293B"/>
          <w:sz w:val="19"/>
        </w:rPr>
        <w:t xml:space="preserve"> Deep learning sample complexity requires thousands of scans, but an individual district hospital only encounters 1–3 scans per year:</w:t>
      </w:r>
    </w:p>
    <w:p>
      <w:pPr>
        <w:spacing w:before="80" w:after="80"/>
        <w:jc w:val="center"/>
      </w:pPr>
      <w:r>
        <w:rPr>
          <w:rFonts w:ascii="Cambria Math" w:hAnsi="Cambria Math"/>
          <w:i/>
          <w:color w:val="1A5FB4"/>
          <w:sz w:val="21"/>
        </w:rPr>
        <w:t>Hospital Silo Data ≪ Deep Learning Sample Complexity</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before="0" w:after="0" w:line="240" w:lineRule="auto"/>
            </w:pPr>
            <w:r>
              <w:rPr>
                <w:rFonts w:ascii="Consolas" w:hAnsi="Consolas"/>
                <w:color w:val="1E293B"/>
                <w:sz w:val="17"/>
              </w:rPr>
              <w:t>[Hospital Silos]                       [Federated Paradigm]</w:t>
              <w:br/>
              <w:t xml:space="preserve">   +----------------------+               +--------------------------+</w:t>
              <w:br/>
              <w:t xml:space="preserve">   | Hospital A (2 scans) |               |  Raw Scans Remain Local  |</w:t>
              <w:br/>
              <w:t xml:space="preserve">   | Hospital B (0 scans) |  ---[X]---&gt;   |  Only Latent Model       |</w:t>
              <w:br/>
              <w:t xml:space="preserve">   | Hospital C (1 scan)  |   Privacy     |  Parameters Transferred  |</w:t>
              <w:br/>
              <w:t xml:space="preserve">   | Centralization ILLEGAL|   Barriers   |  Global Model Aggregated |</w:t>
              <w:br/>
              <w:t xml:space="preserve">   +----------------------+               +--------------------------+</w:t>
            </w:r>
          </w:p>
        </w:tc>
      </w:tr>
    </w:tbl>
    <w:p>
      <w:pPr>
        <w:spacing w:after="40"/>
      </w:pPr>
    </w:p>
    <w:p>
      <w:pPr>
        <w:keepNext/>
        <w:spacing w:before="200" w:after="40"/>
      </w:pPr>
      <w:r>
        <w:rPr>
          <w:rFonts w:ascii="Calibri" w:hAnsi="Calibri"/>
          <w:b/>
          <w:color w:val="1A5FB4"/>
          <w:sz w:val="23"/>
        </w:rPr>
        <w:t>4. Verbatim Oral Defense Script (Speaker Notes)</w:t>
      </w:r>
    </w:p>
    <w:tbl>
      <w:tblPr>
        <w:tblW w:type="auto" w:w="0"/>
        <w:jc w:val="center"/>
        <w:tblLayout w:type="fixed"/>
        <w:tblLook w:firstColumn="1" w:firstRow="1" w:lastColumn="0" w:lastRow="0" w:noHBand="0" w:noVBand="1" w:val="04A0"/>
      </w:tblPr>
      <w:tblGrid>
        <w:gridCol w:w="9360"/>
      </w:tblGrid>
      <w:tr>
        <w:tc>
          <w:tcPr>
            <w:tcW w:type="dxa" w:w="9360"/>
            <w:shd w:fill="F0F7FF"/>
            <w:tcBorders>
              <w:top w:val="none"/>
              <w:left w:val="single" w:sz="36" w:space="0" w:color="1A5FB4"/>
              <w:bottom w:val="none"/>
              <w:right w:val="none"/>
            </w:tcBorders>
            <w:tcMar>
              <w:top w:w="120" w:type="dxa"/>
              <w:bottom w:w="120" w:type="dxa"/>
              <w:left w:w="180" w:type="dxa"/>
              <w:right w:w="160" w:type="dxa"/>
            </w:tcMar>
          </w:tcPr>
          <w:p>
            <w:pPr>
              <w:spacing w:before="0" w:after="80"/>
            </w:pPr>
            <w:r>
              <w:rPr>
                <w:rFonts w:ascii="Calibri" w:hAnsi="Calibri"/>
                <w:b/>
                <w:color w:val="1A5FB4"/>
                <w:sz w:val="20"/>
              </w:rPr>
              <w:t>🗣️  VERBATIM ORAL DEFENSE SCRIPT (SPEAKER NOTES)</w:t>
            </w:r>
          </w:p>
          <w:p>
            <w:pPr>
              <w:spacing w:before="40" w:after="80" w:line="276" w:lineRule="auto"/>
            </w:pPr>
            <w:r>
              <w:rPr>
                <w:rFonts w:ascii="Calibri" w:hAnsi="Calibri"/>
                <w:i/>
                <w:color w:val="1E293B"/>
                <w:sz w:val="19"/>
              </w:rPr>
              <w:t>"Moving to Slide 3, we detail our target pathology: Idiopathic Pulmonary Fibrosis, or IPF, cataloged under Orphanet ID ORPHA:2032. IPF is an aggressive, irreversible interstitial lung disease. Patients face a median survival of only 2 to 3 years from diagnosis—a mortality profile worse than many stage III and IV cancers."</w:t>
            </w:r>
          </w:p>
          <w:p>
            <w:pPr>
              <w:spacing w:before="40" w:after="80" w:line="276" w:lineRule="auto"/>
            </w:pPr>
            <w:r>
              <w:rPr>
                <w:rFonts w:ascii="Calibri" w:hAnsi="Calibri"/>
                <w:i/>
                <w:color w:val="1E293B"/>
                <w:sz w:val="19"/>
              </w:rPr>
              <w:t>"Clinically, diagnosis hinges on High-Resolution Computed Tomography (HRCT). However, diagnosing IPF is notoriously difficult due to visual mimicry. In its early stages, IPF exhibits non-specific ground-glass opacities that look virtually indistinguishable from common conditions like COPD. The diagnostic hallmark of IPF is the Usual Interstitial Pneumonia (UIP) pattern—featuring subpleural reticular honeycombing and traction bronchiectasis. Because community and rural hospitals see fewer than three IPF cases annually, local radiologists often misdiagnose it as pneumonia or asthma, delaying life-prolonging antifibrotic therapy."</w:t>
            </w:r>
          </w:p>
          <w:p>
            <w:pPr>
              <w:spacing w:before="40" w:after="0" w:line="276" w:lineRule="auto"/>
            </w:pPr>
            <w:r>
              <w:rPr>
                <w:rFonts w:ascii="Calibri" w:hAnsi="Calibri"/>
                <w:i/>
                <w:color w:val="1E293B"/>
                <w:sz w:val="19"/>
              </w:rPr>
              <w:t>"This creates what we term the 'Privacy-Scarcity Paradox': community hospitals desperately need AI assistance, but their local data is too scarce to train a local model. Meanwhile, privacy laws like HIPAA and GDPR strictly prohibit uploading private CT scans to a centralized server. Federated learning is the only viable path forward—allowing hospitals to collaboratively train a global diagnostic model while keeping raw patient data strictly confidential within hospital firewalls."</w:t>
            </w:r>
          </w:p>
        </w:tc>
      </w:tr>
    </w:tbl>
    <w:p>
      <w:pPr>
        <w:spacing w:after="40"/>
      </w:pPr>
    </w:p>
    <w:p>
      <w:pPr>
        <w:keepNext/>
        <w:spacing w:before="200" w:after="40"/>
      </w:pPr>
      <w:r>
        <w:rPr>
          <w:rFonts w:ascii="Calibri" w:hAnsi="Calibri"/>
          <w:b/>
          <w:color w:val="1A5FB4"/>
          <w:sz w:val="23"/>
        </w:rPr>
        <w:t>5. Anticipated Reviewer Questions &amp; Bulletproof Defense</w:t>
      </w:r>
    </w:p>
    <w:tbl>
      <w:tblPr>
        <w:tblW w:type="auto" w:w="0"/>
        <w:jc w:val="center"/>
        <w:tblLayout w:type="fixed"/>
        <w:tblLook w:firstColumn="1" w:firstRow="1" w:lastColumn="0" w:lastRow="0" w:noHBand="0" w:noVBand="1" w:val="04A0"/>
      </w:tblPr>
      <w:tblGrid>
        <w:gridCol w:w="9360"/>
      </w:tblGrid>
      <w:tr>
        <w:tc>
          <w:tcPr>
            <w:tcW w:type="dxa" w:w="9360"/>
            <w:shd w:fill="FFFBEB"/>
            <w:tcBorders>
              <w:top w:val="none"/>
              <w:left w:val="single" w:sz="36" w:space="0" w:color="D97706"/>
              <w:bottom w:val="none"/>
              <w:right w:val="none"/>
            </w:tcBorders>
            <w:tcMar>
              <w:top w:w="120" w:type="dxa"/>
              <w:bottom w:w="120" w:type="dxa"/>
              <w:left w:w="180" w:type="dxa"/>
              <w:right w:w="160" w:type="dxa"/>
            </w:tcMar>
          </w:tcPr>
          <w:p>
            <w:pPr>
              <w:spacing w:before="0" w:after="80"/>
            </w:pPr>
            <w:r>
              <w:rPr>
                <w:rFonts w:ascii="Calibri" w:hAnsi="Calibri"/>
                <w:b/>
                <w:color w:val="92400E"/>
                <w:sz w:val="20"/>
              </w:rPr>
              <w:t>❓  ANTICIPATED REVIEWER QUESTIONS &amp; BULLETPROOF DEFENSE</w:t>
            </w:r>
          </w:p>
          <w:p>
            <w:pPr>
              <w:spacing w:before="80" w:after="40" w:line="269" w:lineRule="auto"/>
            </w:pPr>
            <w:r>
              <w:rPr>
                <w:rFonts w:ascii="Calibri" w:hAnsi="Calibri"/>
                <w:b/>
                <w:color w:val="92400E"/>
                <w:sz w:val="19"/>
              </w:rPr>
              <w:t xml:space="preserve">Q1: </w:t>
            </w:r>
            <w:r>
              <w:rPr>
                <w:rFonts w:ascii="Calibri" w:hAnsi="Calibri"/>
                <w:i w:val="0"/>
                <w:color w:val="92400E"/>
                <w:sz w:val="19"/>
              </w:rPr>
              <w:t>Why can't community hospitals just send anonymized CT scans to a central cloud server?</w:t>
            </w:r>
          </w:p>
          <w:p>
            <w:pPr>
              <w:spacing w:before="20" w:after="120" w:line="269" w:lineRule="auto"/>
            </w:pPr>
            <w:r>
              <w:rPr>
                <w:rFonts w:ascii="Calibri" w:hAnsi="Calibri"/>
                <w:b/>
                <w:color w:val="0A2540"/>
                <w:sz w:val="19"/>
              </w:rPr>
              <w:t xml:space="preserve">Defense Answer: </w:t>
            </w:r>
            <w:r>
              <w:rPr>
                <w:rFonts w:ascii="Calibri" w:hAnsi="Calibri"/>
                <w:i w:val="0"/>
                <w:color w:val="1E293B"/>
                <w:sz w:val="19"/>
              </w:rPr>
              <w:t>True anonymization of volumetric DICOM imaging is extremely difficult. Research has demonstrated that high-resolution thoracic CT scans contain distinctive skeletal geometry and facial reconstructions that can re-identify patients. Additionally, major hospital ethics boards and strict privacy regulations such as HIPAA and GDPR explicitly forbid cross-institutional raw scan aggregation, making on-premise federated learning mandatory.</w:t>
            </w:r>
          </w:p>
          <w:p>
            <w:pPr>
              <w:spacing w:before="80" w:after="40" w:line="269" w:lineRule="auto"/>
            </w:pPr>
            <w:r>
              <w:rPr>
                <w:rFonts w:ascii="Calibri" w:hAnsi="Calibri"/>
                <w:b/>
                <w:color w:val="92400E"/>
                <w:sz w:val="19"/>
              </w:rPr>
              <w:t xml:space="preserve">Q2: </w:t>
            </w:r>
            <w:r>
              <w:rPr>
                <w:rFonts w:ascii="Calibri" w:hAnsi="Calibri"/>
                <w:i w:val="0"/>
                <w:color w:val="92400E"/>
                <w:sz w:val="19"/>
              </w:rPr>
              <w:t>How does IPF differ from other interstitial lung diseases (ILDs) on HRCT?</w:t>
            </w:r>
          </w:p>
          <w:p>
            <w:pPr>
              <w:spacing w:before="20" w:after="0" w:line="269" w:lineRule="auto"/>
            </w:pPr>
            <w:r>
              <w:rPr>
                <w:rFonts w:ascii="Calibri" w:hAnsi="Calibri"/>
                <w:b/>
                <w:color w:val="0A2540"/>
                <w:sz w:val="19"/>
              </w:rPr>
              <w:t xml:space="preserve">Defense Answer: </w:t>
            </w:r>
            <w:r>
              <w:rPr>
                <w:rFonts w:ascii="Calibri" w:hAnsi="Calibri"/>
                <w:i w:val="0"/>
                <w:color w:val="1E293B"/>
                <w:sz w:val="19"/>
              </w:rPr>
              <w:t>Non-IPF ILDs, such as hypersensitivity pneumonitis or sarcoidosis, typically exhibit upper-lobe or mid-lung predominance with extensive ground-glass attenuation and air-trapping. In contrast, IPF exhibits a strict Usual Interstitial Pneumonia (UIP) pattern: basal, subpleural reticular thickening with peripheral honeycombing and traction bronchiectasis without significant mosaic attenuation.</w:t>
            </w:r>
          </w:p>
        </w:tc>
      </w:tr>
    </w:tbl>
    <w:p>
      <w:pPr>
        <w:spacing w:after="40"/>
      </w:pPr>
    </w:p>
    <w:p>
      <w:pPr>
        <w:keepNext/>
        <w:spacing w:before="200" w:after="40"/>
      </w:pPr>
      <w:r>
        <w:rPr>
          <w:rFonts w:ascii="Calibri" w:hAnsi="Calibri"/>
          <w:b/>
          <w:color w:val="1A5FB4"/>
          <w:sz w:val="23"/>
        </w:rPr>
        <w:t>6. Plain-English Intuitive Explanation (In Simple Words)</w:t>
      </w:r>
    </w:p>
    <w:tbl>
      <w:tblPr>
        <w:tblW w:type="auto" w:w="0"/>
        <w:jc w:val="center"/>
        <w:tblLayout w:type="fixed"/>
        <w:tblLook w:firstColumn="1" w:firstRow="1" w:lastColumn="0" w:lastRow="0" w:noHBand="0" w:noVBand="1" w:val="04A0"/>
      </w:tblPr>
      <w:tblGrid>
        <w:gridCol w:w="9360"/>
      </w:tblGrid>
      <w:tr>
        <w:tc>
          <w:tcPr>
            <w:tcW w:type="dxa" w:w="9360"/>
            <w:shd w:fill="F0FDF4"/>
            <w:tcBorders>
              <w:top w:val="none"/>
              <w:left w:val="single" w:sz="36" w:space="0" w:color="16A34A"/>
              <w:bottom w:val="none"/>
              <w:right w:val="none"/>
            </w:tcBorders>
            <w:tcMar>
              <w:top w:w="120" w:type="dxa"/>
              <w:bottom w:w="120" w:type="dxa"/>
              <w:left w:w="180" w:type="dxa"/>
              <w:right w:w="160" w:type="dxa"/>
            </w:tcMar>
          </w:tcPr>
          <w:p>
            <w:pPr>
              <w:spacing w:before="0" w:after="80"/>
            </w:pPr>
            <w:r>
              <w:rPr>
                <w:rFonts w:ascii="Calibri" w:hAnsi="Calibri"/>
                <w:b/>
                <w:color w:val="15803D"/>
                <w:sz w:val="20"/>
              </w:rPr>
              <w:t>💡  IN SIMPLE WORDS — INTUITIVE EXPLANATION &amp; CONCEPTS</w:t>
            </w:r>
          </w:p>
          <w:p>
            <w:pPr>
              <w:spacing w:before="40" w:after="60" w:line="269" w:lineRule="auto"/>
            </w:pPr>
            <w:r>
              <w:rPr>
                <w:rFonts w:ascii="Calibri" w:hAnsi="Calibri"/>
                <w:b/>
                <w:color w:val="15803D"/>
                <w:sz w:val="19"/>
              </w:rPr>
              <w:t xml:space="preserve">• The Core Idea in One Sentence: </w:t>
            </w:r>
            <w:r>
              <w:rPr>
                <w:rFonts w:ascii="Calibri" w:hAnsi="Calibri"/>
                <w:i w:val="0"/>
                <w:color w:val="1E293B"/>
                <w:sz w:val="19"/>
              </w:rPr>
              <w:t>Idiopathic Pulmonary Fibrosis (IPF) is a deadly, under-diagnosed lung disease that mimics common smoker's cough, but small hospitals cannot train AI to catch it because they have too few patients, and privacy laws make it illegal to pool scans together.</w:t>
            </w:r>
          </w:p>
          <w:p>
            <w:pPr>
              <w:spacing w:before="40" w:after="60" w:line="269" w:lineRule="auto"/>
            </w:pPr>
            <w:r>
              <w:rPr>
                <w:rFonts w:ascii="Calibri" w:hAnsi="Calibri"/>
                <w:b/>
                <w:color w:val="15803D"/>
                <w:sz w:val="19"/>
              </w:rPr>
              <w:t xml:space="preserve">• Why is IPF so Dangerous?: </w:t>
            </w:r>
            <w:r>
              <w:rPr>
                <w:rFonts w:ascii="Calibri" w:hAnsi="Calibri"/>
                <w:i w:val="0"/>
                <w:color w:val="1E293B"/>
                <w:sz w:val="19"/>
              </w:rPr>
              <w:t>Patients survive on average only 2 to 3 years after being diagnosed—worse than many advanced stage III and IV cancers. It is classified under rare disease registry code ORPHA:2032; fewer than 1 in 2,000 people have it, meaning rural community clinics rarely encounter it.</w:t>
            </w:r>
          </w:p>
          <w:p>
            <w:pPr>
              <w:spacing w:before="40" w:after="60" w:line="269" w:lineRule="auto"/>
            </w:pPr>
            <w:r>
              <w:rPr>
                <w:rFonts w:ascii="Calibri" w:hAnsi="Calibri"/>
                <w:b/>
                <w:color w:val="15803D"/>
                <w:sz w:val="19"/>
              </w:rPr>
              <w:t xml:space="preserve">• The Diagnostic Trap on High-Resolution CT: </w:t>
            </w:r>
            <w:r>
              <w:rPr>
                <w:rFonts w:ascii="Calibri" w:hAnsi="Calibri"/>
                <w:i w:val="0"/>
                <w:color w:val="1E293B"/>
                <w:sz w:val="19"/>
              </w:rPr>
              <w:t>In its early stages, an IPF CT scan shows vague cloudy patches (Ground-Glass Opacities) that look nearly identical to ordinary bronchitis or smoking cough (COPD). The definitive clue is 'honeycombing'—tiny clustered holes that look like a beehive at the outer edges of the lungs. Because rural radiologists rarely see it, patients are often misdiagnosed for 1.5 to 2 years, missing the window for antifibrotic medications.</w:t>
            </w:r>
          </w:p>
          <w:p>
            <w:pPr>
              <w:spacing w:before="40" w:after="60" w:line="269" w:lineRule="auto"/>
            </w:pPr>
            <w:r>
              <w:rPr>
                <w:rFonts w:ascii="Calibri" w:hAnsi="Calibri"/>
                <w:b/>
                <w:color w:val="15803D"/>
                <w:sz w:val="19"/>
              </w:rPr>
              <w:t xml:space="preserve">• The Catch-22 (Privacy-Scarcity Paradox): </w:t>
            </w:r>
            <w:r>
              <w:rPr>
                <w:rFonts w:ascii="Calibri" w:hAnsi="Calibri"/>
                <w:i w:val="0"/>
                <w:color w:val="1E293B"/>
                <w:sz w:val="19"/>
              </w:rPr>
              <w:t>Small hospitals desperately need AI to catch IPF early before patients die. But small hospitals cannot build their own AI because they only have 1 or 2 scans. And privacy laws like HIPAA and GDPR make it strictly illegal to take private scans from 100 hospitals and dump them into one central database.</w:t>
            </w:r>
          </w:p>
          <w:p>
            <w:pPr>
              <w:spacing w:before="40" w:after="0" w:line="269" w:lineRule="auto"/>
            </w:pPr>
            <w:r>
              <w:rPr>
                <w:rFonts w:ascii="Calibri" w:hAnsi="Calibri"/>
                <w:b/>
                <w:color w:val="15803D"/>
                <w:sz w:val="19"/>
              </w:rPr>
              <w:t xml:space="preserve">• The Federated Solution: </w:t>
            </w:r>
            <w:r>
              <w:rPr>
                <w:rFonts w:ascii="Calibri" w:hAnsi="Calibri"/>
                <w:i w:val="0"/>
                <w:color w:val="1E293B"/>
                <w:sz w:val="19"/>
              </w:rPr>
              <w:t>Federated learning is the only legally and clinically viable way to train an expert-level diagnostic AI across multi-center hospitals without moving a single patient's private scan.</w:t>
            </w:r>
          </w:p>
        </w:tc>
      </w:tr>
    </w:tbl>
    <w:p>
      <w:pPr>
        <w:spacing w:after="40"/>
      </w:pPr>
    </w:p>
    <w:p>
      <w:pPr>
        <w:keepNext/>
        <w:spacing w:before="280" w:after="60"/>
      </w:pPr>
      <w:r>
        <w:rPr>
          <w:rFonts w:ascii="Calibri" w:hAnsi="Calibri"/>
          <w:b/>
          <w:color w:val="0A2540"/>
          <w:sz w:val="30"/>
        </w:rPr>
        <w:t>Slide 4: System Requirements Specification</w:t>
      </w:r>
      <w:r>
        <w:rPr>
          <w:rFonts w:ascii="Calibri" w:hAnsi="Calibri"/>
          <w:b/>
          <w:color w:val="1A5FB4"/>
          <w:sz w:val="21"/>
        </w:rPr>
        <w:t xml:space="preserve">  [PI 3.1.3]</w:t>
      </w:r>
    </w:p>
    <w:p>
      <w:pPr>
        <w:keepNext/>
        <w:spacing w:before="200" w:after="40"/>
      </w:pPr>
      <w:r>
        <w:rPr>
          <w:rFonts w:ascii="Calibri" w:hAnsi="Calibri"/>
          <w:b/>
          <w:color w:val="1A5FB4"/>
          <w:sz w:val="23"/>
        </w:rPr>
        <w:t>1. Slide Metadata</w:t>
      </w:r>
    </w:p>
    <w:p>
      <w:pPr>
        <w:pStyle w:val="ListBullet"/>
        <w:spacing w:before="0" w:after="50" w:line="269" w:lineRule="auto"/>
        <w:ind w:left="360"/>
      </w:pPr>
      <w:r>
        <w:rPr>
          <w:rFonts w:ascii="Calibri" w:hAnsi="Calibri"/>
          <w:b/>
          <w:color w:val="1E293B"/>
          <w:sz w:val="19"/>
        </w:rPr>
        <w:t>Slide Title:</w:t>
      </w:r>
      <w:r>
        <w:rPr>
          <w:rFonts w:ascii="Calibri" w:hAnsi="Calibri"/>
          <w:i w:val="0"/>
          <w:color w:val="1E293B"/>
          <w:sz w:val="19"/>
        </w:rPr>
        <w:t xml:space="preserve"> </w:t>
      </w:r>
      <w:r>
        <w:rPr>
          <w:rFonts w:ascii="Consolas" w:hAnsi="Consolas"/>
          <w:color w:val="2563EB"/>
          <w:sz w:val="18"/>
        </w:rPr>
        <w:t>System Requirements Specification</w:t>
      </w:r>
    </w:p>
    <w:p>
      <w:pPr>
        <w:pStyle w:val="ListBullet"/>
        <w:spacing w:before="0" w:after="50" w:line="269" w:lineRule="auto"/>
        <w:ind w:left="360"/>
      </w:pPr>
      <w:r>
        <w:rPr>
          <w:rFonts w:ascii="Calibri" w:hAnsi="Calibri"/>
          <w:b/>
          <w:color w:val="1E293B"/>
          <w:sz w:val="19"/>
        </w:rPr>
        <w:t>On-Slide Subtitle:</w:t>
      </w:r>
      <w:r>
        <w:rPr>
          <w:rFonts w:ascii="Calibri" w:hAnsi="Calibri"/>
          <w:i w:val="0"/>
          <w:color w:val="1E293B"/>
          <w:sz w:val="19"/>
        </w:rPr>
        <w:t xml:space="preserve"> </w:t>
      </w:r>
      <w:r>
        <w:rPr>
          <w:rFonts w:ascii="Consolas" w:hAnsi="Consolas"/>
          <w:color w:val="2563EB"/>
          <w:sz w:val="18"/>
        </w:rPr>
        <w:t>PI 3.1.3: FUNCTIONAL, NON-FUNCTIONAL REQUIREMENTS &amp; CONSTRAINTS</w:t>
      </w:r>
    </w:p>
    <w:p>
      <w:pPr>
        <w:pStyle w:val="ListBullet"/>
        <w:spacing w:before="0" w:after="50" w:line="269" w:lineRule="auto"/>
        <w:ind w:left="360"/>
      </w:pPr>
      <w:r>
        <w:rPr>
          <w:rFonts w:ascii="Calibri" w:hAnsi="Calibri"/>
          <w:b/>
          <w:color w:val="1E293B"/>
          <w:sz w:val="19"/>
        </w:rPr>
        <w:t>Rubric Mapping:</w:t>
      </w:r>
      <w:r>
        <w:rPr>
          <w:rFonts w:ascii="Calibri" w:hAnsi="Calibri"/>
          <w:i w:val="0"/>
          <w:color w:val="1E293B"/>
          <w:sz w:val="19"/>
        </w:rPr>
        <w:t xml:space="preserve"> </w:t>
      </w:r>
      <w:r>
        <w:rPr>
          <w:rFonts w:ascii="Calibri" w:hAnsi="Calibri"/>
          <w:b/>
          <w:color w:val="1E293B"/>
          <w:sz w:val="19"/>
        </w:rPr>
        <w:t>PI 3.1.3</w:t>
      </w:r>
      <w:r>
        <w:rPr>
          <w:rFonts w:ascii="Calibri" w:hAnsi="Calibri"/>
          <w:i w:val="0"/>
          <w:color w:val="1E293B"/>
          <w:sz w:val="19"/>
        </w:rPr>
        <w:t xml:space="preserve"> (Determine design objectives along with functional and non-functional requirements, constraints, assumptions, and dependencies).</w:t>
      </w:r>
    </w:p>
    <w:p>
      <w:pPr>
        <w:pStyle w:val="ListBullet"/>
        <w:spacing w:before="0" w:after="50" w:line="269" w:lineRule="auto"/>
        <w:ind w:left="360"/>
      </w:pPr>
      <w:r>
        <w:rPr>
          <w:rFonts w:ascii="Calibri" w:hAnsi="Calibri"/>
          <w:b/>
          <w:color w:val="1E293B"/>
          <w:sz w:val="19"/>
        </w:rPr>
        <w:t>Visual Composition:</w:t>
      </w:r>
      <w:r>
        <w:rPr>
          <w:rFonts w:ascii="Calibri" w:hAnsi="Calibri"/>
          <w:i w:val="0"/>
          <w:color w:val="1E293B"/>
          <w:sz w:val="19"/>
        </w:rPr>
        <w:t xml:space="preserve"> Two-panel structured card layout. Left Panel: Functional Requirements (FR1 to FR6). Right Panel: Non-Functional Requirements (NFR1 to NFR4), System Constraints, and Explicit Assumptions.</w:t>
      </w:r>
    </w:p>
    <w:p>
      <w:pPr>
        <w:keepNext/>
        <w:spacing w:before="200" w:after="40"/>
      </w:pPr>
      <w:r>
        <w:rPr>
          <w:rFonts w:ascii="Calibri" w:hAnsi="Calibri"/>
          <w:b/>
          <w:color w:val="1A5FB4"/>
          <w:sz w:val="23"/>
        </w:rPr>
        <w:t>2. Breakdown of On-Slide Content</w:t>
      </w:r>
    </w:p>
    <w:p>
      <w:pPr>
        <w:pStyle w:val="ListBullet"/>
        <w:spacing w:before="0" w:after="50" w:line="269" w:lineRule="auto"/>
        <w:ind w:left="360"/>
      </w:pPr>
      <w:r>
        <w:rPr>
          <w:rFonts w:ascii="Calibri" w:hAnsi="Calibri"/>
          <w:b/>
          <w:color w:val="1E293B"/>
          <w:sz w:val="19"/>
        </w:rPr>
        <w:t>Functional Requirements (FR1–FR6):</w:t>
      </w:r>
    </w:p>
    <w:p>
      <w:pPr>
        <w:pStyle w:val="ListBullet"/>
        <w:spacing w:before="0" w:after="50" w:line="269" w:lineRule="auto"/>
        <w:ind w:left="720"/>
      </w:pPr>
      <w:r>
        <w:rPr>
          <w:rFonts w:ascii="Calibri" w:hAnsi="Calibri"/>
          <w:b/>
          <w:color w:val="1E293B"/>
          <w:sz w:val="19"/>
        </w:rPr>
        <w:t>FR1: Non-IID Multi-Center Partitioning:</w:t>
      </w:r>
      <w:r>
        <w:rPr>
          <w:rFonts w:ascii="Calibri" w:hAnsi="Calibri"/>
          <w:i w:val="0"/>
          <w:color w:val="1E293B"/>
          <w:sz w:val="19"/>
        </w:rPr>
        <w:t xml:space="preserve"> Dirichlet sampling (α = 0.2) across 5 simulated hospital nodes with severe rare-class scarcity (&lt; 8%).</w:t>
      </w:r>
    </w:p>
    <w:p>
      <w:pPr>
        <w:pStyle w:val="ListBullet"/>
        <w:spacing w:before="0" w:after="50" w:line="269" w:lineRule="auto"/>
        <w:ind w:left="720"/>
      </w:pPr>
      <w:r>
        <w:rPr>
          <w:rFonts w:ascii="Calibri" w:hAnsi="Calibri"/>
          <w:b/>
          <w:color w:val="1E293B"/>
          <w:sz w:val="19"/>
        </w:rPr>
        <w:t>FR2: Local Diagnostic Training:</w:t>
      </w:r>
      <w:r>
        <w:rPr>
          <w:rFonts w:ascii="Calibri" w:hAnsi="Calibri"/>
          <w:i w:val="0"/>
          <w:color w:val="1E293B"/>
          <w:sz w:val="19"/>
        </w:rPr>
        <w:t xml:space="preserve"> Support on-premise training with Cross-Entropy, FedProx (μ = 0.01), FedIIC, and Generative Replay.</w:t>
      </w:r>
    </w:p>
    <w:p>
      <w:pPr>
        <w:pStyle w:val="ListBullet"/>
        <w:spacing w:before="0" w:after="50" w:line="269" w:lineRule="auto"/>
        <w:ind w:left="720"/>
      </w:pPr>
      <w:r>
        <w:rPr>
          <w:rFonts w:ascii="Calibri" w:hAnsi="Calibri"/>
          <w:b/>
          <w:color w:val="1E293B"/>
          <w:sz w:val="19"/>
        </w:rPr>
        <w:t>FR3: Federated Generator Distillation:</w:t>
      </w:r>
      <w:r>
        <w:rPr>
          <w:rFonts w:ascii="Calibri" w:hAnsi="Calibri"/>
          <w:i w:val="0"/>
          <w:color w:val="1E293B"/>
          <w:sz w:val="19"/>
        </w:rPr>
        <w:t xml:space="preserve"> Distill global classifier knowledge into a lightweight local conditional generator (G_ψ).</w:t>
      </w:r>
    </w:p>
    <w:p>
      <w:pPr>
        <w:pStyle w:val="ListBullet"/>
        <w:spacing w:before="0" w:after="50" w:line="269" w:lineRule="auto"/>
        <w:ind w:left="720"/>
      </w:pPr>
      <w:r>
        <w:rPr>
          <w:rFonts w:ascii="Calibri" w:hAnsi="Calibri"/>
          <w:b/>
          <w:color w:val="1E293B"/>
          <w:sz w:val="19"/>
        </w:rPr>
        <w:t>FR4: Dynamic Generative Replay:</w:t>
      </w:r>
      <w:r>
        <w:rPr>
          <w:rFonts w:ascii="Calibri" w:hAnsi="Calibri"/>
          <w:i w:val="0"/>
          <w:color w:val="1E293B"/>
          <w:sz w:val="19"/>
        </w:rPr>
        <w:t xml:space="preserve"> Synthesize rare IPF feature vectors locally on-the-fly whenever a local mini-batch contains fewer than the target quota.</w:t>
      </w:r>
    </w:p>
    <w:p>
      <w:pPr>
        <w:pStyle w:val="ListBullet"/>
        <w:spacing w:before="0" w:after="50" w:line="269" w:lineRule="auto"/>
        <w:ind w:left="720"/>
      </w:pPr>
      <w:r>
        <w:rPr>
          <w:rFonts w:ascii="Calibri" w:hAnsi="Calibri"/>
          <w:b/>
          <w:color w:val="1E293B"/>
          <w:sz w:val="19"/>
        </w:rPr>
        <w:t>FR5: Federated Server Aggregation:</w:t>
      </w:r>
      <w:r>
        <w:rPr>
          <w:rFonts w:ascii="Calibri" w:hAnsi="Calibri"/>
          <w:i w:val="0"/>
          <w:color w:val="1E293B"/>
          <w:sz w:val="19"/>
        </w:rPr>
        <w:t xml:space="preserve"> Secure round aggregation using sample-weighted Federated Averaging (FedAvg).</w:t>
      </w:r>
    </w:p>
    <w:p>
      <w:pPr>
        <w:pStyle w:val="ListBullet"/>
        <w:spacing w:before="0" w:after="50" w:line="269" w:lineRule="auto"/>
        <w:ind w:left="720"/>
      </w:pPr>
      <w:r>
        <w:rPr>
          <w:rFonts w:ascii="Calibri" w:hAnsi="Calibri"/>
          <w:b/>
          <w:color w:val="1E293B"/>
          <w:sz w:val="19"/>
        </w:rPr>
        <w:t>FR6: Comprehensive Benchmarking:</w:t>
      </w:r>
      <w:r>
        <w:rPr>
          <w:rFonts w:ascii="Calibri" w:hAnsi="Calibri"/>
          <w:i w:val="0"/>
          <w:color w:val="1E293B"/>
          <w:sz w:val="19"/>
        </w:rPr>
        <w:t xml:space="preserve"> Automatically compute and log 7 clinical metrics: BACC, IPF Recall, IPF F1, Macro-F1, Precision, Accuracy, AUROC.</w:t>
      </w:r>
    </w:p>
    <w:p>
      <w:pPr>
        <w:pStyle w:val="ListBullet"/>
        <w:spacing w:before="0" w:after="50" w:line="269" w:lineRule="auto"/>
        <w:ind w:left="360"/>
      </w:pPr>
      <w:r>
        <w:rPr>
          <w:rFonts w:ascii="Calibri" w:hAnsi="Calibri"/>
          <w:b/>
          <w:color w:val="1E293B"/>
          <w:sz w:val="19"/>
        </w:rPr>
        <w:t>Non-Functional Requirements &amp; Constraints:</w:t>
      </w:r>
    </w:p>
    <w:p>
      <w:pPr>
        <w:pStyle w:val="ListBullet"/>
        <w:spacing w:before="0" w:after="50" w:line="269" w:lineRule="auto"/>
        <w:ind w:left="720"/>
      </w:pPr>
      <w:r>
        <w:rPr>
          <w:rFonts w:ascii="Calibri" w:hAnsi="Calibri"/>
          <w:b/>
          <w:color w:val="1E293B"/>
          <w:sz w:val="19"/>
        </w:rPr>
        <w:t>NFR1: Privacy (Zero Raw Data Leakage):</w:t>
      </w:r>
      <w:r>
        <w:rPr>
          <w:rFonts w:ascii="Calibri" w:hAnsi="Calibri"/>
          <w:i w:val="0"/>
          <w:color w:val="1E293B"/>
          <w:sz w:val="19"/>
        </w:rPr>
        <w:t xml:space="preserve"> Patient HRCT scans never leave client nodes; only weight updates (Δθ, Δψ) and 128-d latent features are processed.</w:t>
      </w:r>
    </w:p>
    <w:p>
      <w:pPr>
        <w:pStyle w:val="ListBullet"/>
        <w:spacing w:before="0" w:after="50" w:line="269" w:lineRule="auto"/>
        <w:ind w:left="720"/>
      </w:pPr>
      <w:r>
        <w:rPr>
          <w:rFonts w:ascii="Calibri" w:hAnsi="Calibri"/>
          <w:b/>
          <w:color w:val="1E293B"/>
          <w:sz w:val="19"/>
        </w:rPr>
        <w:t>NFR2: Portability &amp; Hardware Independence:</w:t>
      </w:r>
      <w:r>
        <w:rPr>
          <w:rFonts w:ascii="Calibri" w:hAnsi="Calibri"/>
          <w:i w:val="0"/>
          <w:color w:val="1E293B"/>
          <w:sz w:val="19"/>
        </w:rPr>
        <w:t xml:space="preserve"> Cross-platform execution on Linux, Windows, macOS (CPU or CUDA).</w:t>
      </w:r>
    </w:p>
    <w:p>
      <w:pPr>
        <w:pStyle w:val="ListBullet"/>
        <w:spacing w:before="0" w:after="50" w:line="269" w:lineRule="auto"/>
        <w:ind w:left="720"/>
      </w:pPr>
      <w:r>
        <w:rPr>
          <w:rFonts w:ascii="Calibri" w:hAnsi="Calibri"/>
          <w:b/>
          <w:color w:val="1E293B"/>
          <w:sz w:val="19"/>
        </w:rPr>
        <w:t>NFR3: Scalability:</w:t>
      </w:r>
      <w:r>
        <w:rPr>
          <w:rFonts w:ascii="Calibri" w:hAnsi="Calibri"/>
          <w:i w:val="0"/>
          <w:color w:val="1E293B"/>
          <w:sz w:val="19"/>
        </w:rPr>
        <w:t xml:space="preserve"> Dynamic scaling across 3 to 20 hospital consortium nodes without code refactoring.</w:t>
      </w:r>
    </w:p>
    <w:p>
      <w:pPr>
        <w:pStyle w:val="ListBullet"/>
        <w:spacing w:before="0" w:after="50" w:line="269" w:lineRule="auto"/>
        <w:ind w:left="720"/>
      </w:pPr>
      <w:r>
        <w:rPr>
          <w:rFonts w:ascii="Calibri" w:hAnsi="Calibri"/>
          <w:b/>
          <w:color w:val="1E293B"/>
          <w:sz w:val="19"/>
        </w:rPr>
        <w:t>NFR4: Reproducibility:</w:t>
      </w:r>
      <w:r>
        <w:rPr>
          <w:rFonts w:ascii="Calibri" w:hAnsi="Calibri"/>
          <w:i w:val="0"/>
          <w:color w:val="1E293B"/>
          <w:sz w:val="19"/>
        </w:rPr>
        <w:t xml:space="preserve"> Deterministic experiment pipeline enforcing a global random seed (seed = 42).</w:t>
      </w:r>
    </w:p>
    <w:p>
      <w:pPr>
        <w:pStyle w:val="ListBullet"/>
        <w:spacing w:before="0" w:after="50" w:line="269" w:lineRule="auto"/>
        <w:ind w:left="720"/>
      </w:pPr>
      <w:r>
        <w:rPr>
          <w:rFonts w:ascii="Calibri" w:hAnsi="Calibri"/>
          <w:b/>
          <w:color w:val="1E293B"/>
          <w:sz w:val="19"/>
        </w:rPr>
        <w:t>Constraints &amp; Assumptions:</w:t>
      </w:r>
      <w:r>
        <w:rPr>
          <w:rFonts w:ascii="Calibri" w:hAnsi="Calibri"/>
          <w:i w:val="0"/>
          <w:color w:val="1E293B"/>
          <w:sz w:val="19"/>
        </w:rPr>
        <w:t xml:space="preserve"> Standardized 64×64 axial HRCT slices; synchronous round communication model; honest-but-curious server threat model.</w:t>
      </w:r>
    </w:p>
    <w:p>
      <w:pPr>
        <w:keepNext/>
        <w:spacing w:before="200" w:after="40"/>
      </w:pPr>
      <w:r>
        <w:rPr>
          <w:rFonts w:ascii="Calibri" w:hAnsi="Calibri"/>
          <w:b/>
          <w:color w:val="1A5FB4"/>
          <w:sz w:val="23"/>
        </w:rPr>
        <w:t>3. Deep Technical &amp; Contextual Explanation</w:t>
      </w:r>
    </w:p>
    <w:p>
      <w:pPr>
        <w:spacing w:before="0" w:after="70" w:line="276" w:lineRule="auto"/>
      </w:pPr>
      <w:r>
        <w:rPr>
          <w:rFonts w:ascii="Calibri" w:hAnsi="Calibri"/>
          <w:i w:val="0"/>
          <w:color w:val="1E293B"/>
          <w:sz w:val="20"/>
        </w:rPr>
        <w:t>PI 3.1.3 requires engineering rigor in defining unambiguous, measurable specifications:</w:t>
      </w:r>
    </w:p>
    <w:p>
      <w:pPr>
        <w:pStyle w:val="ListBullet"/>
        <w:spacing w:before="0" w:after="50" w:line="269" w:lineRule="auto"/>
        <w:ind w:left="360"/>
      </w:pPr>
      <w:r>
        <w:rPr>
          <w:rFonts w:ascii="Calibri" w:hAnsi="Calibri"/>
          <w:b/>
          <w:color w:val="1E293B"/>
          <w:sz w:val="19"/>
        </w:rPr>
        <w:t>Dirichlet Non-IID Formulation (FR1):</w:t>
      </w:r>
      <w:r>
        <w:rPr>
          <w:rFonts w:ascii="Calibri" w:hAnsi="Calibri"/>
          <w:i w:val="0"/>
          <w:color w:val="1E293B"/>
          <w:sz w:val="19"/>
        </w:rPr>
        <w:t xml:space="preserve"> Real-world clinical data distributions across hospital sites are not independent and identically distributed. We model label skew via the symmetric Dirichlet distribution:</w:t>
      </w:r>
    </w:p>
    <w:p>
      <w:pPr>
        <w:spacing w:before="80" w:after="80"/>
        <w:jc w:val="center"/>
      </w:pPr>
      <w:r>
        <w:rPr>
          <w:rFonts w:ascii="Cambria Math" w:hAnsi="Cambria Math"/>
          <w:i/>
          <w:color w:val="1A5FB4"/>
          <w:sz w:val="21"/>
        </w:rPr>
        <w:t>p_k ~ Dir(α · 1_C),   where α = 0.2</w:t>
      </w:r>
    </w:p>
    <w:p>
      <w:pPr>
        <w:pStyle w:val="ListBullet"/>
        <w:spacing w:before="0" w:after="50" w:line="269" w:lineRule="auto"/>
        <w:ind w:left="360"/>
      </w:pPr>
      <w:r>
        <w:rPr>
          <w:rFonts w:ascii="Calibri" w:hAnsi="Calibri"/>
          <w:b/>
          <w:color w:val="1E293B"/>
          <w:sz w:val="19"/>
        </w:rPr>
        <w:t>Privacy Boundary Enforcement (NFR1):</w:t>
      </w:r>
    </w:p>
    <w:p>
      <w:pPr>
        <w:spacing w:before="80" w:after="80"/>
        <w:jc w:val="center"/>
      </w:pPr>
      <w:r>
        <w:rPr>
          <w:rFonts w:ascii="Cambria Math" w:hAnsi="Cambria Math"/>
          <w:i/>
          <w:color w:val="1A5FB4"/>
          <w:sz w:val="21"/>
        </w:rPr>
        <w:t>Data Transfer = {Δθ_k, Δψ_k},   where Raw Image Data X_k ∩ Channel = ∅</w:t>
      </w:r>
    </w:p>
    <w:p>
      <w:pPr>
        <w:pStyle w:val="ListBullet"/>
        <w:spacing w:before="0" w:after="50" w:line="269" w:lineRule="auto"/>
        <w:ind w:left="360"/>
      </w:pPr>
      <w:r>
        <w:rPr>
          <w:rFonts w:ascii="Calibri" w:hAnsi="Calibri"/>
          <w:b/>
          <w:color w:val="1E293B"/>
          <w:sz w:val="19"/>
        </w:rPr>
        <w:t>Clinical Evaluation Metrics (FR6):</w:t>
      </w:r>
      <w:r>
        <w:rPr>
          <w:rFonts w:ascii="Calibri" w:hAnsi="Calibri"/>
          <w:i w:val="0"/>
          <w:color w:val="1E293B"/>
          <w:sz w:val="19"/>
        </w:rPr>
        <w:t xml:space="preserve"> Standard overall accuracy is profoundly misleading in medical rare disease diagnosis. In a dataset with 92% common scans and 8% IPF, a trivial dummy model predicting 'Normal' for all patients achieves 92% accuracy while having 0% recall on IPF. Thus, Balanced Accuracy (BACC) and IPF Recall (Sensitivity) are mandatory:</w:t>
      </w:r>
    </w:p>
    <w:p>
      <w:pPr>
        <w:spacing w:before="80" w:after="80"/>
        <w:jc w:val="center"/>
      </w:pPr>
      <w:r>
        <w:rPr>
          <w:rFonts w:ascii="Cambria Math" w:hAnsi="Cambria Math"/>
          <w:i/>
          <w:color w:val="1A5FB4"/>
          <w:sz w:val="21"/>
        </w:rPr>
        <w:t>BACC = (1/C) ∑ (TP_c / (TP_c + FN_c)),       IPF Recall = TP_IPF / (TP_IPF + FN_IPF)</w:t>
      </w:r>
    </w:p>
    <w:p>
      <w:pPr>
        <w:keepNext/>
        <w:spacing w:before="200" w:after="40"/>
      </w:pPr>
      <w:r>
        <w:rPr>
          <w:rFonts w:ascii="Calibri" w:hAnsi="Calibri"/>
          <w:b/>
          <w:color w:val="1A5FB4"/>
          <w:sz w:val="23"/>
        </w:rPr>
        <w:t>4. Verbatim Oral Defense Script (Speaker Notes)</w:t>
      </w:r>
    </w:p>
    <w:tbl>
      <w:tblPr>
        <w:tblW w:type="auto" w:w="0"/>
        <w:jc w:val="center"/>
        <w:tblLayout w:type="fixed"/>
        <w:tblLook w:firstColumn="1" w:firstRow="1" w:lastColumn="0" w:lastRow="0" w:noHBand="0" w:noVBand="1" w:val="04A0"/>
      </w:tblPr>
      <w:tblGrid>
        <w:gridCol w:w="9360"/>
      </w:tblGrid>
      <w:tr>
        <w:tc>
          <w:tcPr>
            <w:tcW w:type="dxa" w:w="9360"/>
            <w:shd w:fill="F0F7FF"/>
            <w:tcBorders>
              <w:top w:val="none"/>
              <w:left w:val="single" w:sz="36" w:space="0" w:color="1A5FB4"/>
              <w:bottom w:val="none"/>
              <w:right w:val="none"/>
            </w:tcBorders>
            <w:tcMar>
              <w:top w:w="120" w:type="dxa"/>
              <w:bottom w:w="120" w:type="dxa"/>
              <w:left w:w="180" w:type="dxa"/>
              <w:right w:w="160" w:type="dxa"/>
            </w:tcMar>
          </w:tcPr>
          <w:p>
            <w:pPr>
              <w:spacing w:before="0" w:after="80"/>
            </w:pPr>
            <w:r>
              <w:rPr>
                <w:rFonts w:ascii="Calibri" w:hAnsi="Calibri"/>
                <w:b/>
                <w:color w:val="1A5FB4"/>
                <w:sz w:val="20"/>
              </w:rPr>
              <w:t>🗣️  VERBATIM ORAL DEFENSE SCRIPT (SPEAKER NOTES)</w:t>
            </w:r>
          </w:p>
          <w:p>
            <w:pPr>
              <w:spacing w:before="40" w:after="80" w:line="276" w:lineRule="auto"/>
            </w:pPr>
            <w:r>
              <w:rPr>
                <w:rFonts w:ascii="Calibri" w:hAnsi="Calibri"/>
                <w:i/>
                <w:color w:val="1E293B"/>
                <w:sz w:val="19"/>
              </w:rPr>
              <w:t>"On Slide 4, we present our complete System Requirements Specification, fulfilling Performance Indicator 3.1.3 of the departmental rubrics."</w:t>
            </w:r>
          </w:p>
          <w:p>
            <w:pPr>
              <w:spacing w:before="40" w:after="80" w:line="276" w:lineRule="auto"/>
            </w:pPr>
            <w:r>
              <w:rPr>
                <w:rFonts w:ascii="Calibri" w:hAnsi="Calibri"/>
                <w:i/>
                <w:color w:val="1E293B"/>
                <w:sz w:val="19"/>
              </w:rPr>
              <w:t>"Our design encompasses six core Functional Requirements: First, FR1 models real-world multi-center hospital distributions using Dirichlet non-IID partitioning with α = 0.2 across 5 hospital nodes. FR2 and FR3 provide local diagnostic training and federated generator distillation. FR4 implements our dynamic latent replay mechanism—synthesizing rare IPF features on-the-fly inside data-starved hospitals. FR5 and FR6 handle weighted federated parameter aggregation and automated evaluation across 7 clinical metrics."</w:t>
            </w:r>
          </w:p>
          <w:p>
            <w:pPr>
              <w:spacing w:before="40" w:after="0" w:line="276" w:lineRule="auto"/>
            </w:pPr>
            <w:r>
              <w:rPr>
                <w:rFonts w:ascii="Calibri" w:hAnsi="Calibri"/>
                <w:i/>
                <w:color w:val="1E293B"/>
                <w:sz w:val="19"/>
              </w:rPr>
              <w:t>"On the right panel, we specify our Non-Functional Requirements. NFR1 guarantees strict privacy under HIPAA and GDPR—zero raw CT scans ever leave the hospital boundary; only model deltas are communicated. NFR2 and NFR3 ensure cross-platform portability across Linux, Windows, and macOS, seamlessly scaling from 3 to 20 hospital nodes. Finally, our constraints define standardized 64×64 axial thoracic inputs and a synchronous communication model under an honest-but-curious server assumption."</w:t>
            </w:r>
          </w:p>
        </w:tc>
      </w:tr>
    </w:tbl>
    <w:p>
      <w:pPr>
        <w:spacing w:after="40"/>
      </w:pPr>
    </w:p>
    <w:p>
      <w:pPr>
        <w:keepNext/>
        <w:spacing w:before="200" w:after="40"/>
      </w:pPr>
      <w:r>
        <w:rPr>
          <w:rFonts w:ascii="Calibri" w:hAnsi="Calibri"/>
          <w:b/>
          <w:color w:val="1A5FB4"/>
          <w:sz w:val="23"/>
        </w:rPr>
        <w:t>5. Anticipated Reviewer Questions &amp; Bulletproof Defense</w:t>
      </w:r>
    </w:p>
    <w:tbl>
      <w:tblPr>
        <w:tblW w:type="auto" w:w="0"/>
        <w:jc w:val="center"/>
        <w:tblLayout w:type="fixed"/>
        <w:tblLook w:firstColumn="1" w:firstRow="1" w:lastColumn="0" w:lastRow="0" w:noHBand="0" w:noVBand="1" w:val="04A0"/>
      </w:tblPr>
      <w:tblGrid>
        <w:gridCol w:w="9360"/>
      </w:tblGrid>
      <w:tr>
        <w:tc>
          <w:tcPr>
            <w:tcW w:type="dxa" w:w="9360"/>
            <w:shd w:fill="FFFBEB"/>
            <w:tcBorders>
              <w:top w:val="none"/>
              <w:left w:val="single" w:sz="36" w:space="0" w:color="D97706"/>
              <w:bottom w:val="none"/>
              <w:right w:val="none"/>
            </w:tcBorders>
            <w:tcMar>
              <w:top w:w="120" w:type="dxa"/>
              <w:bottom w:w="120" w:type="dxa"/>
              <w:left w:w="180" w:type="dxa"/>
              <w:right w:w="160" w:type="dxa"/>
            </w:tcMar>
          </w:tcPr>
          <w:p>
            <w:pPr>
              <w:spacing w:before="0" w:after="80"/>
            </w:pPr>
            <w:r>
              <w:rPr>
                <w:rFonts w:ascii="Calibri" w:hAnsi="Calibri"/>
                <w:b/>
                <w:color w:val="92400E"/>
                <w:sz w:val="20"/>
              </w:rPr>
              <w:t>❓  ANTICIPATED REVIEWER QUESTIONS &amp; BULLETPROOF DEFENSE</w:t>
            </w:r>
          </w:p>
          <w:p>
            <w:pPr>
              <w:spacing w:before="80" w:after="40" w:line="269" w:lineRule="auto"/>
            </w:pPr>
            <w:r>
              <w:rPr>
                <w:rFonts w:ascii="Calibri" w:hAnsi="Calibri"/>
                <w:b/>
                <w:color w:val="92400E"/>
                <w:sz w:val="19"/>
              </w:rPr>
              <w:t xml:space="preserve">Q1: </w:t>
            </w:r>
            <w:r>
              <w:rPr>
                <w:rFonts w:ascii="Calibri" w:hAnsi="Calibri"/>
                <w:i w:val="0"/>
                <w:color w:val="92400E"/>
                <w:sz w:val="19"/>
              </w:rPr>
              <w:t>Why do you specifically choose α = 0.2 for the Dirichlet distribution?</w:t>
            </w:r>
          </w:p>
          <w:p>
            <w:pPr>
              <w:spacing w:before="20" w:after="120" w:line="269" w:lineRule="auto"/>
            </w:pPr>
            <w:r>
              <w:rPr>
                <w:rFonts w:ascii="Calibri" w:hAnsi="Calibri"/>
                <w:b/>
                <w:color w:val="0A2540"/>
                <w:sz w:val="19"/>
              </w:rPr>
              <w:t xml:space="preserve">Defense Answer: </w:t>
            </w:r>
            <w:r>
              <w:rPr>
                <w:rFonts w:ascii="Calibri" w:hAnsi="Calibri"/>
                <w:i w:val="0"/>
                <w:color w:val="1E293B"/>
                <w:sz w:val="19"/>
              </w:rPr>
              <w:t>In federated learning literature, α ≥ 1.0 represents mild, near-IID skew where every client receives roughly equal class proportions. An α ≤ 0.5 represents severe non-IID skew. By setting α = 0.2, we accurately reflect real-world healthcare disparity, where specialist academic centers have rare cases, but community clinics have 0 or 1 rare case.</w:t>
            </w:r>
          </w:p>
          <w:p>
            <w:pPr>
              <w:spacing w:before="80" w:after="40" w:line="269" w:lineRule="auto"/>
            </w:pPr>
            <w:r>
              <w:rPr>
                <w:rFonts w:ascii="Calibri" w:hAnsi="Calibri"/>
                <w:b/>
                <w:color w:val="92400E"/>
                <w:sz w:val="19"/>
              </w:rPr>
              <w:t xml:space="preserve">Q2: </w:t>
            </w:r>
            <w:r>
              <w:rPr>
                <w:rFonts w:ascii="Calibri" w:hAnsi="Calibri"/>
                <w:i w:val="0"/>
                <w:color w:val="92400E"/>
                <w:sz w:val="19"/>
              </w:rPr>
              <w:t>Why is standard Accuracy omitted from your primary optimization targets?</w:t>
            </w:r>
          </w:p>
          <w:p>
            <w:pPr>
              <w:spacing w:before="20" w:after="0" w:line="269" w:lineRule="auto"/>
            </w:pPr>
            <w:r>
              <w:rPr>
                <w:rFonts w:ascii="Calibri" w:hAnsi="Calibri"/>
                <w:b/>
                <w:color w:val="0A2540"/>
                <w:sz w:val="19"/>
              </w:rPr>
              <w:t xml:space="preserve">Defense Answer: </w:t>
            </w:r>
            <w:r>
              <w:rPr>
                <w:rFonts w:ascii="Calibri" w:hAnsi="Calibri"/>
                <w:i w:val="0"/>
                <w:color w:val="1E293B"/>
                <w:sz w:val="19"/>
              </w:rPr>
              <w:t>In rare diseases with &lt; 8% prevalence, standard classification accuracy suffers from the majority class illusion. A naive dummy classifier that assigns every patient to 'Normal' achieves 92% accuracy while having 0% recall on IPF. Therefore, we evaluate Balanced Accuracy (BACC) and IPF Recall to ensure clinical viability.</w:t>
            </w:r>
          </w:p>
        </w:tc>
      </w:tr>
    </w:tbl>
    <w:p>
      <w:pPr>
        <w:spacing w:after="40"/>
      </w:pPr>
    </w:p>
    <w:p>
      <w:pPr>
        <w:keepNext/>
        <w:spacing w:before="200" w:after="40"/>
      </w:pPr>
      <w:r>
        <w:rPr>
          <w:rFonts w:ascii="Calibri" w:hAnsi="Calibri"/>
          <w:b/>
          <w:color w:val="1A5FB4"/>
          <w:sz w:val="23"/>
        </w:rPr>
        <w:t>6. Plain-English Intuitive Explanation (In Simple Words)</w:t>
      </w:r>
    </w:p>
    <w:tbl>
      <w:tblPr>
        <w:tblW w:type="auto" w:w="0"/>
        <w:jc w:val="center"/>
        <w:tblLayout w:type="fixed"/>
        <w:tblLook w:firstColumn="1" w:firstRow="1" w:lastColumn="0" w:lastRow="0" w:noHBand="0" w:noVBand="1" w:val="04A0"/>
      </w:tblPr>
      <w:tblGrid>
        <w:gridCol w:w="9360"/>
      </w:tblGrid>
      <w:tr>
        <w:tc>
          <w:tcPr>
            <w:tcW w:type="dxa" w:w="9360"/>
            <w:shd w:fill="F0FDF4"/>
            <w:tcBorders>
              <w:top w:val="none"/>
              <w:left w:val="single" w:sz="36" w:space="0" w:color="16A34A"/>
              <w:bottom w:val="none"/>
              <w:right w:val="none"/>
            </w:tcBorders>
            <w:tcMar>
              <w:top w:w="120" w:type="dxa"/>
              <w:bottom w:w="120" w:type="dxa"/>
              <w:left w:w="180" w:type="dxa"/>
              <w:right w:w="160" w:type="dxa"/>
            </w:tcMar>
          </w:tcPr>
          <w:p>
            <w:pPr>
              <w:spacing w:before="0" w:after="80"/>
            </w:pPr>
            <w:r>
              <w:rPr>
                <w:rFonts w:ascii="Calibri" w:hAnsi="Calibri"/>
                <w:b/>
                <w:color w:val="15803D"/>
                <w:sz w:val="20"/>
              </w:rPr>
              <w:t>💡  IN SIMPLE WORDS — INTUITIVE EXPLANATION &amp; CONCEPTS</w:t>
            </w:r>
          </w:p>
          <w:p>
            <w:pPr>
              <w:spacing w:before="40" w:after="60" w:line="269" w:lineRule="auto"/>
            </w:pPr>
            <w:r>
              <w:rPr>
                <w:rFonts w:ascii="Calibri" w:hAnsi="Calibri"/>
                <w:b/>
                <w:color w:val="15803D"/>
                <w:sz w:val="19"/>
              </w:rPr>
              <w:t xml:space="preserve">• The Core Idea in One Sentence: </w:t>
            </w:r>
            <w:r>
              <w:rPr>
                <w:rFonts w:ascii="Calibri" w:hAnsi="Calibri"/>
                <w:i w:val="0"/>
                <w:color w:val="1E293B"/>
                <w:sz w:val="19"/>
              </w:rPr>
              <w:t>This slide presents our complete system blueprint—listing exactly what the software must do (Functional Requirements) and the strict engineering rules it must follow (Non-Functional Requirements).</w:t>
            </w:r>
          </w:p>
          <w:p>
            <w:pPr>
              <w:spacing w:before="40" w:after="60" w:line="269" w:lineRule="auto"/>
            </w:pPr>
            <w:r>
              <w:rPr>
                <w:rFonts w:ascii="Calibri" w:hAnsi="Calibri"/>
                <w:b/>
                <w:color w:val="15803D"/>
                <w:sz w:val="19"/>
              </w:rPr>
              <w:t xml:space="preserve">• FR1 (Real-World Simulation): </w:t>
            </w:r>
            <w:r>
              <w:rPr>
                <w:rFonts w:ascii="Calibri" w:hAnsi="Calibri"/>
                <w:i w:val="0"/>
                <w:color w:val="1E293B"/>
                <w:sz w:val="19"/>
              </w:rPr>
              <w:t>In real life, big academic hospitals see a few rare cases, regional hospitals see 1 or 2, and rural clinics see zero. We mathematically simulate this exact realistic split across 5 hospital computers using Dirichlet non-IID sampling (α = 0.2).</w:t>
            </w:r>
          </w:p>
          <w:p>
            <w:pPr>
              <w:spacing w:before="40" w:after="60" w:line="269" w:lineRule="auto"/>
            </w:pPr>
            <w:r>
              <w:rPr>
                <w:rFonts w:ascii="Calibri" w:hAnsi="Calibri"/>
                <w:b/>
                <w:color w:val="15803D"/>
                <w:sz w:val="19"/>
              </w:rPr>
              <w:t xml:space="preserve">• FR4 (Virtual Patient Replay): </w:t>
            </w:r>
            <w:r>
              <w:rPr>
                <w:rFonts w:ascii="Calibri" w:hAnsi="Calibri"/>
                <w:i w:val="0"/>
                <w:color w:val="1E293B"/>
                <w:sz w:val="19"/>
              </w:rPr>
              <w:t>When a rural clinic trains its AI, if its local batch of scans has zero rare patients, our system injects realistic synthetic feature representations on-the-fly so the AI never stops practicing for rare diseases.</w:t>
            </w:r>
          </w:p>
          <w:p>
            <w:pPr>
              <w:spacing w:before="40" w:after="60" w:line="269" w:lineRule="auto"/>
            </w:pPr>
            <w:r>
              <w:rPr>
                <w:rFonts w:ascii="Calibri" w:hAnsi="Calibri"/>
                <w:b/>
                <w:color w:val="15803D"/>
                <w:sz w:val="19"/>
              </w:rPr>
              <w:t xml:space="preserve">• NFR1 (The Zero-Leakage Privacy Rule): </w:t>
            </w:r>
            <w:r>
              <w:rPr>
                <w:rFonts w:ascii="Calibri" w:hAnsi="Calibri"/>
                <w:i w:val="0"/>
                <w:color w:val="1E293B"/>
                <w:sz w:val="19"/>
              </w:rPr>
              <w:t>Under no circumstances do CT scans ever leave the hospital boundary. Only abstract mathematical numbers (model weights and 128-dimensional latent vectors) are communicated.</w:t>
            </w:r>
          </w:p>
          <w:p>
            <w:pPr>
              <w:spacing w:before="40" w:after="0" w:line="269" w:lineRule="auto"/>
            </w:pPr>
            <w:r>
              <w:rPr>
                <w:rFonts w:ascii="Calibri" w:hAnsi="Calibri"/>
                <w:b/>
                <w:color w:val="15803D"/>
                <w:sz w:val="19"/>
              </w:rPr>
              <w:t xml:space="preserve">• Why Standard 'Accuracy' is a Lie: </w:t>
            </w:r>
            <w:r>
              <w:rPr>
                <w:rFonts w:ascii="Calibri" w:hAnsi="Calibri"/>
                <w:i w:val="0"/>
                <w:color w:val="1E293B"/>
                <w:sz w:val="19"/>
              </w:rPr>
              <w:t>Suppose a clinic has 100 patients: 95 have common coughs and only 5 have rare IPF. If a lazy, broken AI simply guesses 'Healthy' for every single person, it achieves 95% accuracy on paper! But all 5 rare disease patients will die undiagnosed because the AI failed them 100% of the time. That is why our specification enforces Balanced Accuracy (BACC) and IPF Recall (Sensitivity)—metrics that give equal importance to rare patients and measure if the AI actually saves their lives.</w:t>
            </w:r>
          </w:p>
        </w:tc>
      </w:tr>
    </w:tbl>
    <w:p>
      <w:pPr>
        <w:spacing w:after="40"/>
      </w:pPr>
    </w:p>
    <w:p>
      <w:pPr>
        <w:keepNext/>
        <w:spacing w:before="280" w:after="60"/>
      </w:pPr>
      <w:r>
        <w:rPr>
          <w:rFonts w:ascii="Calibri" w:hAnsi="Calibri"/>
          <w:b/>
          <w:color w:val="0A2540"/>
          <w:sz w:val="30"/>
        </w:rPr>
        <w:t>Slide 5: System Architecture — FedGen-Rare</w:t>
      </w:r>
      <w:r>
        <w:rPr>
          <w:rFonts w:ascii="Calibri" w:hAnsi="Calibri"/>
          <w:b/>
          <w:color w:val="1A5FB4"/>
          <w:sz w:val="21"/>
        </w:rPr>
        <w:t xml:space="preserve">  [PI 3.3.1]</w:t>
      </w:r>
    </w:p>
    <w:p>
      <w:pPr>
        <w:keepNext/>
        <w:spacing w:before="200" w:after="40"/>
      </w:pPr>
      <w:r>
        <w:rPr>
          <w:rFonts w:ascii="Calibri" w:hAnsi="Calibri"/>
          <w:b/>
          <w:color w:val="1A5FB4"/>
          <w:sz w:val="23"/>
        </w:rPr>
        <w:t>1. Slide Metadata</w:t>
      </w:r>
    </w:p>
    <w:p>
      <w:pPr>
        <w:pStyle w:val="ListBullet"/>
        <w:spacing w:before="0" w:after="50" w:line="269" w:lineRule="auto"/>
        <w:ind w:left="360"/>
      </w:pPr>
      <w:r>
        <w:rPr>
          <w:rFonts w:ascii="Calibri" w:hAnsi="Calibri"/>
          <w:b/>
          <w:color w:val="1E293B"/>
          <w:sz w:val="19"/>
        </w:rPr>
        <w:t>Slide Title:</w:t>
      </w:r>
      <w:r>
        <w:rPr>
          <w:rFonts w:ascii="Calibri" w:hAnsi="Calibri"/>
          <w:i w:val="0"/>
          <w:color w:val="1E293B"/>
          <w:sz w:val="19"/>
        </w:rPr>
        <w:t xml:space="preserve"> </w:t>
      </w:r>
      <w:r>
        <w:rPr>
          <w:rFonts w:ascii="Consolas" w:hAnsi="Consolas"/>
          <w:color w:val="2563EB"/>
          <w:sz w:val="18"/>
        </w:rPr>
        <w:t>System Architecture — FedGen-Rare</w:t>
      </w:r>
    </w:p>
    <w:p>
      <w:pPr>
        <w:pStyle w:val="ListBullet"/>
        <w:spacing w:before="0" w:after="50" w:line="269" w:lineRule="auto"/>
        <w:ind w:left="360"/>
      </w:pPr>
      <w:r>
        <w:rPr>
          <w:rFonts w:ascii="Calibri" w:hAnsi="Calibri"/>
          <w:b/>
          <w:color w:val="1E293B"/>
          <w:sz w:val="19"/>
        </w:rPr>
        <w:t>On-Slide Subtitle:</w:t>
      </w:r>
      <w:r>
        <w:rPr>
          <w:rFonts w:ascii="Calibri" w:hAnsi="Calibri"/>
          <w:i w:val="0"/>
          <w:color w:val="1E293B"/>
          <w:sz w:val="19"/>
        </w:rPr>
        <w:t xml:space="preserve"> </w:t>
      </w:r>
      <w:r>
        <w:rPr>
          <w:rFonts w:ascii="Consolas" w:hAnsi="Consolas"/>
          <w:color w:val="2563EB"/>
          <w:sz w:val="18"/>
        </w:rPr>
        <w:t>PI 3.3.1: PICTORIAL ARCHITECTURAL MODEL &amp; TWO-STAGE FEDERATED PIPELINE</w:t>
      </w:r>
    </w:p>
    <w:p>
      <w:pPr>
        <w:pStyle w:val="ListBullet"/>
        <w:spacing w:before="0" w:after="50" w:line="269" w:lineRule="auto"/>
        <w:ind w:left="360"/>
      </w:pPr>
      <w:r>
        <w:rPr>
          <w:rFonts w:ascii="Calibri" w:hAnsi="Calibri"/>
          <w:b/>
          <w:color w:val="1E293B"/>
          <w:sz w:val="19"/>
        </w:rPr>
        <w:t>Rubric Mapping:</w:t>
      </w:r>
      <w:r>
        <w:rPr>
          <w:rFonts w:ascii="Calibri" w:hAnsi="Calibri"/>
          <w:i w:val="0"/>
          <w:color w:val="1E293B"/>
          <w:sz w:val="19"/>
        </w:rPr>
        <w:t xml:space="preserve"> </w:t>
      </w:r>
      <w:r>
        <w:rPr>
          <w:rFonts w:ascii="Calibri" w:hAnsi="Calibri"/>
          <w:b/>
          <w:color w:val="1E293B"/>
          <w:sz w:val="19"/>
        </w:rPr>
        <w:t>PI 3.3.1</w:t>
      </w:r>
      <w:r>
        <w:rPr>
          <w:rFonts w:ascii="Calibri" w:hAnsi="Calibri"/>
          <w:i w:val="0"/>
          <w:color w:val="1E293B"/>
          <w:sz w:val="19"/>
        </w:rPr>
        <w:t xml:space="preserve"> (Pictorial representation of system architecture using UML modeling, component interaction, and design patterns).</w:t>
      </w:r>
    </w:p>
    <w:p>
      <w:pPr>
        <w:pStyle w:val="ListBullet"/>
        <w:spacing w:before="0" w:after="50" w:line="269" w:lineRule="auto"/>
        <w:ind w:left="360"/>
      </w:pPr>
      <w:r>
        <w:rPr>
          <w:rFonts w:ascii="Calibri" w:hAnsi="Calibri"/>
          <w:b/>
          <w:color w:val="1E293B"/>
          <w:sz w:val="19"/>
        </w:rPr>
        <w:t>Visual Composition:</w:t>
      </w:r>
      <w:r>
        <w:rPr>
          <w:rFonts w:ascii="Calibri" w:hAnsi="Calibri"/>
          <w:i w:val="0"/>
          <w:color w:val="1E293B"/>
          <w:sz w:val="19"/>
        </w:rPr>
        <w:t xml:space="preserve"> Dedicated full-slide architectural diagram (</w:t>
      </w:r>
      <w:r>
        <w:rPr>
          <w:rFonts w:ascii="Consolas" w:hAnsi="Consolas"/>
          <w:color w:val="2563EB"/>
          <w:sz w:val="18"/>
        </w:rPr>
        <w:t>system_architecture_diagram.png</w:t>
      </w:r>
      <w:r>
        <w:rPr>
          <w:rFonts w:ascii="Calibri" w:hAnsi="Calibri"/>
          <w:i w:val="0"/>
          <w:color w:val="1E293B"/>
          <w:sz w:val="19"/>
        </w:rPr>
        <w:t>) illustrating the Global Server, Encrypted Network Boundary, Diverse Client Tiers, and the Two-Stage Federated Training Pipeline.</w:t>
      </w:r>
    </w:p>
    <w:p>
      <w:pPr>
        <w:keepNext/>
        <w:spacing w:before="200" w:after="40"/>
      </w:pPr>
      <w:r>
        <w:rPr>
          <w:rFonts w:ascii="Calibri" w:hAnsi="Calibri"/>
          <w:b/>
          <w:color w:val="1A5FB4"/>
          <w:sz w:val="23"/>
        </w:rPr>
        <w:t>2. Breakdown of On-Slide Content</w:t>
      </w:r>
    </w:p>
    <w:p>
      <w:pPr>
        <w:pStyle w:val="ListBullet"/>
        <w:spacing w:before="0" w:after="50" w:line="269" w:lineRule="auto"/>
        <w:ind w:left="360"/>
      </w:pPr>
      <w:r>
        <w:rPr>
          <w:rFonts w:ascii="Calibri" w:hAnsi="Calibri"/>
          <w:b/>
          <w:color w:val="1E293B"/>
          <w:sz w:val="19"/>
        </w:rPr>
        <w:t>Global Aggregation Server (Top Tier):</w:t>
      </w:r>
      <w:r>
        <w:rPr>
          <w:rFonts w:ascii="Calibri" w:hAnsi="Calibri"/>
          <w:i w:val="0"/>
          <w:color w:val="1E293B"/>
          <w:sz w:val="19"/>
        </w:rPr>
        <w:t xml:space="preserve"> Global Diagnostic Classifier (F_θ) &amp; Global Conditional Generator (G_ψ); Weighted FedAvg Parameter Aggregator (θ_glob = ∑ (n_k/N) θ_k, ψ_glob = ∑ (n_k/N) ψ_k); Global Multi-Center Test Evaluator executing BACC, Recall, and F1 calculations.</w:t>
      </w:r>
    </w:p>
    <w:p>
      <w:pPr>
        <w:pStyle w:val="ListBullet"/>
        <w:spacing w:before="0" w:after="50" w:line="269" w:lineRule="auto"/>
        <w:ind w:left="360"/>
      </w:pPr>
      <w:r>
        <w:rPr>
          <w:rFonts w:ascii="Calibri" w:hAnsi="Calibri"/>
          <w:b/>
          <w:color w:val="1E293B"/>
          <w:sz w:val="19"/>
        </w:rPr>
        <w:t>Communication Boundary (Middle Tier):</w:t>
      </w:r>
      <w:r>
        <w:rPr>
          <w:rFonts w:ascii="Calibri" w:hAnsi="Calibri"/>
          <w:i w:val="0"/>
          <w:color w:val="1E293B"/>
          <w:sz w:val="19"/>
        </w:rPr>
        <w:t xml:space="preserve"> Zero Raw Data Leakage: only model parameter deltas (Δθ_k, Δψ_k) cross the encrypted firewall.</w:t>
      </w:r>
    </w:p>
    <w:p>
      <w:pPr>
        <w:pStyle w:val="ListBullet"/>
        <w:spacing w:before="0" w:after="50" w:line="269" w:lineRule="auto"/>
        <w:ind w:left="360"/>
      </w:pPr>
      <w:r>
        <w:rPr>
          <w:rFonts w:ascii="Calibri" w:hAnsi="Calibri"/>
          <w:b/>
          <w:color w:val="1E293B"/>
          <w:sz w:val="19"/>
        </w:rPr>
        <w:t>Multi-Center Edge Hospital Nodes (Bottom Tier):</w:t>
      </w:r>
    </w:p>
    <w:p>
      <w:pPr>
        <w:pStyle w:val="ListBullet"/>
        <w:spacing w:before="0" w:after="50" w:line="269" w:lineRule="auto"/>
        <w:ind w:left="720"/>
      </w:pPr>
      <w:r>
        <w:rPr>
          <w:rFonts w:ascii="Calibri" w:hAnsi="Calibri"/>
          <w:b/>
          <w:color w:val="1E293B"/>
          <w:sz w:val="19"/>
        </w:rPr>
        <w:t>Client 1 (Academic Medical Center):</w:t>
      </w:r>
      <w:r>
        <w:rPr>
          <w:rFonts w:ascii="Calibri" w:hAnsi="Calibri"/>
          <w:i w:val="0"/>
          <w:color w:val="1E293B"/>
          <w:sz w:val="19"/>
        </w:rPr>
        <w:t xml:space="preserve"> Data-rich, balanced cases (Normal, COPD, IPF).</w:t>
      </w:r>
    </w:p>
    <w:p>
      <w:pPr>
        <w:pStyle w:val="ListBullet"/>
        <w:spacing w:before="0" w:after="50" w:line="269" w:lineRule="auto"/>
        <w:ind w:left="720"/>
      </w:pPr>
      <w:r>
        <w:rPr>
          <w:rFonts w:ascii="Calibri" w:hAnsi="Calibri"/>
          <w:b/>
          <w:color w:val="1E293B"/>
          <w:sz w:val="19"/>
        </w:rPr>
        <w:t>Client 2 (Regional General Hospital):</w:t>
      </w:r>
      <w:r>
        <w:rPr>
          <w:rFonts w:ascii="Calibri" w:hAnsi="Calibri"/>
          <w:i w:val="0"/>
          <w:color w:val="1E293B"/>
          <w:sz w:val="19"/>
        </w:rPr>
        <w:t xml:space="preserve"> Moderate data, severe class imbalance (&lt; 5% IPF).</w:t>
      </w:r>
    </w:p>
    <w:p>
      <w:pPr>
        <w:pStyle w:val="ListBullet"/>
        <w:spacing w:before="0" w:after="50" w:line="269" w:lineRule="auto"/>
        <w:ind w:left="720"/>
      </w:pPr>
      <w:r>
        <w:rPr>
          <w:rFonts w:ascii="Calibri" w:hAnsi="Calibri"/>
          <w:b/>
          <w:color w:val="1E293B"/>
          <w:sz w:val="19"/>
        </w:rPr>
        <w:t>Client 3 (Rural Community Clinic):</w:t>
      </w:r>
      <w:r>
        <w:rPr>
          <w:rFonts w:ascii="Calibri" w:hAnsi="Calibri"/>
          <w:i w:val="0"/>
          <w:color w:val="1E293B"/>
          <w:sz w:val="19"/>
        </w:rPr>
        <w:t xml:space="preserve"> Data-starved, zero IPF patients (n_IPF = 0).</w:t>
      </w:r>
    </w:p>
    <w:p>
      <w:pPr>
        <w:pStyle w:val="ListBullet"/>
        <w:spacing w:before="0" w:after="50" w:line="269" w:lineRule="auto"/>
        <w:ind w:left="360"/>
      </w:pPr>
      <w:r>
        <w:rPr>
          <w:rFonts w:ascii="Calibri" w:hAnsi="Calibri"/>
          <w:b/>
          <w:color w:val="1E293B"/>
          <w:sz w:val="19"/>
        </w:rPr>
        <w:t>Two-Stage Federated Pipeline (Inside Edge Clients):</w:t>
      </w:r>
      <w:r>
        <w:rPr>
          <w:rFonts w:ascii="Calibri" w:hAnsi="Calibri"/>
          <w:i w:val="0"/>
          <w:color w:val="1E293B"/>
          <w:sz w:val="19"/>
        </w:rPr>
        <w:t xml:space="preserve"> Stage 1 (Feature Extraction &amp; Generator Distillation) and Stage 2 (Generative Replay &amp; Classifier Update).</w:t>
      </w:r>
    </w:p>
    <w:p>
      <w:pPr>
        <w:keepNext/>
        <w:spacing w:before="120" w:after="60"/>
        <w:jc w:val="center"/>
      </w:pPr>
      <w:r>
        <w:drawing>
          <wp:inline xmlns:a="http://schemas.openxmlformats.org/drawingml/2006/main" xmlns:pic="http://schemas.openxmlformats.org/drawingml/2006/picture">
            <wp:extent cx="5669280" cy="3120301"/>
            <wp:docPr id="1" name="Picture 1"/>
            <wp:cNvGraphicFramePr>
              <a:graphicFrameLocks noChangeAspect="1"/>
            </wp:cNvGraphicFramePr>
            <a:graphic>
              <a:graphicData uri="http://schemas.openxmlformats.org/drawingml/2006/picture">
                <pic:pic>
                  <pic:nvPicPr>
                    <pic:cNvPr id="0" name="system_architecture_diagram.png"/>
                    <pic:cNvPicPr/>
                  </pic:nvPicPr>
                  <pic:blipFill>
                    <a:blip r:embed="rId11"/>
                    <a:stretch>
                      <a:fillRect/>
                    </a:stretch>
                  </pic:blipFill>
                  <pic:spPr>
                    <a:xfrm>
                      <a:off x="0" y="0"/>
                      <a:ext cx="5669280" cy="3120301"/>
                    </a:xfrm>
                    <a:prstGeom prst="rect"/>
                  </pic:spPr>
                </pic:pic>
              </a:graphicData>
            </a:graphic>
          </wp:inline>
        </w:drawing>
      </w:r>
    </w:p>
    <w:p>
      <w:pPr>
        <w:spacing w:before="0" w:after="120"/>
        <w:jc w:val="center"/>
      </w:pPr>
      <w:r>
        <w:rPr>
          <w:rFonts w:ascii="Calibri" w:hAnsi="Calibri"/>
          <w:i/>
          <w:color w:val="64748B"/>
          <w:sz w:val="18"/>
        </w:rPr>
        <w:t>Figure 5.1: FedGen-Rare End-to-End System Architecture (UML Component Model &amp; Multi-Center Federated Dataflow)</w:t>
      </w:r>
    </w:p>
    <w:p>
      <w:pPr>
        <w:keepNext/>
        <w:spacing w:before="200" w:after="40"/>
      </w:pPr>
      <w:r>
        <w:rPr>
          <w:rFonts w:ascii="Calibri" w:hAnsi="Calibri"/>
          <w:b/>
          <w:color w:val="1A5FB4"/>
          <w:sz w:val="23"/>
        </w:rPr>
        <w:t>3. Deep Technical &amp; Architectural Explanation</w:t>
      </w:r>
    </w:p>
    <w:p>
      <w:pPr>
        <w:spacing w:before="0" w:after="70" w:line="276" w:lineRule="auto"/>
      </w:pPr>
      <w:r>
        <w:rPr>
          <w:rFonts w:ascii="Calibri" w:hAnsi="Calibri"/>
          <w:i w:val="0"/>
          <w:color w:val="1E293B"/>
          <w:sz w:val="20"/>
        </w:rPr>
        <w:t>Slide 5 satisfies PI 3.3.1 by depicting the complete system architecture diagram. The architecture applies three classical software and distributed systems design patterns:</w:t>
      </w:r>
    </w:p>
    <w:p>
      <w:pPr>
        <w:pStyle w:val="ListBullet"/>
        <w:spacing w:before="0" w:after="50" w:line="269" w:lineRule="auto"/>
        <w:ind w:left="360"/>
      </w:pPr>
      <w:r>
        <w:rPr>
          <w:rFonts w:ascii="Calibri" w:hAnsi="Calibri"/>
          <w:b/>
          <w:color w:val="1E293B"/>
          <w:sz w:val="19"/>
        </w:rPr>
        <w:t>Coordinator-Worker (Architectural Pattern):</w:t>
      </w:r>
      <w:r>
        <w:rPr>
          <w:rFonts w:ascii="Calibri" w:hAnsi="Calibri"/>
          <w:i w:val="0"/>
          <w:color w:val="1E293B"/>
          <w:sz w:val="19"/>
        </w:rPr>
        <w:t xml:space="preserve"> The central server acts as a stateless coordinator managing round progression, while client hospital nodes act as autonomous workers computing stochastic gradient steps over private, non-shared datasets.</w:t>
      </w:r>
    </w:p>
    <w:p>
      <w:pPr>
        <w:pStyle w:val="ListBullet"/>
        <w:spacing w:before="0" w:after="50" w:line="269" w:lineRule="auto"/>
        <w:ind w:left="360"/>
      </w:pPr>
      <w:r>
        <w:rPr>
          <w:rFonts w:ascii="Calibri" w:hAnsi="Calibri"/>
          <w:b/>
          <w:color w:val="1E293B"/>
          <w:sz w:val="19"/>
        </w:rPr>
        <w:t>Strategy Pattern (Algorithmic Flexibility):</w:t>
      </w:r>
      <w:r>
        <w:rPr>
          <w:rFonts w:ascii="Calibri" w:hAnsi="Calibri"/>
          <w:i w:val="0"/>
          <w:color w:val="1E293B"/>
          <w:sz w:val="19"/>
        </w:rPr>
        <w:t xml:space="preserve"> The client diagnostic trainer dynamically swaps between </w:t>
      </w:r>
      <w:r>
        <w:rPr>
          <w:rFonts w:ascii="Consolas" w:hAnsi="Consolas"/>
          <w:color w:val="2563EB"/>
          <w:sz w:val="18"/>
        </w:rPr>
        <w:t>StandardTrainer</w:t>
      </w:r>
      <w:r>
        <w:rPr>
          <w:rFonts w:ascii="Calibri" w:hAnsi="Calibri"/>
          <w:i w:val="0"/>
          <w:color w:val="1E293B"/>
          <w:sz w:val="19"/>
        </w:rPr>
        <w:t xml:space="preserve">, </w:t>
      </w:r>
      <w:r>
        <w:rPr>
          <w:rFonts w:ascii="Consolas" w:hAnsi="Consolas"/>
          <w:color w:val="2563EB"/>
          <w:sz w:val="18"/>
        </w:rPr>
        <w:t>FedProxTrainer</w:t>
      </w:r>
      <w:r>
        <w:rPr>
          <w:rFonts w:ascii="Calibri" w:hAnsi="Calibri"/>
          <w:i w:val="0"/>
          <w:color w:val="1E293B"/>
          <w:sz w:val="19"/>
        </w:rPr>
        <w:t xml:space="preserve">, </w:t>
      </w:r>
      <w:r>
        <w:rPr>
          <w:rFonts w:ascii="Consolas" w:hAnsi="Consolas"/>
          <w:color w:val="2563EB"/>
          <w:sz w:val="18"/>
        </w:rPr>
        <w:t>FedIICTrainer</w:t>
      </w:r>
      <w:r>
        <w:rPr>
          <w:rFonts w:ascii="Calibri" w:hAnsi="Calibri"/>
          <w:i w:val="0"/>
          <w:color w:val="1E293B"/>
          <w:sz w:val="19"/>
        </w:rPr>
        <w:t xml:space="preserve">, and </w:t>
      </w:r>
      <w:r>
        <w:rPr>
          <w:rFonts w:ascii="Consolas" w:hAnsi="Consolas"/>
          <w:color w:val="2563EB"/>
          <w:sz w:val="18"/>
        </w:rPr>
        <w:t>GenerativeReplayTrainer</w:t>
      </w:r>
      <w:r>
        <w:rPr>
          <w:rFonts w:ascii="Calibri" w:hAnsi="Calibri"/>
          <w:i w:val="0"/>
          <w:color w:val="1E293B"/>
          <w:sz w:val="19"/>
        </w:rPr>
        <w:t xml:space="preserve"> without modifying client networking or data-loading interfaces.</w:t>
      </w:r>
    </w:p>
    <w:p>
      <w:pPr>
        <w:pStyle w:val="ListBullet"/>
        <w:spacing w:before="0" w:after="50" w:line="269" w:lineRule="auto"/>
        <w:ind w:left="360"/>
      </w:pPr>
      <w:r>
        <w:rPr>
          <w:rFonts w:ascii="Calibri" w:hAnsi="Calibri"/>
          <w:b/>
          <w:color w:val="1E293B"/>
          <w:sz w:val="19"/>
        </w:rPr>
        <w:t>Two-Stage Decoupled Representation Pipeline:</w:t>
      </w:r>
      <w:r>
        <w:rPr>
          <w:rFonts w:ascii="Calibri" w:hAnsi="Calibri"/>
          <w:i w:val="0"/>
          <w:color w:val="1E293B"/>
          <w:sz w:val="19"/>
        </w:rPr>
        <w:t xml:space="preserve"> Conventional federated GANs attempt to generate full raw images (64×64×1), which requires heavy deconvolutional architectures (&gt; 10M parameters), induces mode collapse, and leaks private training images via inversion attacks. In contrast, FedGen-Rare operates strictly in 128-dimensional latent embedding space (f ∈ ℝ^128). This reduces generator size to a lightweight 2-layer MLP (16,000 parameters), speeds up local training by 20×, and mathematically prevents visual patient re-identification.</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before="0" w:after="0" w:line="240" w:lineRule="auto"/>
            </w:pPr>
            <w:r>
              <w:rPr>
                <w:rFonts w:ascii="Consolas" w:hAnsi="Consolas"/>
                <w:color w:val="1E293B"/>
                <w:sz w:val="17"/>
              </w:rPr>
              <w:t>+-------------------------------------------------------+</w:t>
              <w:br/>
              <w:t xml:space="preserve">       |             GLOBAL AGGREGATION SERVER                 |</w:t>
              <w:br/>
              <w:t xml:space="preserve">       |  - Global Classifier (theta)  - Global Generator (psi)|</w:t>
              <w:br/>
              <w:t xml:space="preserve">       |  - Weighted FedAvg Engine     - Global Test Evaluator |</w:t>
              <w:br/>
              <w:t xml:space="preserve">       +-------------------------------------------------------+</w:t>
              <w:br/>
              <w:t xml:space="preserve">                     ^                           |</w:t>
              <w:br/>
              <w:t xml:space="preserve">       Upload Deltas |                           | Broadcast</w:t>
              <w:br/>
              <w:t xml:space="preserve">       (theta, psi)  |                           | (theta, psi)</w:t>
              <w:br/>
              <w:t xml:space="preserve">                     |                           v</w:t>
              <w:br/>
              <w:t xml:space="preserve">       +-------------------------------------------------------+</w:t>
              <w:br/>
              <w:t xml:space="preserve">       |            SECURE ENCRYPTED NETWORK BOUNDARY          |</w:t>
              <w:br/>
              <w:t xml:space="preserve">       |             *** ZERO RAW DATA LEAKAGE ***             |</w:t>
              <w:br/>
              <w:t xml:space="preserve">       +-------------------------------------------------------+</w:t>
              <w:br/>
              <w:t xml:space="preserve">               |                       |                       |</w:t>
              <w:br/>
              <w:t xml:space="preserve">               v                       v                       v</w:t>
              <w:br/>
              <w:t xml:space="preserve">       +---------------+       +---------------+       +---------------+</w:t>
              <w:br/>
              <w:t xml:space="preserve">       | Client 1      |       | Client 2      |       | Client 3      |</w:t>
              <w:br/>
              <w:t xml:space="preserve">       | Academic Hosp |       | Regional Hosp |       | Community Clin|</w:t>
              <w:br/>
              <w:t xml:space="preserve">       | (Balanced)    |       | (Imbalanced)  |       | (0 IPF Scans) |</w:t>
              <w:br/>
              <w:t xml:space="preserve">       | Stage 1: Distill      | Stage 1: Distill      | Stage 1: Distill</w:t>
              <w:br/>
              <w:t xml:space="preserve">       | Stage 2: Replay       | Stage 2: Replay       | Stage 2: Replay</w:t>
              <w:br/>
              <w:t xml:space="preserve">       +---------------+       +---------------+       +---------------+</w:t>
            </w:r>
          </w:p>
        </w:tc>
      </w:tr>
    </w:tbl>
    <w:p>
      <w:pPr>
        <w:spacing w:after="40"/>
      </w:pPr>
    </w:p>
    <w:p>
      <w:pPr>
        <w:keepNext/>
        <w:spacing w:before="200" w:after="40"/>
      </w:pPr>
      <w:r>
        <w:rPr>
          <w:rFonts w:ascii="Calibri" w:hAnsi="Calibri"/>
          <w:b/>
          <w:color w:val="1A5FB4"/>
          <w:sz w:val="23"/>
        </w:rPr>
        <w:t>4. Verbatim Oral Defense Script (Speaker Notes)</w:t>
      </w:r>
    </w:p>
    <w:tbl>
      <w:tblPr>
        <w:tblW w:type="auto" w:w="0"/>
        <w:jc w:val="center"/>
        <w:tblLayout w:type="fixed"/>
        <w:tblLook w:firstColumn="1" w:firstRow="1" w:lastColumn="0" w:lastRow="0" w:noHBand="0" w:noVBand="1" w:val="04A0"/>
      </w:tblPr>
      <w:tblGrid>
        <w:gridCol w:w="9360"/>
      </w:tblGrid>
      <w:tr>
        <w:tc>
          <w:tcPr>
            <w:tcW w:type="dxa" w:w="9360"/>
            <w:shd w:fill="F0F7FF"/>
            <w:tcBorders>
              <w:top w:val="none"/>
              <w:left w:val="single" w:sz="36" w:space="0" w:color="1A5FB4"/>
              <w:bottom w:val="none"/>
              <w:right w:val="none"/>
            </w:tcBorders>
            <w:tcMar>
              <w:top w:w="120" w:type="dxa"/>
              <w:bottom w:w="120" w:type="dxa"/>
              <w:left w:w="180" w:type="dxa"/>
              <w:right w:w="160" w:type="dxa"/>
            </w:tcMar>
          </w:tcPr>
          <w:p>
            <w:pPr>
              <w:spacing w:before="0" w:after="80"/>
            </w:pPr>
            <w:r>
              <w:rPr>
                <w:rFonts w:ascii="Calibri" w:hAnsi="Calibri"/>
                <w:b/>
                <w:color w:val="1A5FB4"/>
                <w:sz w:val="20"/>
              </w:rPr>
              <w:t>🗣️  VERBATIM ORAL DEFENSE SCRIPT (SPEAKER NOTES)</w:t>
            </w:r>
          </w:p>
          <w:p>
            <w:pPr>
              <w:spacing w:before="40" w:after="80" w:line="276" w:lineRule="auto"/>
            </w:pPr>
            <w:r>
              <w:rPr>
                <w:rFonts w:ascii="Calibri" w:hAnsi="Calibri"/>
                <w:i/>
                <w:color w:val="1E293B"/>
                <w:sz w:val="19"/>
              </w:rPr>
              <w:t>"Slide 5 showcases our complete System Architecture for FedGen-Rare, directly addressing Performance Indicator 3.3.1 which mandates a pictorial representation of system interactions."</w:t>
            </w:r>
          </w:p>
          <w:p>
            <w:pPr>
              <w:spacing w:before="40" w:after="80" w:line="276" w:lineRule="auto"/>
            </w:pPr>
            <w:r>
              <w:rPr>
                <w:rFonts w:ascii="Calibri" w:hAnsi="Calibri"/>
                <w:i/>
                <w:color w:val="1E293B"/>
                <w:sz w:val="19"/>
              </w:rPr>
              <w:t>"At the top, we have the Global Aggregation Server hosting the global classifier F_θ and global generator G_ψ. The server coordinates communication rounds and evaluates global convergence on a held-out multi-center test set."</w:t>
            </w:r>
          </w:p>
          <w:p>
            <w:pPr>
              <w:spacing w:before="40" w:after="80" w:line="276" w:lineRule="auto"/>
            </w:pPr>
            <w:r>
              <w:rPr>
                <w:rFonts w:ascii="Calibri" w:hAnsi="Calibri"/>
                <w:i/>
                <w:color w:val="1E293B"/>
                <w:sz w:val="19"/>
              </w:rPr>
              <w:t>"Crucially, notice the Encrypted Network Boundary: no raw medical scans ever leave the hospital edge. We depict three representative clinical tiers: Client 1 is a large academic hospital with rich IPF cases; Client 2 is a regional hospital with severe imbalance; and Client 3 is a rural community clinic that has never encountered an IPF case."</w:t>
            </w:r>
          </w:p>
          <w:p>
            <w:pPr>
              <w:spacing w:before="40" w:after="0" w:line="276" w:lineRule="auto"/>
            </w:pPr>
            <w:r>
              <w:rPr>
                <w:rFonts w:ascii="Calibri" w:hAnsi="Calibri"/>
                <w:i/>
                <w:color w:val="1E293B"/>
                <w:sz w:val="19"/>
              </w:rPr>
              <w:t>"Within each client, our execution follows a novel Two-Stage Federated Pipeline: In Stage 1, clients extract local features and distill the conditional generator G_ψ. In Stage 2, Client 3 uses the trained generator to locally synthesize 128-dimensional latent IPF representations. This dynamically restores class balance, allowing the community clinic to optimize diagnostic decision boundaries for rare diseases without transferring a single byte of patient imaging data."</w:t>
            </w:r>
          </w:p>
        </w:tc>
      </w:tr>
    </w:tbl>
    <w:p>
      <w:pPr>
        <w:spacing w:after="40"/>
      </w:pPr>
    </w:p>
    <w:p>
      <w:pPr>
        <w:keepNext/>
        <w:spacing w:before="200" w:after="40"/>
      </w:pPr>
      <w:r>
        <w:rPr>
          <w:rFonts w:ascii="Calibri" w:hAnsi="Calibri"/>
          <w:b/>
          <w:color w:val="1A5FB4"/>
          <w:sz w:val="23"/>
        </w:rPr>
        <w:t>5. Anticipated Reviewer Questions &amp; Bulletproof Defense</w:t>
      </w:r>
    </w:p>
    <w:tbl>
      <w:tblPr>
        <w:tblW w:type="auto" w:w="0"/>
        <w:jc w:val="center"/>
        <w:tblLayout w:type="fixed"/>
        <w:tblLook w:firstColumn="1" w:firstRow="1" w:lastColumn="0" w:lastRow="0" w:noHBand="0" w:noVBand="1" w:val="04A0"/>
      </w:tblPr>
      <w:tblGrid>
        <w:gridCol w:w="9360"/>
      </w:tblGrid>
      <w:tr>
        <w:tc>
          <w:tcPr>
            <w:tcW w:type="dxa" w:w="9360"/>
            <w:shd w:fill="FFFBEB"/>
            <w:tcBorders>
              <w:top w:val="none"/>
              <w:left w:val="single" w:sz="36" w:space="0" w:color="D97706"/>
              <w:bottom w:val="none"/>
              <w:right w:val="none"/>
            </w:tcBorders>
            <w:tcMar>
              <w:top w:w="120" w:type="dxa"/>
              <w:bottom w:w="120" w:type="dxa"/>
              <w:left w:w="180" w:type="dxa"/>
              <w:right w:w="160" w:type="dxa"/>
            </w:tcMar>
          </w:tcPr>
          <w:p>
            <w:pPr>
              <w:spacing w:before="0" w:after="80"/>
            </w:pPr>
            <w:r>
              <w:rPr>
                <w:rFonts w:ascii="Calibri" w:hAnsi="Calibri"/>
                <w:b/>
                <w:color w:val="92400E"/>
                <w:sz w:val="20"/>
              </w:rPr>
              <w:t>❓  ANTICIPATED REVIEWER QUESTIONS &amp; BULLETPROOF DEFENSE</w:t>
            </w:r>
          </w:p>
          <w:p>
            <w:pPr>
              <w:spacing w:before="80" w:after="40" w:line="269" w:lineRule="auto"/>
            </w:pPr>
            <w:r>
              <w:rPr>
                <w:rFonts w:ascii="Calibri" w:hAnsi="Calibri"/>
                <w:b/>
                <w:color w:val="92400E"/>
                <w:sz w:val="19"/>
              </w:rPr>
              <w:t xml:space="preserve">Q1: </w:t>
            </w:r>
            <w:r>
              <w:rPr>
                <w:rFonts w:ascii="Calibri" w:hAnsi="Calibri"/>
                <w:i w:val="0"/>
                <w:color w:val="92400E"/>
                <w:sz w:val="19"/>
              </w:rPr>
              <w:t>Why do you generate latent features instead of full synthetic CT images?</w:t>
            </w:r>
          </w:p>
          <w:p>
            <w:pPr>
              <w:spacing w:before="20" w:after="120" w:line="269" w:lineRule="auto"/>
            </w:pPr>
            <w:r>
              <w:rPr>
                <w:rFonts w:ascii="Calibri" w:hAnsi="Calibri"/>
                <w:b/>
                <w:color w:val="0A2540"/>
                <w:sz w:val="19"/>
              </w:rPr>
              <w:t xml:space="preserve">Defense Answer: </w:t>
            </w:r>
            <w:r>
              <w:rPr>
                <w:rFonts w:ascii="Calibri" w:hAnsi="Calibri"/>
                <w:i w:val="0"/>
                <w:color w:val="1E293B"/>
                <w:sz w:val="19"/>
              </w:rPr>
              <w:t>Generating raw 64×64 medical images requires heavy GAN or Diffusion architectures that demand substantial GPU memory unavailable in rural clinics. Furthermore, full image synthesis is vulnerable to deep model inversion attacks where original patient scans can be reconstructed. By generating compact 128-dimensional latent vectors, we reduce generator size to just 16,000 parameters, achieve 20× faster training, and eliminate raw image privacy leakage.</w:t>
            </w:r>
          </w:p>
          <w:p>
            <w:pPr>
              <w:spacing w:before="80" w:after="40" w:line="269" w:lineRule="auto"/>
            </w:pPr>
            <w:r>
              <w:rPr>
                <w:rFonts w:ascii="Calibri" w:hAnsi="Calibri"/>
                <w:b/>
                <w:color w:val="92400E"/>
                <w:sz w:val="19"/>
              </w:rPr>
              <w:t xml:space="preserve">Q2: </w:t>
            </w:r>
            <w:r>
              <w:rPr>
                <w:rFonts w:ascii="Calibri" w:hAnsi="Calibri"/>
                <w:i w:val="0"/>
                <w:color w:val="92400E"/>
                <w:sz w:val="19"/>
              </w:rPr>
              <w:t>What prevents the generator from suffering mode collapse?</w:t>
            </w:r>
          </w:p>
          <w:p>
            <w:pPr>
              <w:spacing w:before="20" w:after="0" w:line="269" w:lineRule="auto"/>
            </w:pPr>
            <w:r>
              <w:rPr>
                <w:rFonts w:ascii="Calibri" w:hAnsi="Calibri"/>
                <w:b/>
                <w:color w:val="0A2540"/>
                <w:sz w:val="19"/>
              </w:rPr>
              <w:t xml:space="preserve">Defense Answer: </w:t>
            </w:r>
            <w:r>
              <w:rPr>
                <w:rFonts w:ascii="Calibri" w:hAnsi="Calibri"/>
                <w:i w:val="0"/>
                <w:color w:val="1E293B"/>
                <w:sz w:val="19"/>
              </w:rPr>
              <w:t>As detailed in our mathematical design on Slide 7, our generator loss function explicitly incorporates a mode-seeking diversity penalty (L_DIV) that maximizes the ratio between feature space distance and latent noise distance, ensuring broad coverage of disease phenotypes.</w:t>
            </w:r>
          </w:p>
        </w:tc>
      </w:tr>
    </w:tbl>
    <w:p>
      <w:pPr>
        <w:spacing w:after="40"/>
      </w:pPr>
    </w:p>
    <w:p>
      <w:pPr>
        <w:keepNext/>
        <w:spacing w:before="200" w:after="40"/>
      </w:pPr>
      <w:r>
        <w:rPr>
          <w:rFonts w:ascii="Calibri" w:hAnsi="Calibri"/>
          <w:b/>
          <w:color w:val="1A5FB4"/>
          <w:sz w:val="23"/>
        </w:rPr>
        <w:t>6. Plain-English Intuitive Explanation (In Simple Words)</w:t>
      </w:r>
    </w:p>
    <w:tbl>
      <w:tblPr>
        <w:tblW w:type="auto" w:w="0"/>
        <w:jc w:val="center"/>
        <w:tblLayout w:type="fixed"/>
        <w:tblLook w:firstColumn="1" w:firstRow="1" w:lastColumn="0" w:lastRow="0" w:noHBand="0" w:noVBand="1" w:val="04A0"/>
      </w:tblPr>
      <w:tblGrid>
        <w:gridCol w:w="9360"/>
      </w:tblGrid>
      <w:tr>
        <w:tc>
          <w:tcPr>
            <w:tcW w:type="dxa" w:w="9360"/>
            <w:shd w:fill="F0FDF4"/>
            <w:tcBorders>
              <w:top w:val="none"/>
              <w:left w:val="single" w:sz="36" w:space="0" w:color="16A34A"/>
              <w:bottom w:val="none"/>
              <w:right w:val="none"/>
            </w:tcBorders>
            <w:tcMar>
              <w:top w:w="120" w:type="dxa"/>
              <w:bottom w:w="120" w:type="dxa"/>
              <w:left w:w="180" w:type="dxa"/>
              <w:right w:w="160" w:type="dxa"/>
            </w:tcMar>
          </w:tcPr>
          <w:p>
            <w:pPr>
              <w:spacing w:before="0" w:after="80"/>
            </w:pPr>
            <w:r>
              <w:rPr>
                <w:rFonts w:ascii="Calibri" w:hAnsi="Calibri"/>
                <w:b/>
                <w:color w:val="15803D"/>
                <w:sz w:val="20"/>
              </w:rPr>
              <w:t>💡  IN SIMPLE WORDS — INTUITIVE EXPLANATION &amp; CONCEPTS</w:t>
            </w:r>
          </w:p>
          <w:p>
            <w:pPr>
              <w:spacing w:before="40" w:after="60" w:line="269" w:lineRule="auto"/>
            </w:pPr>
            <w:r>
              <w:rPr>
                <w:rFonts w:ascii="Calibri" w:hAnsi="Calibri"/>
                <w:b/>
                <w:color w:val="15803D"/>
                <w:sz w:val="19"/>
              </w:rPr>
              <w:t xml:space="preserve">• The Core Idea in One Sentence: </w:t>
            </w:r>
            <w:r>
              <w:rPr>
                <w:rFonts w:ascii="Calibri" w:hAnsi="Calibri"/>
                <w:i w:val="0"/>
                <w:color w:val="1E293B"/>
                <w:sz w:val="19"/>
              </w:rPr>
              <w:t>Our system architecture acts like a 'Head Professor' (Central Server) and 'Medical Interns' (Hospital edge computers) working together in a two-stage cycle to teach the AI without sharing private patient scans.</w:t>
            </w:r>
          </w:p>
          <w:p>
            <w:pPr>
              <w:spacing w:before="40" w:after="60" w:line="269" w:lineRule="auto"/>
            </w:pPr>
            <w:r>
              <w:rPr>
                <w:rFonts w:ascii="Calibri" w:hAnsi="Calibri"/>
                <w:b/>
                <w:color w:val="15803D"/>
                <w:sz w:val="19"/>
              </w:rPr>
              <w:t xml:space="preserve">• Stage 1 (Teaching the Teacher): </w:t>
            </w:r>
            <w:r>
              <w:rPr>
                <w:rFonts w:ascii="Calibri" w:hAnsi="Calibri"/>
                <w:i w:val="0"/>
                <w:color w:val="1E293B"/>
                <w:sz w:val="19"/>
              </w:rPr>
              <w:t>The central server sends an AI feature generator to all hospitals. The hospitals teach the generator how to understand lung patterns, and the server combines their lessons into one shared master generator.</w:t>
            </w:r>
          </w:p>
          <w:p>
            <w:pPr>
              <w:spacing w:before="40" w:after="60" w:line="269" w:lineRule="auto"/>
            </w:pPr>
            <w:r>
              <w:rPr>
                <w:rFonts w:ascii="Calibri" w:hAnsi="Calibri"/>
                <w:b/>
                <w:color w:val="15803D"/>
                <w:sz w:val="19"/>
              </w:rPr>
              <w:t xml:space="preserve">• Stage 2 (Helping the Data-Starved Clinic): </w:t>
            </w:r>
            <w:r>
              <w:rPr>
                <w:rFonts w:ascii="Calibri" w:hAnsi="Calibri"/>
                <w:i w:val="0"/>
                <w:color w:val="1E293B"/>
                <w:sz w:val="19"/>
              </w:rPr>
              <w:t>Now, the rural clinic (which has zero real IPF patients) uses this master generator to synthesize realistic 'feature fingerprints' of IPF on-the-fly. This allows the clinic's local diagnostic model to learn how to identify IPF even though no real IPF patient ever walked into that clinic!</w:t>
            </w:r>
          </w:p>
          <w:p>
            <w:pPr>
              <w:spacing w:before="40" w:after="0" w:line="269" w:lineRule="auto"/>
            </w:pPr>
            <w:r>
              <w:rPr>
                <w:rFonts w:ascii="Calibri" w:hAnsi="Calibri"/>
                <w:b/>
                <w:color w:val="15803D"/>
                <w:sz w:val="19"/>
              </w:rPr>
              <w:t xml:space="preserve">• The Clever Shortcut (Latent Features vs. Heavy Images): </w:t>
            </w:r>
            <w:r>
              <w:rPr>
                <w:rFonts w:ascii="Calibri" w:hAnsi="Calibri"/>
                <w:i w:val="0"/>
                <w:color w:val="1E293B"/>
                <w:sz w:val="19"/>
              </w:rPr>
              <w:t>Instead of drawing giant, full-resolution 3D lung pictures (which takes hours of GPU time, requires millions of parameters, and risks drawing a recognizable patient feature), our generator only creates a compact 128-number summary fingerprint (a latent embedding vector). This is 20× faster, runs on ordinary hospital computers, and mathematically guarantees zero visual patient re-identification.</w:t>
            </w:r>
          </w:p>
        </w:tc>
      </w:tr>
    </w:tbl>
    <w:p>
      <w:pPr>
        <w:spacing w:after="40"/>
      </w:pPr>
    </w:p>
    <w:p>
      <w:pPr>
        <w:keepNext/>
        <w:spacing w:before="280" w:after="60"/>
      </w:pPr>
      <w:r>
        <w:rPr>
          <w:rFonts w:ascii="Calibri" w:hAnsi="Calibri"/>
          <w:b/>
          <w:color w:val="0A2540"/>
          <w:sz w:val="30"/>
        </w:rPr>
        <w:t>Slide 6: Baseline Analysis — Why FedIIC Fails on Rare Diseases</w:t>
      </w:r>
      <w:r>
        <w:rPr>
          <w:rFonts w:ascii="Calibri" w:hAnsi="Calibri"/>
          <w:b/>
          <w:color w:val="1A5FB4"/>
          <w:sz w:val="21"/>
        </w:rPr>
        <w:t xml:space="preserve">  [PI 3.3.3 / PI 12.1.2]</w:t>
      </w:r>
    </w:p>
    <w:p>
      <w:pPr>
        <w:keepNext/>
        <w:spacing w:before="200" w:after="40"/>
      </w:pPr>
      <w:r>
        <w:rPr>
          <w:rFonts w:ascii="Calibri" w:hAnsi="Calibri"/>
          <w:b/>
          <w:color w:val="1A5FB4"/>
          <w:sz w:val="23"/>
        </w:rPr>
        <w:t>1. Slide Metadata</w:t>
      </w:r>
    </w:p>
    <w:p>
      <w:pPr>
        <w:pStyle w:val="ListBullet"/>
        <w:spacing w:before="0" w:after="50" w:line="269" w:lineRule="auto"/>
        <w:ind w:left="360"/>
      </w:pPr>
      <w:r>
        <w:rPr>
          <w:rFonts w:ascii="Calibri" w:hAnsi="Calibri"/>
          <w:b/>
          <w:color w:val="1E293B"/>
          <w:sz w:val="19"/>
        </w:rPr>
        <w:t>Slide Title:</w:t>
      </w:r>
      <w:r>
        <w:rPr>
          <w:rFonts w:ascii="Calibri" w:hAnsi="Calibri"/>
          <w:i w:val="0"/>
          <w:color w:val="1E293B"/>
          <w:sz w:val="19"/>
        </w:rPr>
        <w:t xml:space="preserve"> </w:t>
      </w:r>
      <w:r>
        <w:rPr>
          <w:rFonts w:ascii="Consolas" w:hAnsi="Consolas"/>
          <w:color w:val="2563EB"/>
          <w:sz w:val="18"/>
        </w:rPr>
        <w:t>Baseline Analysis — Why FedIIC Fails on Rare Diseases</w:t>
      </w:r>
    </w:p>
    <w:p>
      <w:pPr>
        <w:pStyle w:val="ListBullet"/>
        <w:spacing w:before="0" w:after="50" w:line="269" w:lineRule="auto"/>
        <w:ind w:left="360"/>
      </w:pPr>
      <w:r>
        <w:rPr>
          <w:rFonts w:ascii="Calibri" w:hAnsi="Calibri"/>
          <w:b/>
          <w:color w:val="1E293B"/>
          <w:sz w:val="19"/>
        </w:rPr>
        <w:t>On-Slide Subtitle:</w:t>
      </w:r>
      <w:r>
        <w:rPr>
          <w:rFonts w:ascii="Calibri" w:hAnsi="Calibri"/>
          <w:i w:val="0"/>
          <w:color w:val="1E293B"/>
          <w:sz w:val="19"/>
        </w:rPr>
        <w:t xml:space="preserve"> </w:t>
      </w:r>
      <w:r>
        <w:rPr>
          <w:rFonts w:ascii="Consolas" w:hAnsi="Consolas"/>
          <w:color w:val="2563EB"/>
          <w:sz w:val="18"/>
        </w:rPr>
        <w:t>MATHEMATICAL BREAKDOWN OF STATE-OF-THE-ART SOTA (MICCAI '23) LIMITATIONS</w:t>
      </w:r>
    </w:p>
    <w:p>
      <w:pPr>
        <w:pStyle w:val="ListBullet"/>
        <w:spacing w:before="0" w:after="50" w:line="269" w:lineRule="auto"/>
        <w:ind w:left="360"/>
      </w:pPr>
      <w:r>
        <w:rPr>
          <w:rFonts w:ascii="Calibri" w:hAnsi="Calibri"/>
          <w:b/>
          <w:color w:val="1E293B"/>
          <w:sz w:val="19"/>
        </w:rPr>
        <w:t>Rubric Mapping:</w:t>
      </w:r>
      <w:r>
        <w:rPr>
          <w:rFonts w:ascii="Calibri" w:hAnsi="Calibri"/>
          <w:i w:val="0"/>
          <w:color w:val="1E293B"/>
          <w:sz w:val="19"/>
        </w:rPr>
        <w:t xml:space="preserve"> </w:t>
      </w:r>
      <w:r>
        <w:rPr>
          <w:rFonts w:ascii="Calibri" w:hAnsi="Calibri"/>
          <w:b/>
          <w:color w:val="1E293B"/>
          <w:sz w:val="19"/>
        </w:rPr>
        <w:t>PI 3.3.3</w:t>
      </w:r>
      <w:r>
        <w:rPr>
          <w:rFonts w:ascii="Calibri" w:hAnsi="Calibri"/>
          <w:i w:val="0"/>
          <w:color w:val="1E293B"/>
          <w:sz w:val="19"/>
        </w:rPr>
        <w:t xml:space="preserve"> (Detailed design constraints and failure analysis) &amp; </w:t>
      </w:r>
      <w:r>
        <w:rPr>
          <w:rFonts w:ascii="Calibri" w:hAnsi="Calibri"/>
          <w:b/>
          <w:color w:val="1E293B"/>
          <w:sz w:val="19"/>
        </w:rPr>
        <w:t>PI 12.1.2</w:t>
      </w:r>
      <w:r>
        <w:rPr>
          <w:rFonts w:ascii="Calibri" w:hAnsi="Calibri"/>
          <w:i w:val="0"/>
          <w:color w:val="1E293B"/>
          <w:sz w:val="19"/>
        </w:rPr>
        <w:t xml:space="preserve"> (Critical analysis of existing literature and rigorous theoretical gap identification).</w:t>
      </w:r>
    </w:p>
    <w:p>
      <w:pPr>
        <w:pStyle w:val="ListBullet"/>
        <w:spacing w:before="0" w:after="50" w:line="269" w:lineRule="auto"/>
        <w:ind w:left="360"/>
      </w:pPr>
      <w:r>
        <w:rPr>
          <w:rFonts w:ascii="Calibri" w:hAnsi="Calibri"/>
          <w:b/>
          <w:color w:val="1E293B"/>
          <w:sz w:val="19"/>
        </w:rPr>
        <w:t>Visual Composition:</w:t>
      </w:r>
      <w:r>
        <w:rPr>
          <w:rFonts w:ascii="Calibri" w:hAnsi="Calibri"/>
          <w:i w:val="0"/>
          <w:color w:val="1E293B"/>
          <w:sz w:val="19"/>
        </w:rPr>
        <w:t xml:space="preserve"> Two mathematical failure mode analysis cards: (1) Failure Mode 1: Positive-Pair Starvation in Contrastive Learning (IntraSCL), and (2) Failure Mode 2: Dynamic Logit Adjustment (DALA) Margin Breakdown. Followed by a synthesis card explaining why Federated Latent Replay solves both.</w:t>
      </w:r>
    </w:p>
    <w:p>
      <w:pPr>
        <w:keepNext/>
        <w:spacing w:before="200" w:after="40"/>
      </w:pPr>
      <w:r>
        <w:rPr>
          <w:rFonts w:ascii="Calibri" w:hAnsi="Calibri"/>
          <w:b/>
          <w:color w:val="1A5FB4"/>
          <w:sz w:val="23"/>
        </w:rPr>
        <w:t>2. Breakdown of On-Slide Content</w:t>
      </w:r>
    </w:p>
    <w:p>
      <w:pPr>
        <w:pStyle w:val="ListBullet"/>
        <w:spacing w:before="0" w:after="50" w:line="269" w:lineRule="auto"/>
        <w:ind w:left="360"/>
      </w:pPr>
      <w:r>
        <w:rPr>
          <w:rFonts w:ascii="Calibri" w:hAnsi="Calibri"/>
          <w:b/>
          <w:color w:val="1E293B"/>
          <w:sz w:val="19"/>
        </w:rPr>
        <w:t>Failure Mode 1 — Positive-Pair Starvation in Contrastive Learning (IntraSCL):</w:t>
      </w:r>
    </w:p>
    <w:p>
      <w:pPr>
        <w:spacing w:before="80" w:after="80"/>
        <w:jc w:val="center"/>
      </w:pPr>
      <w:r>
        <w:rPr>
          <w:rFonts w:ascii="Cambria Math" w:hAnsi="Cambria Math"/>
          <w:i/>
          <w:color w:val="1A5FB4"/>
          <w:sz w:val="21"/>
        </w:rPr>
        <w:t>L_IntraSCL = - ∑ (1 / |P(i)|) ∑ log [ exp(z_i · z_p / τ) / ∑ exp(z_i · z_a / τ) ]</w:t>
      </w:r>
    </w:p>
    <w:p>
      <w:pPr>
        <w:pStyle w:val="ListBullet"/>
        <w:spacing w:before="0" w:after="50" w:line="269" w:lineRule="auto"/>
        <w:ind w:left="720"/>
      </w:pPr>
      <w:r>
        <w:rPr>
          <w:rFonts w:ascii="Calibri" w:hAnsi="Calibri"/>
          <w:i w:val="0"/>
          <w:color w:val="1E293B"/>
          <w:sz w:val="19"/>
        </w:rPr>
        <w:t>Contrastive learning mathematically requires ≥ 2 samples of the same class in a local batch to form a positive pair (|P(i)| ≥ 1). In rare diseases like IPF (prevalence &lt; 8%, Dirichlet α = 0.2), clinics have 0 or only 1 patient scan. When sample count ≤ 1, |P(i)| = 0: No positive pairs can be formed! FedIIC's contrastive mechanism collapses to 0 for the rare class.</w:t>
      </w:r>
    </w:p>
    <w:p>
      <w:pPr>
        <w:pStyle w:val="ListBullet"/>
        <w:spacing w:before="0" w:after="50" w:line="269" w:lineRule="auto"/>
        <w:ind w:left="360"/>
      </w:pPr>
      <w:r>
        <w:rPr>
          <w:rFonts w:ascii="Calibri" w:hAnsi="Calibri"/>
          <w:b/>
          <w:color w:val="1E293B"/>
          <w:sz w:val="19"/>
        </w:rPr>
        <w:t>Failure Mode 2 — Dynamic Logit Adjustment (DALA) Margin Breakdown:</w:t>
      </w:r>
    </w:p>
    <w:p>
      <w:pPr>
        <w:spacing w:before="80" w:after="80"/>
        <w:jc w:val="center"/>
      </w:pPr>
      <w:r>
        <w:rPr>
          <w:rFonts w:ascii="Cambria Math" w:hAnsi="Cambria Math"/>
          <w:i/>
          <w:color w:val="1A5FB4"/>
          <w:sz w:val="21"/>
        </w:rPr>
        <w:t>m_c = τ · log(π_c / L_c^d + ε)</w:t>
      </w:r>
    </w:p>
    <w:p>
      <w:pPr>
        <w:pStyle w:val="ListBullet"/>
        <w:spacing w:before="0" w:after="50" w:line="269" w:lineRule="auto"/>
        <w:ind w:left="720"/>
      </w:pPr>
      <w:r>
        <w:rPr>
          <w:rFonts w:ascii="Calibri" w:hAnsi="Calibri"/>
          <w:i w:val="0"/>
          <w:color w:val="1E293B"/>
          <w:sz w:val="19"/>
        </w:rPr>
        <w:t>For community hospitals with 0 IPF patients, the empirical prior is π_IPF = 0, causing log(0) → -∞. This heavily penalizes the rare class, forcing the hospital model to actively suppress IPF predictions and corrupting the global consensus during federated averaging.</w:t>
      </w:r>
    </w:p>
    <w:p>
      <w:pPr>
        <w:pStyle w:val="ListBullet"/>
        <w:spacing w:before="0" w:after="50" w:line="269" w:lineRule="auto"/>
        <w:ind w:left="360"/>
      </w:pPr>
      <w:r>
        <w:rPr>
          <w:rFonts w:ascii="Calibri" w:hAnsi="Calibri"/>
          <w:b/>
          <w:color w:val="1E293B"/>
          <w:sz w:val="19"/>
        </w:rPr>
        <w:t>Why Federated Latent Replay is the Optimal Solution:</w:t>
      </w:r>
      <w:r>
        <w:rPr>
          <w:rFonts w:ascii="Calibri" w:hAnsi="Calibri"/>
          <w:i w:val="0"/>
          <w:color w:val="1E293B"/>
          <w:sz w:val="19"/>
        </w:rPr>
        <w:t xml:space="preserve"> Generates synthetic latent features f̂ ~ p(f | y = IPF) locally inside data-starved hospitals. Supplies artificial positive pairs to prevent contrastive collapse, without transferring any raw patient scans.</w:t>
      </w:r>
    </w:p>
    <w:p>
      <w:pPr>
        <w:keepNext/>
        <w:spacing w:before="200" w:after="40"/>
      </w:pPr>
      <w:r>
        <w:rPr>
          <w:rFonts w:ascii="Calibri" w:hAnsi="Calibri"/>
          <w:b/>
          <w:color w:val="1A5FB4"/>
          <w:sz w:val="23"/>
        </w:rPr>
        <w:t>3. Deep Technical &amp; Contextual Explanation</w:t>
      </w:r>
    </w:p>
    <w:p>
      <w:pPr>
        <w:spacing w:before="0" w:after="70" w:line="276" w:lineRule="auto"/>
      </w:pPr>
      <w:r>
        <w:rPr>
          <w:rFonts w:ascii="Calibri" w:hAnsi="Calibri"/>
          <w:i w:val="0"/>
          <w:color w:val="1E293B"/>
          <w:sz w:val="20"/>
        </w:rPr>
        <w:t>Slide 6 provides the core scientific justification of our project. It demonstrates mathematically why the published state-of-the-art fails under true rare disease constraints:</w:t>
      </w:r>
    </w:p>
    <w:p>
      <w:pPr>
        <w:pStyle w:val="ListBullet"/>
        <w:spacing w:before="0" w:after="50" w:line="269" w:lineRule="auto"/>
        <w:ind w:left="360"/>
      </w:pPr>
      <w:r>
        <w:rPr>
          <w:rFonts w:ascii="Calibri" w:hAnsi="Calibri"/>
          <w:b/>
          <w:color w:val="1E293B"/>
          <w:sz w:val="19"/>
        </w:rPr>
        <w:t>IntraSCL Mathematical Formulation:</w:t>
      </w:r>
      <w:r>
        <w:rPr>
          <w:rFonts w:ascii="Calibri" w:hAnsi="Calibri"/>
          <w:i w:val="0"/>
          <w:color w:val="1E293B"/>
          <w:sz w:val="19"/>
        </w:rPr>
        <w:t xml:space="preserve"> Supervised contrastive learning pulls features of the same class together while pushing different classes apart. The set of positive indices for anchor i is:</w:t>
      </w:r>
    </w:p>
    <w:p>
      <w:pPr>
        <w:spacing w:before="80" w:after="80"/>
        <w:jc w:val="center"/>
      </w:pPr>
      <w:r>
        <w:rPr>
          <w:rFonts w:ascii="Cambria Math" w:hAnsi="Cambria Math"/>
          <w:i/>
          <w:color w:val="1A5FB4"/>
          <w:sz w:val="21"/>
        </w:rPr>
        <w:t>P(i) ≡ {p ∈ A(i) : y_p = y_i},   where A(i) ≡ I \ {i}</w:t>
      </w:r>
    </w:p>
    <w:p>
      <w:pPr>
        <w:spacing w:before="0" w:after="70" w:line="276" w:lineRule="auto"/>
      </w:pPr>
      <w:r>
        <w:rPr>
          <w:rFonts w:ascii="Calibri" w:hAnsi="Calibri"/>
          <w:i w:val="0"/>
          <w:color w:val="1E293B"/>
          <w:sz w:val="20"/>
        </w:rPr>
        <w:t>If a community hospital has only 1 IPF patient scan, any mini-batch contains at most one IPF sample (y_i = IPF). Therefore, P(i) = ∅, meaning |P(i)| = 0. The encoder receives zero gradient signal for the rare class, and representations fail to cluster.</w:t>
      </w:r>
    </w:p>
    <w:p>
      <w:pPr>
        <w:pStyle w:val="ListBullet"/>
        <w:spacing w:before="0" w:after="50" w:line="269" w:lineRule="auto"/>
        <w:ind w:left="360"/>
      </w:pPr>
      <w:r>
        <w:rPr>
          <w:rFonts w:ascii="Calibri" w:hAnsi="Calibri"/>
          <w:b/>
          <w:color w:val="1E293B"/>
          <w:sz w:val="19"/>
        </w:rPr>
        <w:t>DALA Logit Margin Pathology:</w:t>
      </w:r>
      <w:r>
        <w:rPr>
          <w:rFonts w:ascii="Calibri" w:hAnsi="Calibri"/>
          <w:i w:val="0"/>
          <w:color w:val="1E293B"/>
          <w:sz w:val="19"/>
        </w:rPr>
        <w:t xml:space="preserve"> FedIIC attempts to counteract imbalance by adding an additive logit margin: ŷ_c = z_c - τ log π_c. When client k has zero IPF cases, π_IPF = 0. Even with a smoothing term ε = 10^-7, the adjustment margin evaluates to:</w:t>
      </w:r>
    </w:p>
    <w:p>
      <w:pPr>
        <w:spacing w:before="80" w:after="80"/>
        <w:jc w:val="center"/>
      </w:pPr>
      <w:r>
        <w:rPr>
          <w:rFonts w:ascii="Cambria Math" w:hAnsi="Cambria Math"/>
          <w:i/>
          <w:color w:val="1A5FB4"/>
          <w:sz w:val="21"/>
        </w:rPr>
        <w:t>τ · log(10^-7) = 1.0 × (-16.11) = -16.11</w:t>
      </w:r>
    </w:p>
    <w:p>
      <w:pPr>
        <w:spacing w:before="0" w:after="70" w:line="276" w:lineRule="auto"/>
      </w:pPr>
      <w:r>
        <w:rPr>
          <w:rFonts w:ascii="Calibri" w:hAnsi="Calibri"/>
          <w:i w:val="0"/>
          <w:color w:val="1E293B"/>
          <w:sz w:val="20"/>
        </w:rPr>
        <w:t>Subtracting -16.11 is equivalent to adding +16.11 to the negative logit, causing the model to output a near-zero softmax probability for IPF. When this client's weights are averaged on the server, they inject severe negative bias against IPF into the global model!</w:t>
      </w:r>
    </w:p>
    <w:p>
      <w:pPr>
        <w:pStyle w:val="ListBullet"/>
        <w:spacing w:before="0" w:after="50" w:line="269" w:lineRule="auto"/>
        <w:ind w:left="360"/>
      </w:pPr>
      <w:r>
        <w:rPr>
          <w:rFonts w:ascii="Calibri" w:hAnsi="Calibri"/>
          <w:b/>
          <w:color w:val="1E293B"/>
          <w:sz w:val="19"/>
        </w:rPr>
        <w:t>The Generative Replay Remedy:</w:t>
      </w:r>
      <w:r>
        <w:rPr>
          <w:rFonts w:ascii="Calibri" w:hAnsi="Calibri"/>
          <w:i w:val="0"/>
          <w:color w:val="1E293B"/>
          <w:sz w:val="19"/>
        </w:rPr>
        <w:t xml:space="preserve"> FedGen-Rare intercepts the feature stream. By sampling f̂ ~ G_ψ(z, y = IPF), we inject artificial embeddings into the local batch. This guarantees |P(i)| ≥ 1 and provides a non-zero virtual prior π̃_IPF &gt; 0, completely neutralizing both failure modes.</w:t>
      </w:r>
    </w:p>
    <w:p>
      <w:pPr>
        <w:keepNext/>
        <w:spacing w:before="200" w:after="40"/>
      </w:pPr>
      <w:r>
        <w:rPr>
          <w:rFonts w:ascii="Calibri" w:hAnsi="Calibri"/>
          <w:b/>
          <w:color w:val="1A5FB4"/>
          <w:sz w:val="23"/>
        </w:rPr>
        <w:t>4. Verbatim Oral Defense Script (Speaker Notes)</w:t>
      </w:r>
    </w:p>
    <w:tbl>
      <w:tblPr>
        <w:tblW w:type="auto" w:w="0"/>
        <w:jc w:val="center"/>
        <w:tblLayout w:type="fixed"/>
        <w:tblLook w:firstColumn="1" w:firstRow="1" w:lastColumn="0" w:lastRow="0" w:noHBand="0" w:noVBand="1" w:val="04A0"/>
      </w:tblPr>
      <w:tblGrid>
        <w:gridCol w:w="9360"/>
      </w:tblGrid>
      <w:tr>
        <w:tc>
          <w:tcPr>
            <w:tcW w:type="dxa" w:w="9360"/>
            <w:shd w:fill="F0F7FF"/>
            <w:tcBorders>
              <w:top w:val="none"/>
              <w:left w:val="single" w:sz="36" w:space="0" w:color="1A5FB4"/>
              <w:bottom w:val="none"/>
              <w:right w:val="none"/>
            </w:tcBorders>
            <w:tcMar>
              <w:top w:w="120" w:type="dxa"/>
              <w:bottom w:w="120" w:type="dxa"/>
              <w:left w:w="180" w:type="dxa"/>
              <w:right w:w="160" w:type="dxa"/>
            </w:tcMar>
          </w:tcPr>
          <w:p>
            <w:pPr>
              <w:spacing w:before="0" w:after="80"/>
            </w:pPr>
            <w:r>
              <w:rPr>
                <w:rFonts w:ascii="Calibri" w:hAnsi="Calibri"/>
                <w:b/>
                <w:color w:val="1A5FB4"/>
                <w:sz w:val="20"/>
              </w:rPr>
              <w:t>🗣️  VERBATIM ORAL DEFENSE SCRIPT (SPEAKER NOTES)</w:t>
            </w:r>
          </w:p>
          <w:p>
            <w:pPr>
              <w:spacing w:before="40" w:after="80" w:line="276" w:lineRule="auto"/>
            </w:pPr>
            <w:r>
              <w:rPr>
                <w:rFonts w:ascii="Calibri" w:hAnsi="Calibri"/>
                <w:i/>
                <w:color w:val="1E293B"/>
                <w:sz w:val="19"/>
              </w:rPr>
              <w:t>"On Slide 6, we present the mathematical foundation of our research: why the state-of-the-art baseline, FedIIC from MICCAI 2023, fundamentally breaks down when applied to rare diseases."</w:t>
            </w:r>
          </w:p>
          <w:p>
            <w:pPr>
              <w:spacing w:before="40" w:after="80" w:line="276" w:lineRule="auto"/>
            </w:pPr>
            <w:r>
              <w:rPr>
                <w:rFonts w:ascii="Calibri" w:hAnsi="Calibri"/>
                <w:i/>
                <w:color w:val="1E293B"/>
                <w:sz w:val="19"/>
              </w:rPr>
              <w:t>"FedIIC relies on two mechanisms: Intra-Client Supervised Contrastive Loss (IntraSCL) and Dynamic Logit Adjustment (DALA). Let us examine why both fail mathematically in rare disease diagnosis."</w:t>
            </w:r>
          </w:p>
          <w:p>
            <w:pPr>
              <w:spacing w:before="40" w:after="80" w:line="276" w:lineRule="auto"/>
            </w:pPr>
            <w:r>
              <w:rPr>
                <w:rFonts w:ascii="Calibri" w:hAnsi="Calibri"/>
                <w:i/>
                <w:color w:val="1E293B"/>
                <w:sz w:val="19"/>
              </w:rPr>
              <w:t>"First, IntraSCL requires pulling positive pairs of the same class together. Mathematically, the cardinality of positive pairs |P(i)| must be at least 1. But in rare pathologies like IPF, where local clinic prevalence is under 8%, a community clinic typically has only one scan, or none at all. When sample count is 1, |P(i)| = 0—no positive pairs can be formed, and the contrastive loss collapses to zero for the rare class."</w:t>
            </w:r>
          </w:p>
          <w:p>
            <w:pPr>
              <w:spacing w:before="40" w:after="80" w:line="276" w:lineRule="auto"/>
            </w:pPr>
            <w:r>
              <w:rPr>
                <w:rFonts w:ascii="Calibri" w:hAnsi="Calibri"/>
                <w:i/>
                <w:color w:val="1E293B"/>
                <w:sz w:val="19"/>
              </w:rPr>
              <w:t>"Second, FedIIC's DALA adjusts classification logits using the local empirical class prior π_c. In a clinic with zero IPF patients, π_IPF = 0. The logarithm of zero evaluates to negative infinity. Even with epsilon smoothing, this assigns an extreme penalty that forces the local model to completely suppress IPF predictions. During federated averaging, these corrupted weights degrade the global model."</w:t>
            </w:r>
          </w:p>
          <w:p>
            <w:pPr>
              <w:spacing w:before="40" w:after="0" w:line="276" w:lineRule="auto"/>
            </w:pPr>
            <w:r>
              <w:rPr>
                <w:rFonts w:ascii="Calibri" w:hAnsi="Calibri"/>
                <w:i/>
                <w:color w:val="1E293B"/>
                <w:sz w:val="19"/>
              </w:rPr>
              <w:t>"Our solution, Federated Latent Replay, resolves this by generating synthetic latent features f̂ locally. This guarantees artificial positive pairs and prevents contrastive collapse without moving raw data."</w:t>
            </w:r>
          </w:p>
        </w:tc>
      </w:tr>
    </w:tbl>
    <w:p>
      <w:pPr>
        <w:spacing w:after="40"/>
      </w:pPr>
    </w:p>
    <w:p>
      <w:pPr>
        <w:keepNext/>
        <w:spacing w:before="200" w:after="40"/>
      </w:pPr>
      <w:r>
        <w:rPr>
          <w:rFonts w:ascii="Calibri" w:hAnsi="Calibri"/>
          <w:b/>
          <w:color w:val="1A5FB4"/>
          <w:sz w:val="23"/>
        </w:rPr>
        <w:t>5. Anticipated Reviewer Questions &amp; Bulletproof Defense</w:t>
      </w:r>
    </w:p>
    <w:tbl>
      <w:tblPr>
        <w:tblW w:type="auto" w:w="0"/>
        <w:jc w:val="center"/>
        <w:tblLayout w:type="fixed"/>
        <w:tblLook w:firstColumn="1" w:firstRow="1" w:lastColumn="0" w:lastRow="0" w:noHBand="0" w:noVBand="1" w:val="04A0"/>
      </w:tblPr>
      <w:tblGrid>
        <w:gridCol w:w="9360"/>
      </w:tblGrid>
      <w:tr>
        <w:tc>
          <w:tcPr>
            <w:tcW w:type="dxa" w:w="9360"/>
            <w:shd w:fill="FFFBEB"/>
            <w:tcBorders>
              <w:top w:val="none"/>
              <w:left w:val="single" w:sz="36" w:space="0" w:color="D97706"/>
              <w:bottom w:val="none"/>
              <w:right w:val="none"/>
            </w:tcBorders>
            <w:tcMar>
              <w:top w:w="120" w:type="dxa"/>
              <w:bottom w:w="120" w:type="dxa"/>
              <w:left w:w="180" w:type="dxa"/>
              <w:right w:w="160" w:type="dxa"/>
            </w:tcMar>
          </w:tcPr>
          <w:p>
            <w:pPr>
              <w:spacing w:before="0" w:after="80"/>
            </w:pPr>
            <w:r>
              <w:rPr>
                <w:rFonts w:ascii="Calibri" w:hAnsi="Calibri"/>
                <w:b/>
                <w:color w:val="92400E"/>
                <w:sz w:val="20"/>
              </w:rPr>
              <w:t>❓  ANTICIPATED REVIEWER QUESTIONS &amp; BULLETPROOF DEFENSE</w:t>
            </w:r>
          </w:p>
          <w:p>
            <w:pPr>
              <w:spacing w:before="80" w:after="40" w:line="269" w:lineRule="auto"/>
            </w:pPr>
            <w:r>
              <w:rPr>
                <w:rFonts w:ascii="Calibri" w:hAnsi="Calibri"/>
                <w:b/>
                <w:color w:val="92400E"/>
                <w:sz w:val="19"/>
              </w:rPr>
              <w:t xml:space="preserve">Q1: </w:t>
            </w:r>
            <w:r>
              <w:rPr>
                <w:rFonts w:ascii="Calibri" w:hAnsi="Calibri"/>
                <w:i w:val="0"/>
                <w:color w:val="92400E"/>
                <w:sz w:val="19"/>
              </w:rPr>
              <w:t>Why can't you just duplicate the single rare patient scan (oversampling) to create positive pairs in IntraSCL?</w:t>
            </w:r>
          </w:p>
          <w:p>
            <w:pPr>
              <w:spacing w:before="20" w:after="120" w:line="269" w:lineRule="auto"/>
            </w:pPr>
            <w:r>
              <w:rPr>
                <w:rFonts w:ascii="Calibri" w:hAnsi="Calibri"/>
                <w:b/>
                <w:color w:val="0A2540"/>
                <w:sz w:val="19"/>
              </w:rPr>
              <w:t xml:space="preserve">Defense Answer: </w:t>
            </w:r>
            <w:r>
              <w:rPr>
                <w:rFonts w:ascii="Calibri" w:hAnsi="Calibri"/>
                <w:i w:val="0"/>
                <w:color w:val="1E293B"/>
                <w:sz w:val="19"/>
              </w:rPr>
              <w:t>Duplicating the exact same scan creates identical feature embeddings z_i = z_p. In contrastive learning, pairing an image with an exact duplicate causes severe representation collapse, where the encoder simply learns trivial pixel-matching shortcuts rather than generalizable pathological features of IPF.</w:t>
            </w:r>
          </w:p>
          <w:p>
            <w:pPr>
              <w:spacing w:before="80" w:after="40" w:line="269" w:lineRule="auto"/>
            </w:pPr>
            <w:r>
              <w:rPr>
                <w:rFonts w:ascii="Calibri" w:hAnsi="Calibri"/>
                <w:b/>
                <w:color w:val="92400E"/>
                <w:sz w:val="19"/>
              </w:rPr>
              <w:t xml:space="preserve">Q2: </w:t>
            </w:r>
            <w:r>
              <w:rPr>
                <w:rFonts w:ascii="Calibri" w:hAnsi="Calibri"/>
                <w:i w:val="0"/>
                <w:color w:val="92400E"/>
                <w:sz w:val="19"/>
              </w:rPr>
              <w:t>Doesn't FedIIC's Inter-Client Contrastive Loss (InterSCL) solve this by sharing class prototypes?</w:t>
            </w:r>
          </w:p>
          <w:p>
            <w:pPr>
              <w:spacing w:before="20" w:after="0" w:line="269" w:lineRule="auto"/>
            </w:pPr>
            <w:r>
              <w:rPr>
                <w:rFonts w:ascii="Calibri" w:hAnsi="Calibri"/>
                <w:b/>
                <w:color w:val="0A2540"/>
                <w:sz w:val="19"/>
              </w:rPr>
              <w:t xml:space="preserve">Defense Answer: </w:t>
            </w:r>
            <w:r>
              <w:rPr>
                <w:rFonts w:ascii="Calibri" w:hAnsi="Calibri"/>
                <w:i w:val="0"/>
                <w:color w:val="1E293B"/>
                <w:sz w:val="19"/>
              </w:rPr>
              <w:t>InterSCL shares globally averaged class prototypes, but it still relies on local encoders generating well-clustered features via IntraSCL. If a local client cannot form intra-client clusters due to zero or single samples, the local representation remains unaligned, and aligning it to global prototypes fails.</w:t>
            </w:r>
          </w:p>
        </w:tc>
      </w:tr>
    </w:tbl>
    <w:p>
      <w:pPr>
        <w:spacing w:after="40"/>
      </w:pPr>
    </w:p>
    <w:p>
      <w:pPr>
        <w:keepNext/>
        <w:spacing w:before="200" w:after="40"/>
      </w:pPr>
      <w:r>
        <w:rPr>
          <w:rFonts w:ascii="Calibri" w:hAnsi="Calibri"/>
          <w:b/>
          <w:color w:val="1A5FB4"/>
          <w:sz w:val="23"/>
        </w:rPr>
        <w:t>6. Plain-English Intuitive Explanation (In Simple Words)</w:t>
      </w:r>
    </w:p>
    <w:tbl>
      <w:tblPr>
        <w:tblW w:type="auto" w:w="0"/>
        <w:jc w:val="center"/>
        <w:tblLayout w:type="fixed"/>
        <w:tblLook w:firstColumn="1" w:firstRow="1" w:lastColumn="0" w:lastRow="0" w:noHBand="0" w:noVBand="1" w:val="04A0"/>
      </w:tblPr>
      <w:tblGrid>
        <w:gridCol w:w="9360"/>
      </w:tblGrid>
      <w:tr>
        <w:tc>
          <w:tcPr>
            <w:tcW w:type="dxa" w:w="9360"/>
            <w:shd w:fill="F0FDF4"/>
            <w:tcBorders>
              <w:top w:val="none"/>
              <w:left w:val="single" w:sz="36" w:space="0" w:color="16A34A"/>
              <w:bottom w:val="none"/>
              <w:right w:val="none"/>
            </w:tcBorders>
            <w:tcMar>
              <w:top w:w="120" w:type="dxa"/>
              <w:bottom w:w="120" w:type="dxa"/>
              <w:left w:w="180" w:type="dxa"/>
              <w:right w:w="160" w:type="dxa"/>
            </w:tcMar>
          </w:tcPr>
          <w:p>
            <w:pPr>
              <w:spacing w:before="0" w:after="80"/>
            </w:pPr>
            <w:r>
              <w:rPr>
                <w:rFonts w:ascii="Calibri" w:hAnsi="Calibri"/>
                <w:b/>
                <w:color w:val="15803D"/>
                <w:sz w:val="20"/>
              </w:rPr>
              <w:t>💡  IN SIMPLE WORDS — INTUITIVE EXPLANATION &amp; CONCEPTS</w:t>
            </w:r>
          </w:p>
          <w:p>
            <w:pPr>
              <w:spacing w:before="40" w:after="60" w:line="269" w:lineRule="auto"/>
            </w:pPr>
            <w:r>
              <w:rPr>
                <w:rFonts w:ascii="Calibri" w:hAnsi="Calibri"/>
                <w:b/>
                <w:color w:val="15803D"/>
                <w:sz w:val="19"/>
              </w:rPr>
              <w:t xml:space="preserve">• The Core Idea in One Sentence: </w:t>
            </w:r>
            <w:r>
              <w:rPr>
                <w:rFonts w:ascii="Calibri" w:hAnsi="Calibri"/>
                <w:i w:val="0"/>
                <w:color w:val="1E293B"/>
                <w:sz w:val="19"/>
              </w:rPr>
              <w:t>We prove mathematically that the current world-standard algorithm (FedIIC, MICCAI 2023) completely crashes on rare diseases because its contrastive learning runs out of matching pairs and its margin adjustment tries to calculate the logarithm of zero.</w:t>
            </w:r>
          </w:p>
          <w:p>
            <w:pPr>
              <w:spacing w:before="40" w:after="60" w:line="269" w:lineRule="auto"/>
            </w:pPr>
            <w:r>
              <w:rPr>
                <w:rFonts w:ascii="Calibri" w:hAnsi="Calibri"/>
                <w:b/>
                <w:color w:val="15803D"/>
                <w:sz w:val="19"/>
              </w:rPr>
              <w:t xml:space="preserve">• Flaw 1: The 'Spot the Difference' Trap (IntraSCL): </w:t>
            </w:r>
            <w:r>
              <w:rPr>
                <w:rFonts w:ascii="Calibri" w:hAnsi="Calibri"/>
                <w:i w:val="0"/>
                <w:color w:val="1E293B"/>
                <w:sz w:val="19"/>
              </w:rPr>
              <w:t>Contrastive learning works by showing the AI two different pictures of the same rare disease (a 'positive pair') so it learns what they have in common. But what if a rural clinic has only ONE IPF scan in its entire building, or ZERO? You cannot form a pair out of a single scan! The positive pair count |P(i)| drops to zero, the formula divides by zero, and the AI receives zero learning signal for the rare disease.</w:t>
            </w:r>
          </w:p>
          <w:p>
            <w:pPr>
              <w:spacing w:before="40" w:after="60" w:line="269" w:lineRule="auto"/>
            </w:pPr>
            <w:r>
              <w:rPr>
                <w:rFonts w:ascii="Calibri" w:hAnsi="Calibri"/>
                <w:b/>
                <w:color w:val="15803D"/>
                <w:sz w:val="19"/>
              </w:rPr>
              <w:t xml:space="preserve">• Flaw 2: The 'Rarity Penalty' Trap (DALA): </w:t>
            </w:r>
            <w:r>
              <w:rPr>
                <w:rFonts w:ascii="Calibri" w:hAnsi="Calibri"/>
                <w:i w:val="0"/>
                <w:color w:val="1E293B"/>
                <w:sz w:val="19"/>
              </w:rPr>
              <w:t>FedIIC tries to be clever by adjusting its prediction threshold based on how frequently a disease appears in a clinic (π_c). In a clinic with zero IPF patients, the frequency is π_IPF = 0. The math evaluates log(0) = -∞. Even with tiny decimal smoothing, this applies a massive negative penalty of -16.11 to the rare class, effectively commanding the local model: 'Never, under any circumstances, predict this disease!' When these corrupted weights are averaged on the server, they poison the global AI.</w:t>
            </w:r>
          </w:p>
          <w:p>
            <w:pPr>
              <w:spacing w:before="40" w:after="0" w:line="269" w:lineRule="auto"/>
            </w:pPr>
            <w:r>
              <w:rPr>
                <w:rFonts w:ascii="Calibri" w:hAnsi="Calibri"/>
                <w:b/>
                <w:color w:val="15803D"/>
                <w:sz w:val="19"/>
              </w:rPr>
              <w:t xml:space="preserve">• Our Fix: </w:t>
            </w:r>
            <w:r>
              <w:rPr>
                <w:rFonts w:ascii="Calibri" w:hAnsi="Calibri"/>
                <w:i w:val="0"/>
                <w:color w:val="1E293B"/>
                <w:sz w:val="19"/>
              </w:rPr>
              <w:t>Our federated generator manufactures realistic artificial feature pairs inside the clinic, ensuring matching pairs always exist and eliminating the log(0) breakdown.</w:t>
            </w:r>
          </w:p>
        </w:tc>
      </w:tr>
    </w:tbl>
    <w:p>
      <w:pPr>
        <w:spacing w:after="40"/>
      </w:pPr>
    </w:p>
    <w:p>
      <w:pPr>
        <w:keepNext/>
        <w:spacing w:before="280" w:after="60"/>
      </w:pPr>
      <w:r>
        <w:rPr>
          <w:rFonts w:ascii="Calibri" w:hAnsi="Calibri"/>
          <w:b/>
          <w:color w:val="0A2540"/>
          <w:sz w:val="30"/>
        </w:rPr>
        <w:t>Slide 7: Detailed Design — Algorithms &amp; Mathematics</w:t>
      </w:r>
      <w:r>
        <w:rPr>
          <w:rFonts w:ascii="Calibri" w:hAnsi="Calibri"/>
          <w:b/>
          <w:color w:val="1A5FB4"/>
          <w:sz w:val="21"/>
        </w:rPr>
        <w:t xml:space="preserve">  [PI 3.3.3]</w:t>
      </w:r>
    </w:p>
    <w:p>
      <w:pPr>
        <w:keepNext/>
        <w:spacing w:before="200" w:after="40"/>
      </w:pPr>
      <w:r>
        <w:rPr>
          <w:rFonts w:ascii="Calibri" w:hAnsi="Calibri"/>
          <w:b/>
          <w:color w:val="1A5FB4"/>
          <w:sz w:val="23"/>
        </w:rPr>
        <w:t>1. Slide Metadata</w:t>
      </w:r>
    </w:p>
    <w:p>
      <w:pPr>
        <w:pStyle w:val="ListBullet"/>
        <w:spacing w:before="0" w:after="50" w:line="269" w:lineRule="auto"/>
        <w:ind w:left="360"/>
      </w:pPr>
      <w:r>
        <w:rPr>
          <w:rFonts w:ascii="Calibri" w:hAnsi="Calibri"/>
          <w:b/>
          <w:color w:val="1E293B"/>
          <w:sz w:val="19"/>
        </w:rPr>
        <w:t>Slide Title:</w:t>
      </w:r>
      <w:r>
        <w:rPr>
          <w:rFonts w:ascii="Calibri" w:hAnsi="Calibri"/>
          <w:i w:val="0"/>
          <w:color w:val="1E293B"/>
          <w:sz w:val="19"/>
        </w:rPr>
        <w:t xml:space="preserve"> </w:t>
      </w:r>
      <w:r>
        <w:rPr>
          <w:rFonts w:ascii="Consolas" w:hAnsi="Consolas"/>
          <w:color w:val="2563EB"/>
          <w:sz w:val="18"/>
        </w:rPr>
        <w:t>Detailed Design — Algorithms &amp; Mathematics</w:t>
      </w:r>
    </w:p>
    <w:p>
      <w:pPr>
        <w:pStyle w:val="ListBullet"/>
        <w:spacing w:before="0" w:after="50" w:line="269" w:lineRule="auto"/>
        <w:ind w:left="360"/>
      </w:pPr>
      <w:r>
        <w:rPr>
          <w:rFonts w:ascii="Calibri" w:hAnsi="Calibri"/>
          <w:b/>
          <w:color w:val="1E293B"/>
          <w:sz w:val="19"/>
        </w:rPr>
        <w:t>On-Slide Subtitle:</w:t>
      </w:r>
      <w:r>
        <w:rPr>
          <w:rFonts w:ascii="Calibri" w:hAnsi="Calibri"/>
          <w:i w:val="0"/>
          <w:color w:val="1E293B"/>
          <w:sz w:val="19"/>
        </w:rPr>
        <w:t xml:space="preserve"> </w:t>
      </w:r>
      <w:r>
        <w:rPr>
          <w:rFonts w:ascii="Consolas" w:hAnsi="Consolas"/>
          <w:color w:val="2563EB"/>
          <w:sz w:val="18"/>
        </w:rPr>
        <w:t>PI 3.3.3: FORMAL PSEUDOCODE, INPUT/OUTPUT SPECIFICATIONS &amp; LOSS FUNCTIONS</w:t>
      </w:r>
    </w:p>
    <w:p>
      <w:pPr>
        <w:pStyle w:val="ListBullet"/>
        <w:spacing w:before="0" w:after="50" w:line="269" w:lineRule="auto"/>
        <w:ind w:left="360"/>
      </w:pPr>
      <w:r>
        <w:rPr>
          <w:rFonts w:ascii="Calibri" w:hAnsi="Calibri"/>
          <w:b/>
          <w:color w:val="1E293B"/>
          <w:sz w:val="19"/>
        </w:rPr>
        <w:t>Rubric Mapping:</w:t>
      </w:r>
      <w:r>
        <w:rPr>
          <w:rFonts w:ascii="Calibri" w:hAnsi="Calibri"/>
          <w:i w:val="0"/>
          <w:color w:val="1E293B"/>
          <w:sz w:val="19"/>
        </w:rPr>
        <w:t xml:space="preserve"> </w:t>
      </w:r>
      <w:r>
        <w:rPr>
          <w:rFonts w:ascii="Calibri" w:hAnsi="Calibri"/>
          <w:b/>
          <w:color w:val="1E293B"/>
          <w:sz w:val="19"/>
        </w:rPr>
        <w:t>PI 3.3.3</w:t>
      </w:r>
      <w:r>
        <w:rPr>
          <w:rFonts w:ascii="Calibri" w:hAnsi="Calibri"/>
          <w:i w:val="0"/>
          <w:color w:val="1E293B"/>
          <w:sz w:val="19"/>
        </w:rPr>
        <w:t xml:space="preserve"> (Develop detailed design with algorithms, pseudocode with explicit inputs and outputs, and mathematical models).</w:t>
      </w:r>
    </w:p>
    <w:p>
      <w:pPr>
        <w:pStyle w:val="ListBullet"/>
        <w:spacing w:before="0" w:after="50" w:line="269" w:lineRule="auto"/>
        <w:ind w:left="360"/>
      </w:pPr>
      <w:r>
        <w:rPr>
          <w:rFonts w:ascii="Calibri" w:hAnsi="Calibri"/>
          <w:b/>
          <w:color w:val="1E293B"/>
          <w:sz w:val="19"/>
        </w:rPr>
        <w:t>Visual Composition:</w:t>
      </w:r>
      <w:r>
        <w:rPr>
          <w:rFonts w:ascii="Calibri" w:hAnsi="Calibri"/>
          <w:i w:val="0"/>
          <w:color w:val="1E293B"/>
          <w:sz w:val="19"/>
        </w:rPr>
        <w:t xml:space="preserve"> Two-column technical layout. Left Column: Mathematical Formulations (G_ψ mapping, Multi-task Generator loss L_gen, Feature Matching L_FM, Mode-Seeking Diversity L_DIV, Replay loss L_clf). Right Column: Algorithms 1, 2, and 3 with formal I/O specifications.</w:t>
      </w:r>
    </w:p>
    <w:p>
      <w:pPr>
        <w:keepNext/>
        <w:spacing w:before="200" w:after="40"/>
      </w:pPr>
      <w:r>
        <w:rPr>
          <w:rFonts w:ascii="Calibri" w:hAnsi="Calibri"/>
          <w:b/>
          <w:color w:val="1A5FB4"/>
          <w:sz w:val="23"/>
        </w:rPr>
        <w:t>2. Breakdown of On-Slide Content</w:t>
      </w:r>
    </w:p>
    <w:p>
      <w:pPr>
        <w:pStyle w:val="ListBullet"/>
        <w:spacing w:before="0" w:after="50" w:line="269" w:lineRule="auto"/>
        <w:ind w:left="360"/>
      </w:pPr>
      <w:r>
        <w:rPr>
          <w:rFonts w:ascii="Calibri" w:hAnsi="Calibri"/>
          <w:b/>
          <w:color w:val="1E293B"/>
          <w:sz w:val="19"/>
        </w:rPr>
        <w:t>Mathematical Formulations:</w:t>
      </w:r>
    </w:p>
    <w:p>
      <w:pPr>
        <w:pStyle w:val="ListBullet"/>
        <w:spacing w:before="0" w:after="50" w:line="269" w:lineRule="auto"/>
        <w:ind w:left="720"/>
      </w:pPr>
      <w:r>
        <w:rPr>
          <w:rFonts w:ascii="Calibri" w:hAnsi="Calibri"/>
          <w:b/>
          <w:color w:val="1E293B"/>
          <w:sz w:val="19"/>
        </w:rPr>
        <w:t>Conditional Latent Feature Generator:</w:t>
      </w:r>
      <w:r>
        <w:rPr>
          <w:rFonts w:ascii="Calibri" w:hAnsi="Calibri"/>
          <w:i w:val="0"/>
          <w:color w:val="1E293B"/>
          <w:sz w:val="19"/>
        </w:rPr>
        <w:t xml:space="preserve"> f̂ = G_ψ(z, y),   where z ~ N(0, I_64),   y ∈ {0, 1, 2}.</w:t>
      </w:r>
    </w:p>
    <w:p>
      <w:pPr>
        <w:pStyle w:val="ListBullet"/>
        <w:spacing w:before="0" w:after="50" w:line="269" w:lineRule="auto"/>
        <w:ind w:left="720"/>
      </w:pPr>
      <w:r>
        <w:rPr>
          <w:rFonts w:ascii="Calibri" w:hAnsi="Calibri"/>
          <w:b/>
          <w:color w:val="1E293B"/>
          <w:sz w:val="19"/>
        </w:rPr>
        <w:t>Generator Multi-Task Loss Objective:</w:t>
      </w:r>
    </w:p>
    <w:p>
      <w:pPr>
        <w:spacing w:before="80" w:after="80"/>
        <w:jc w:val="center"/>
      </w:pPr>
      <w:r>
        <w:rPr>
          <w:rFonts w:ascii="Cambria Math" w:hAnsi="Cambria Math"/>
          <w:i/>
          <w:color w:val="1A5FB4"/>
          <w:sz w:val="21"/>
        </w:rPr>
        <w:t>L_gen = L_CE(F_θ(f̂), y) + λ_fm · L_FM - λ_div · L_DIV</w:t>
      </w:r>
    </w:p>
    <w:p>
      <w:pPr>
        <w:pStyle w:val="ListBullet"/>
        <w:spacing w:before="0" w:after="50" w:line="269" w:lineRule="auto"/>
        <w:ind w:left="1080"/>
      </w:pPr>
      <w:r>
        <w:rPr>
          <w:rFonts w:ascii="Calibri" w:hAnsi="Calibri"/>
          <w:i w:val="0"/>
          <w:color w:val="1E293B"/>
          <w:sz w:val="19"/>
        </w:rPr>
        <w:t>where L_CE is classification fidelity under frozen classifier, L_FM is Feature Matching loss = MSE( (1/B) ∑ f̂_c, f̄_c^real ), and L_DIV is mode-seeking diversity penalty = ||f̂_1 - f̂_2||_1 / (||z_1 - z_2||_1 + ε).</w:t>
      </w:r>
    </w:p>
    <w:p>
      <w:pPr>
        <w:pStyle w:val="ListBullet"/>
        <w:spacing w:before="0" w:after="50" w:line="269" w:lineRule="auto"/>
        <w:ind w:left="720"/>
      </w:pPr>
      <w:r>
        <w:rPr>
          <w:rFonts w:ascii="Calibri" w:hAnsi="Calibri"/>
          <w:b/>
          <w:color w:val="1E293B"/>
          <w:sz w:val="19"/>
        </w:rPr>
        <w:t>Generative Replay Classifier Objective:</w:t>
      </w:r>
    </w:p>
    <w:p>
      <w:pPr>
        <w:spacing w:before="80" w:after="80"/>
        <w:jc w:val="center"/>
      </w:pPr>
      <w:r>
        <w:rPr>
          <w:rFonts w:ascii="Cambria Math" w:hAnsi="Cambria Math"/>
          <w:i/>
          <w:color w:val="1A5FB4"/>
          <w:sz w:val="21"/>
        </w:rPr>
        <w:t>f_comb = Concat[f_real, f̂_IPF],      L_clf = CrossEntropy(Head(f_comb), y_comb)</w:t>
      </w:r>
    </w:p>
    <w:p>
      <w:pPr>
        <w:pStyle w:val="ListBullet"/>
        <w:spacing w:before="0" w:after="50" w:line="269" w:lineRule="auto"/>
        <w:ind w:left="360"/>
      </w:pPr>
      <w:r>
        <w:rPr>
          <w:rFonts w:ascii="Calibri" w:hAnsi="Calibri"/>
          <w:b/>
          <w:color w:val="1E293B"/>
          <w:sz w:val="19"/>
        </w:rPr>
        <w:t>Algorithms &amp; I/O Specifications:</w:t>
      </w:r>
    </w:p>
    <w:p>
      <w:pPr>
        <w:pStyle w:val="ListBullet"/>
        <w:spacing w:before="0" w:after="50" w:line="269" w:lineRule="auto"/>
        <w:ind w:left="720"/>
      </w:pPr>
      <w:r>
        <w:rPr>
          <w:rFonts w:ascii="Calibri" w:hAnsi="Calibri"/>
          <w:b/>
          <w:color w:val="1E293B"/>
          <w:sz w:val="19"/>
        </w:rPr>
        <w:t>Algorithm 1: Local Generator Distillation</w:t>
      </w:r>
      <w:r>
        <w:rPr>
          <w:rFonts w:ascii="Calibri" w:hAnsi="Calibri"/>
          <w:i w:val="0"/>
          <w:color w:val="1E293B"/>
          <w:sz w:val="19"/>
        </w:rPr>
        <w:t xml:space="preserve"> — Inputs: Local dataset D_k, Global classifier F_θ, Generator G_ψ, steps T = 5, λ_fm = 0.1, λ_div = 0.05. Output: Updated local generator parameter tensor ψ_k.</w:t>
      </w:r>
    </w:p>
    <w:p>
      <w:pPr>
        <w:pStyle w:val="ListBullet"/>
        <w:spacing w:before="0" w:after="50" w:line="269" w:lineRule="auto"/>
        <w:ind w:left="720"/>
      </w:pPr>
      <w:r>
        <w:rPr>
          <w:rFonts w:ascii="Calibri" w:hAnsi="Calibri"/>
          <w:b/>
          <w:color w:val="1E293B"/>
          <w:sz w:val="19"/>
        </w:rPr>
        <w:t>Algorithm 2: Classifier Training with Replay</w:t>
      </w:r>
      <w:r>
        <w:rPr>
          <w:rFonts w:ascii="Calibri" w:hAnsi="Calibri"/>
          <w:i w:val="0"/>
          <w:color w:val="1E293B"/>
          <w:sz w:val="19"/>
        </w:rPr>
        <w:t xml:space="preserve"> — Inputs: Local dataset D_k, Generator G_ψ, Classifier F_θ, local epochs E = 2, rare class r = 0, batch size B = 16. Logic: Inspects n_rare; if deficit exists, queries G_ψ.sample(r) and appends synthetic embeddings. Output: Updated local classifier weights θ_k.</w:t>
      </w:r>
    </w:p>
    <w:p>
      <w:pPr>
        <w:pStyle w:val="ListBullet"/>
        <w:spacing w:before="0" w:after="50" w:line="269" w:lineRule="auto"/>
        <w:ind w:left="720"/>
      </w:pPr>
      <w:r>
        <w:rPr>
          <w:rFonts w:ascii="Calibri" w:hAnsi="Calibri"/>
          <w:b/>
          <w:color w:val="1E293B"/>
          <w:sz w:val="19"/>
        </w:rPr>
        <w:t>Algorithm 3: Global Federated Communication Round</w:t>
      </w:r>
      <w:r>
        <w:rPr>
          <w:rFonts w:ascii="Calibri" w:hAnsi="Calibri"/>
          <w:i w:val="0"/>
          <w:color w:val="1E293B"/>
          <w:sz w:val="19"/>
        </w:rPr>
        <w:t xml:space="preserve"> — Stage 1: Broadcast (θ, ψ) → Clients distill G_ψ → Aggregate ψ_glob = ∑ (n_k/N) ψ_k. Stage 2: Clients train F_θ via replay → Aggregate θ_glob = ∑ (n_k/N) θ_k → Evaluate on global test set.</w:t>
      </w:r>
    </w:p>
    <w:p>
      <w:pPr>
        <w:keepNext/>
        <w:spacing w:before="200" w:after="40"/>
      </w:pPr>
      <w:r>
        <w:rPr>
          <w:rFonts w:ascii="Calibri" w:hAnsi="Calibri"/>
          <w:b/>
          <w:color w:val="1A5FB4"/>
          <w:sz w:val="23"/>
        </w:rPr>
        <w:t>3. Deep Technical &amp; Mathematical Explanation</w:t>
      </w:r>
    </w:p>
    <w:p>
      <w:pPr>
        <w:spacing w:before="0" w:after="70" w:line="276" w:lineRule="auto"/>
      </w:pPr>
      <w:r>
        <w:rPr>
          <w:rFonts w:ascii="Calibri" w:hAnsi="Calibri"/>
          <w:i w:val="0"/>
          <w:color w:val="1E293B"/>
          <w:sz w:val="20"/>
        </w:rPr>
        <w:t>Slide 7 directly satisfies the PI 3.3.3 requirement for mathematical models, pseudocode, and formal I/O definitions:</w:t>
      </w:r>
    </w:p>
    <w:p>
      <w:pPr>
        <w:pStyle w:val="ListBullet"/>
        <w:spacing w:before="0" w:after="50" w:line="269" w:lineRule="auto"/>
        <w:ind w:left="360"/>
      </w:pPr>
      <w:r>
        <w:rPr>
          <w:rFonts w:ascii="Calibri" w:hAnsi="Calibri"/>
          <w:b/>
          <w:color w:val="1E293B"/>
          <w:sz w:val="19"/>
        </w:rPr>
        <w:t>Feature Matching Loss (L_FM):</w:t>
      </w:r>
      <w:r>
        <w:rPr>
          <w:rFonts w:ascii="Calibri" w:hAnsi="Calibri"/>
          <w:i w:val="0"/>
          <w:color w:val="1E293B"/>
          <w:sz w:val="19"/>
        </w:rPr>
        <w:t xml:space="preserve"> By forcing synthetic latent vectors to match the empirical centroid f̄_c^real of real patient embeddings, the generator is prevented from producing hallucinations or unrealistic outlier vectors:</w:t>
      </w:r>
    </w:p>
    <w:p>
      <w:pPr>
        <w:spacing w:before="80" w:after="80"/>
        <w:jc w:val="center"/>
      </w:pPr>
      <w:r>
        <w:rPr>
          <w:rFonts w:ascii="Cambria Math" w:hAnsi="Cambria Math"/>
          <w:i/>
          <w:color w:val="1A5FB4"/>
          <w:sz w:val="21"/>
        </w:rPr>
        <w:t>L_FM = (1/C) ∑ || E_z[G_ψ(z, c)] - E_x[E_θ(x)] ||_2^2</w:t>
      </w:r>
    </w:p>
    <w:p>
      <w:pPr>
        <w:pStyle w:val="ListBullet"/>
        <w:spacing w:before="0" w:after="50" w:line="269" w:lineRule="auto"/>
        <w:ind w:left="360"/>
      </w:pPr>
      <w:r>
        <w:rPr>
          <w:rFonts w:ascii="Calibri" w:hAnsi="Calibri"/>
          <w:b/>
          <w:color w:val="1E293B"/>
          <w:sz w:val="19"/>
        </w:rPr>
        <w:t>Mode-Seeking Diversity Regularizer (L_DIV):</w:t>
      </w:r>
      <w:r>
        <w:rPr>
          <w:rFonts w:ascii="Calibri" w:hAnsi="Calibri"/>
          <w:i w:val="0"/>
          <w:color w:val="1E293B"/>
          <w:sz w:val="19"/>
        </w:rPr>
        <w:t xml:space="preserve"> In medical imaging, subtle phenotypic variations exist within IPF. Standard conditional generators often suffer from mode collapse, producing a single identical vector. To enforce diversity:</w:t>
      </w:r>
    </w:p>
    <w:p>
      <w:pPr>
        <w:spacing w:before="80" w:after="80"/>
        <w:jc w:val="center"/>
      </w:pPr>
      <w:r>
        <w:rPr>
          <w:rFonts w:ascii="Cambria Math" w:hAnsi="Cambria Math"/>
          <w:i/>
          <w:color w:val="1A5FB4"/>
          <w:sz w:val="21"/>
        </w:rPr>
        <w:t>L_DIV = || G_ψ(z_1, y) - G_ψ(z_2, y) ||_1 / ( || z_1 - z_2 ||_1 + ε )</w:t>
      </w:r>
    </w:p>
    <w:p>
      <w:pPr>
        <w:spacing w:before="0" w:after="70" w:line="276" w:lineRule="auto"/>
      </w:pPr>
      <w:r>
        <w:rPr>
          <w:rFonts w:ascii="Calibri" w:hAnsi="Calibri"/>
          <w:i w:val="0"/>
          <w:color w:val="1E293B"/>
          <w:sz w:val="20"/>
        </w:rPr>
        <w:t>Maximizing this objective ensures that two different latent noise vectors z_1 ≠ z_2 map to diverse locations within the IPF feature manifold.</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before="0" w:after="0" w:line="240" w:lineRule="auto"/>
            </w:pPr>
            <w:r>
              <w:rPr>
                <w:rFonts w:ascii="Consolas" w:hAnsi="Consolas"/>
                <w:color w:val="1E293B"/>
                <w:sz w:val="17"/>
              </w:rPr>
              <w:t>+-----------------------------------+</w:t>
              <w:br/>
              <w:t xml:space="preserve">                  |        Sample z ~ N(0, I)         |</w:t>
              <w:br/>
              <w:t xml:space="preserve">                  +-----------------------------------+</w:t>
              <w:br/>
              <w:t xml:space="preserve">                                    |</w:t>
              <w:br/>
              <w:t xml:space="preserve">                                    v</w:t>
              <w:br/>
              <w:t xml:space="preserve">     +--------+           +-------------------+</w:t>
              <w:br/>
              <w:t xml:space="preserve">     | Label  |----------&gt;|  Generator G_psi  |</w:t>
              <w:br/>
              <w:t xml:space="preserve">     | y=IPF  |           +-------------------+</w:t>
              <w:br/>
              <w:t xml:space="preserve">     +--------+                     |</w:t>
              <w:br/>
              <w:t xml:space="preserve">                                    v</w:t>
              <w:br/>
              <w:t xml:space="preserve">                          +-------------------+</w:t>
              <w:br/>
              <w:t xml:space="preserve">                          | Synthetic Feature |</w:t>
              <w:br/>
              <w:t xml:space="preserve">                          |       f_hat       |</w:t>
              <w:br/>
              <w:t xml:space="preserve">                          +-------------------+</w:t>
              <w:br/>
              <w:t xml:space="preserve">                                    |</w:t>
              <w:br/>
              <w:t xml:space="preserve">           +------------------------+------------------------+</w:t>
              <w:br/>
              <w:t xml:space="preserve">           |                                                 |</w:t>
              <w:br/>
              <w:t xml:space="preserve">           v                                                 v</w:t>
              <w:br/>
              <w:t>+----------------------+                          +----------------------+</w:t>
              <w:br/>
              <w:t>|  L_CE: Match Label   |                          | L_FM: Match Centroid |</w:t>
              <w:br/>
              <w:t>|  under Global Clf    |                          |  of Real Clinic Data |</w:t>
              <w:br/>
              <w:t>+----------------------+                          +----------------------+</w:t>
            </w:r>
          </w:p>
        </w:tc>
      </w:tr>
    </w:tbl>
    <w:p>
      <w:pPr>
        <w:spacing w:after="40"/>
      </w:pPr>
    </w:p>
    <w:p>
      <w:pPr>
        <w:keepNext/>
        <w:spacing w:before="200" w:after="40"/>
      </w:pPr>
      <w:r>
        <w:rPr>
          <w:rFonts w:ascii="Calibri" w:hAnsi="Calibri"/>
          <w:b/>
          <w:color w:val="1A5FB4"/>
          <w:sz w:val="23"/>
        </w:rPr>
        <w:t>4. Verbatim Oral Defense Script (Speaker Notes)</w:t>
      </w:r>
    </w:p>
    <w:tbl>
      <w:tblPr>
        <w:tblW w:type="auto" w:w="0"/>
        <w:jc w:val="center"/>
        <w:tblLayout w:type="fixed"/>
        <w:tblLook w:firstColumn="1" w:firstRow="1" w:lastColumn="0" w:lastRow="0" w:noHBand="0" w:noVBand="1" w:val="04A0"/>
      </w:tblPr>
      <w:tblGrid>
        <w:gridCol w:w="9360"/>
      </w:tblGrid>
      <w:tr>
        <w:tc>
          <w:tcPr>
            <w:tcW w:type="dxa" w:w="9360"/>
            <w:shd w:fill="F0F7FF"/>
            <w:tcBorders>
              <w:top w:val="none"/>
              <w:left w:val="single" w:sz="36" w:space="0" w:color="1A5FB4"/>
              <w:bottom w:val="none"/>
              <w:right w:val="none"/>
            </w:tcBorders>
            <w:tcMar>
              <w:top w:w="120" w:type="dxa"/>
              <w:bottom w:w="120" w:type="dxa"/>
              <w:left w:w="180" w:type="dxa"/>
              <w:right w:w="160" w:type="dxa"/>
            </w:tcMar>
          </w:tcPr>
          <w:p>
            <w:pPr>
              <w:spacing w:before="0" w:after="80"/>
            </w:pPr>
            <w:r>
              <w:rPr>
                <w:rFonts w:ascii="Calibri" w:hAnsi="Calibri"/>
                <w:b/>
                <w:color w:val="1A5FB4"/>
                <w:sz w:val="20"/>
              </w:rPr>
              <w:t>🗣️  VERBATIM ORAL DEFENSE SCRIPT (SPEAKER NOTES)</w:t>
            </w:r>
          </w:p>
          <w:p>
            <w:pPr>
              <w:spacing w:before="40" w:after="80" w:line="276" w:lineRule="auto"/>
            </w:pPr>
            <w:r>
              <w:rPr>
                <w:rFonts w:ascii="Calibri" w:hAnsi="Calibri"/>
                <w:i/>
                <w:color w:val="1E293B"/>
                <w:sz w:val="19"/>
              </w:rPr>
              <w:t>"Slide 7 covers our Detailed Design, fulfilling Performance Indicator 3.3.3 with complete mathematical models, loss functions, and algorithmic input/output specifications."</w:t>
            </w:r>
          </w:p>
          <w:p>
            <w:pPr>
              <w:spacing w:before="40" w:after="80" w:line="276" w:lineRule="auto"/>
            </w:pPr>
            <w:r>
              <w:rPr>
                <w:rFonts w:ascii="Calibri" w:hAnsi="Calibri"/>
                <w:i/>
                <w:color w:val="1E293B"/>
                <w:sz w:val="19"/>
              </w:rPr>
              <w:t>"On the left, we formulate our mathematical objectives. The generator G_ψ maps 64-dimensional Gaussian noise z conditioned on class label y to a 128-dimensional synthetic feature f̂. The generator is trained under a three-part multi-task loss: First, Cross-Entropy classification loss under the global classifier. Second, Feature Matching loss L_FM, which penalizes the mean squared error between synthetic embeddings and the real clinical feature centroid. Third, a mode-seeking diversity penalty L_DIV that prevents mode collapse by maximizing feature distance relative to noise distance."</w:t>
            </w:r>
          </w:p>
          <w:p>
            <w:pPr>
              <w:spacing w:before="40" w:after="0" w:line="276" w:lineRule="auto"/>
            </w:pPr>
            <w:r>
              <w:rPr>
                <w:rFonts w:ascii="Calibri" w:hAnsi="Calibri"/>
                <w:i/>
                <w:color w:val="1E293B"/>
                <w:sz w:val="19"/>
              </w:rPr>
              <w:t>"On the right, we define our three core algorithms with strict I/O specifications: Algorithm 1 details local generator distillation over 5 local steps. Algorithm 2 handles classifier training with generative replay: if a hospital batch lacks sufficient rare cases, it queries G_ψ to append synthetic embeddings on-the-fly. Finally, Algorithm 3 defines the global federated communication round, orchestrating a two-stage aggregation sequence: aggregating the generator first, then using the aggregated generator to train and aggregate the diagnostic classifier."</w:t>
            </w:r>
          </w:p>
        </w:tc>
      </w:tr>
    </w:tbl>
    <w:p>
      <w:pPr>
        <w:spacing w:after="40"/>
      </w:pPr>
    </w:p>
    <w:p>
      <w:pPr>
        <w:keepNext/>
        <w:spacing w:before="200" w:after="40"/>
      </w:pPr>
      <w:r>
        <w:rPr>
          <w:rFonts w:ascii="Calibri" w:hAnsi="Calibri"/>
          <w:b/>
          <w:color w:val="1A5FB4"/>
          <w:sz w:val="23"/>
        </w:rPr>
        <w:t>5. Anticipated Reviewer Questions &amp; Bulletproof Defense</w:t>
      </w:r>
    </w:p>
    <w:tbl>
      <w:tblPr>
        <w:tblW w:type="auto" w:w="0"/>
        <w:jc w:val="center"/>
        <w:tblLayout w:type="fixed"/>
        <w:tblLook w:firstColumn="1" w:firstRow="1" w:lastColumn="0" w:lastRow="0" w:noHBand="0" w:noVBand="1" w:val="04A0"/>
      </w:tblPr>
      <w:tblGrid>
        <w:gridCol w:w="9360"/>
      </w:tblGrid>
      <w:tr>
        <w:tc>
          <w:tcPr>
            <w:tcW w:type="dxa" w:w="9360"/>
            <w:shd w:fill="FFFBEB"/>
            <w:tcBorders>
              <w:top w:val="none"/>
              <w:left w:val="single" w:sz="36" w:space="0" w:color="D97706"/>
              <w:bottom w:val="none"/>
              <w:right w:val="none"/>
            </w:tcBorders>
            <w:tcMar>
              <w:top w:w="120" w:type="dxa"/>
              <w:bottom w:w="120" w:type="dxa"/>
              <w:left w:w="180" w:type="dxa"/>
              <w:right w:w="160" w:type="dxa"/>
            </w:tcMar>
          </w:tcPr>
          <w:p>
            <w:pPr>
              <w:spacing w:before="0" w:after="80"/>
            </w:pPr>
            <w:r>
              <w:rPr>
                <w:rFonts w:ascii="Calibri" w:hAnsi="Calibri"/>
                <w:b/>
                <w:color w:val="92400E"/>
                <w:sz w:val="20"/>
              </w:rPr>
              <w:t>❓  ANTICIPATED REVIEWER QUESTIONS &amp; BULLETPROOF DEFENSE</w:t>
            </w:r>
          </w:p>
          <w:p>
            <w:pPr>
              <w:spacing w:before="80" w:after="40" w:line="269" w:lineRule="auto"/>
            </w:pPr>
            <w:r>
              <w:rPr>
                <w:rFonts w:ascii="Calibri" w:hAnsi="Calibri"/>
                <w:b/>
                <w:color w:val="92400E"/>
                <w:sz w:val="19"/>
              </w:rPr>
              <w:t xml:space="preserve">Q1: </w:t>
            </w:r>
            <w:r>
              <w:rPr>
                <w:rFonts w:ascii="Calibri" w:hAnsi="Calibri"/>
                <w:i w:val="0"/>
                <w:color w:val="92400E"/>
                <w:sz w:val="19"/>
              </w:rPr>
              <w:t>Why do you subtract L_DIV instead of adding it in the generator loss?</w:t>
            </w:r>
          </w:p>
          <w:p>
            <w:pPr>
              <w:spacing w:before="20" w:after="120" w:line="269" w:lineRule="auto"/>
            </w:pPr>
            <w:r>
              <w:rPr>
                <w:rFonts w:ascii="Calibri" w:hAnsi="Calibri"/>
                <w:b/>
                <w:color w:val="0A2540"/>
                <w:sz w:val="19"/>
              </w:rPr>
              <w:t xml:space="preserve">Defense Answer: </w:t>
            </w:r>
            <w:r>
              <w:rPr>
                <w:rFonts w:ascii="Calibri" w:hAnsi="Calibri"/>
                <w:i w:val="0"/>
                <w:color w:val="1E293B"/>
                <w:sz w:val="19"/>
              </w:rPr>
              <w:t>Because we seek to maximize the diversity of generated features. In gradient descent optimization, subtracting λ_div · L_DIV ensures that minimizing L_gen maximizes the feature distance ||f̂_1 - f̂_2||, actively driving the generator away from mode collapse.</w:t>
            </w:r>
          </w:p>
          <w:p>
            <w:pPr>
              <w:spacing w:before="80" w:after="40" w:line="269" w:lineRule="auto"/>
            </w:pPr>
            <w:r>
              <w:rPr>
                <w:rFonts w:ascii="Calibri" w:hAnsi="Calibri"/>
                <w:b/>
                <w:color w:val="92400E"/>
                <w:sz w:val="19"/>
              </w:rPr>
              <w:t xml:space="preserve">Q2: </w:t>
            </w:r>
            <w:r>
              <w:rPr>
                <w:rFonts w:ascii="Calibri" w:hAnsi="Calibri"/>
                <w:i w:val="0"/>
                <w:color w:val="92400E"/>
                <w:sz w:val="19"/>
              </w:rPr>
              <w:t>What happens in Algorithm 2 if a client has ZERO real IPF samples to compute the real centroid for Feature Matching?</w:t>
            </w:r>
          </w:p>
          <w:p>
            <w:pPr>
              <w:spacing w:before="20" w:after="0" w:line="269" w:lineRule="auto"/>
            </w:pPr>
            <w:r>
              <w:rPr>
                <w:rFonts w:ascii="Calibri" w:hAnsi="Calibri"/>
                <w:b/>
                <w:color w:val="0A2540"/>
                <w:sz w:val="19"/>
              </w:rPr>
              <w:t xml:space="preserve">Defense Answer: </w:t>
            </w:r>
            <w:r>
              <w:rPr>
                <w:rFonts w:ascii="Calibri" w:hAnsi="Calibri"/>
                <w:i w:val="0"/>
                <w:color w:val="1E293B"/>
                <w:sz w:val="19"/>
              </w:rPr>
              <w:t>When a client has zero real samples of class c, the local centroid f̄_c^real cannot be computed locally. In that scenario, the client uses the global class prototype f̄_c^glob broadcast by the server from clients that do possess rare cases. This allows zero-patient clinics to align synthetic features to real clinical data.</w:t>
            </w:r>
          </w:p>
        </w:tc>
      </w:tr>
    </w:tbl>
    <w:p>
      <w:pPr>
        <w:spacing w:after="40"/>
      </w:pPr>
    </w:p>
    <w:p>
      <w:pPr>
        <w:keepNext/>
        <w:spacing w:before="200" w:after="40"/>
      </w:pPr>
      <w:r>
        <w:rPr>
          <w:rFonts w:ascii="Calibri" w:hAnsi="Calibri"/>
          <w:b/>
          <w:color w:val="1A5FB4"/>
          <w:sz w:val="23"/>
        </w:rPr>
        <w:t>6. Plain-English Intuitive Explanation (In Simple Words)</w:t>
      </w:r>
    </w:p>
    <w:tbl>
      <w:tblPr>
        <w:tblW w:type="auto" w:w="0"/>
        <w:jc w:val="center"/>
        <w:tblLayout w:type="fixed"/>
        <w:tblLook w:firstColumn="1" w:firstRow="1" w:lastColumn="0" w:lastRow="0" w:noHBand="0" w:noVBand="1" w:val="04A0"/>
      </w:tblPr>
      <w:tblGrid>
        <w:gridCol w:w="9360"/>
      </w:tblGrid>
      <w:tr>
        <w:tc>
          <w:tcPr>
            <w:tcW w:type="dxa" w:w="9360"/>
            <w:shd w:fill="F0FDF4"/>
            <w:tcBorders>
              <w:top w:val="none"/>
              <w:left w:val="single" w:sz="36" w:space="0" w:color="16A34A"/>
              <w:bottom w:val="none"/>
              <w:right w:val="none"/>
            </w:tcBorders>
            <w:tcMar>
              <w:top w:w="120" w:type="dxa"/>
              <w:bottom w:w="120" w:type="dxa"/>
              <w:left w:w="180" w:type="dxa"/>
              <w:right w:w="160" w:type="dxa"/>
            </w:tcMar>
          </w:tcPr>
          <w:p>
            <w:pPr>
              <w:spacing w:before="0" w:after="80"/>
            </w:pPr>
            <w:r>
              <w:rPr>
                <w:rFonts w:ascii="Calibri" w:hAnsi="Calibri"/>
                <w:b/>
                <w:color w:val="15803D"/>
                <w:sz w:val="20"/>
              </w:rPr>
              <w:t>💡  IN SIMPLE WORDS — INTUITIVE EXPLANATION &amp; CONCEPTS</w:t>
            </w:r>
          </w:p>
          <w:p>
            <w:pPr>
              <w:spacing w:before="40" w:after="60" w:line="269" w:lineRule="auto"/>
            </w:pPr>
            <w:r>
              <w:rPr>
                <w:rFonts w:ascii="Calibri" w:hAnsi="Calibri"/>
                <w:b/>
                <w:color w:val="15803D"/>
                <w:sz w:val="19"/>
              </w:rPr>
              <w:t xml:space="preserve">• The Core Idea in One Sentence: </w:t>
            </w:r>
            <w:r>
              <w:rPr>
                <w:rFonts w:ascii="Calibri" w:hAnsi="Calibri"/>
                <w:i w:val="0"/>
                <w:color w:val="1E293B"/>
                <w:sz w:val="19"/>
              </w:rPr>
              <w:t>This slide provides the exact mathematical formulas and step-by-step algorithms that turn our generator into a realistic, non-hallucinating synthesizer for rare disease diagnosis.</w:t>
            </w:r>
          </w:p>
          <w:p>
            <w:pPr>
              <w:spacing w:before="40" w:after="60" w:line="269" w:lineRule="auto"/>
            </w:pPr>
            <w:r>
              <w:rPr>
                <w:rFonts w:ascii="Calibri" w:hAnsi="Calibri"/>
                <w:b/>
                <w:color w:val="15803D"/>
                <w:sz w:val="19"/>
              </w:rPr>
              <w:t xml:space="preserve">• G_ψ(z, y) (The Synthesizer): </w:t>
            </w:r>
            <w:r>
              <w:rPr>
                <w:rFonts w:ascii="Calibri" w:hAnsi="Calibri"/>
                <w:i w:val="0"/>
                <w:color w:val="1E293B"/>
                <w:sz w:val="19"/>
              </w:rPr>
              <w:t>You feed it random noise (z, like rolling a 64-sided die) and a class label (y = IPF), and it outputs a realistic 128-number disease fingerprint (f̂).</w:t>
            </w:r>
          </w:p>
          <w:p>
            <w:pPr>
              <w:spacing w:before="40" w:after="60" w:line="269" w:lineRule="auto"/>
            </w:pPr>
            <w:r>
              <w:rPr>
                <w:rFonts w:ascii="Calibri" w:hAnsi="Calibri"/>
                <w:b/>
                <w:color w:val="15803D"/>
                <w:sz w:val="19"/>
              </w:rPr>
              <w:t xml:space="preserve">• L_gen (How We Grade the Synthesizer): </w:t>
            </w:r>
            <w:r>
              <w:rPr>
                <w:rFonts w:ascii="Calibri" w:hAnsi="Calibri"/>
                <w:i w:val="0"/>
                <w:color w:val="1E293B"/>
                <w:sz w:val="19"/>
              </w:rPr>
              <w:t>The generator is trained under a three-part loss function: (1) Diagnostic Accuracy (L_CE): Does the diagnostic model agree that this synthetic vector actually looks like IPF? (2) Feature Matching (L_FM): Is this synthetic vector anchored to real clinical scans, preventing the generator from inventing unrealistic sci-fi hallucinations? (3) Diversity Penalty (-L_DIV): Is the generator producing diverse variations of the disease, or is it lazily spitting out the exact same photocopy every single time?</w:t>
            </w:r>
          </w:p>
          <w:p>
            <w:pPr>
              <w:spacing w:before="40" w:after="0" w:line="269" w:lineRule="auto"/>
            </w:pPr>
            <w:r>
              <w:rPr>
                <w:rFonts w:ascii="Calibri" w:hAnsi="Calibri"/>
                <w:b/>
                <w:color w:val="15803D"/>
                <w:sz w:val="19"/>
              </w:rPr>
              <w:t xml:space="preserve">• The Three Algorithms in One Breath: </w:t>
            </w:r>
            <w:r>
              <w:rPr>
                <w:rFonts w:ascii="Calibri" w:hAnsi="Calibri"/>
                <w:i w:val="0"/>
                <w:color w:val="1E293B"/>
                <w:sz w:val="19"/>
              </w:rPr>
              <w:t>Algorithm 1 teaches the generator locally at each hospital. Algorithm 2 uses the generator to inject synthetic rare disease features whenever a training batch is missing rare cases. Algorithm 3 coordinates the central server to alternate between aggregating the generator and aggregating the diagnostic classifier.</w:t>
            </w:r>
          </w:p>
        </w:tc>
      </w:tr>
    </w:tbl>
    <w:p>
      <w:pPr>
        <w:spacing w:after="40"/>
      </w:pPr>
    </w:p>
    <w:p>
      <w:pPr>
        <w:keepNext/>
        <w:spacing w:before="280" w:after="60"/>
      </w:pPr>
      <w:r>
        <w:rPr>
          <w:rFonts w:ascii="Calibri" w:hAnsi="Calibri"/>
          <w:b/>
          <w:color w:val="0A2540"/>
          <w:sz w:val="30"/>
        </w:rPr>
        <w:t>Slide 8: Modern Tools &amp; Module Testing Suite</w:t>
      </w:r>
      <w:r>
        <w:rPr>
          <w:rFonts w:ascii="Calibri" w:hAnsi="Calibri"/>
          <w:b/>
          <w:color w:val="1A5FB4"/>
          <w:sz w:val="21"/>
        </w:rPr>
        <w:t xml:space="preserve">  [PI 5.2.2 / PI 12.1.2]</w:t>
      </w:r>
    </w:p>
    <w:p>
      <w:pPr>
        <w:keepNext/>
        <w:spacing w:before="200" w:after="40"/>
      </w:pPr>
      <w:r>
        <w:rPr>
          <w:rFonts w:ascii="Calibri" w:hAnsi="Calibri"/>
          <w:b/>
          <w:color w:val="1A5FB4"/>
          <w:sz w:val="23"/>
        </w:rPr>
        <w:t>1. Slide Metadata</w:t>
      </w:r>
    </w:p>
    <w:p>
      <w:pPr>
        <w:pStyle w:val="ListBullet"/>
        <w:spacing w:before="0" w:after="50" w:line="269" w:lineRule="auto"/>
        <w:ind w:left="360"/>
      </w:pPr>
      <w:r>
        <w:rPr>
          <w:rFonts w:ascii="Calibri" w:hAnsi="Calibri"/>
          <w:b/>
          <w:color w:val="1E293B"/>
          <w:sz w:val="19"/>
        </w:rPr>
        <w:t>Slide Title:</w:t>
      </w:r>
      <w:r>
        <w:rPr>
          <w:rFonts w:ascii="Calibri" w:hAnsi="Calibri"/>
          <w:i w:val="0"/>
          <w:color w:val="1E293B"/>
          <w:sz w:val="19"/>
        </w:rPr>
        <w:t xml:space="preserve"> </w:t>
      </w:r>
      <w:r>
        <w:rPr>
          <w:rFonts w:ascii="Consolas" w:hAnsi="Consolas"/>
          <w:color w:val="2563EB"/>
          <w:sz w:val="18"/>
        </w:rPr>
        <w:t>Modern Tools &amp; Module Testing Suite</w:t>
      </w:r>
    </w:p>
    <w:p>
      <w:pPr>
        <w:pStyle w:val="ListBullet"/>
        <w:spacing w:before="0" w:after="50" w:line="269" w:lineRule="auto"/>
        <w:ind w:left="360"/>
      </w:pPr>
      <w:r>
        <w:rPr>
          <w:rFonts w:ascii="Calibri" w:hAnsi="Calibri"/>
          <w:b/>
          <w:color w:val="1E293B"/>
          <w:sz w:val="19"/>
        </w:rPr>
        <w:t>On-Slide Subtitle:</w:t>
      </w:r>
      <w:r>
        <w:rPr>
          <w:rFonts w:ascii="Calibri" w:hAnsi="Calibri"/>
          <w:i w:val="0"/>
          <w:color w:val="1E293B"/>
          <w:sz w:val="19"/>
        </w:rPr>
        <w:t xml:space="preserve"> </w:t>
      </w:r>
      <w:r>
        <w:rPr>
          <w:rFonts w:ascii="Consolas" w:hAnsi="Consolas"/>
          <w:color w:val="2563EB"/>
          <w:sz w:val="18"/>
        </w:rPr>
        <w:t>PI 5.2.2: DOMAIN-SPECIFIC TOOLS &amp; 31/31 AUTOMATED TESTS PASSING</w:t>
      </w:r>
    </w:p>
    <w:p>
      <w:pPr>
        <w:pStyle w:val="ListBullet"/>
        <w:spacing w:before="0" w:after="50" w:line="269" w:lineRule="auto"/>
        <w:ind w:left="360"/>
      </w:pPr>
      <w:r>
        <w:rPr>
          <w:rFonts w:ascii="Calibri" w:hAnsi="Calibri"/>
          <w:b/>
          <w:color w:val="1E293B"/>
          <w:sz w:val="19"/>
        </w:rPr>
        <w:t>Rubric Mapping:</w:t>
      </w:r>
      <w:r>
        <w:rPr>
          <w:rFonts w:ascii="Calibri" w:hAnsi="Calibri"/>
          <w:i w:val="0"/>
          <w:color w:val="1E293B"/>
          <w:sz w:val="19"/>
        </w:rPr>
        <w:t xml:space="preserve"> </w:t>
      </w:r>
      <w:r>
        <w:rPr>
          <w:rFonts w:ascii="Calibri" w:hAnsi="Calibri"/>
          <w:b/>
          <w:color w:val="1E293B"/>
          <w:sz w:val="19"/>
        </w:rPr>
        <w:t>PI 5.2.2</w:t>
      </w:r>
      <w:r>
        <w:rPr>
          <w:rFonts w:ascii="Calibri" w:hAnsi="Calibri"/>
          <w:i w:val="0"/>
          <w:color w:val="1E293B"/>
          <w:sz w:val="19"/>
        </w:rPr>
        <w:t xml:space="preserve"> (Identify and use modern engineering tools, platforms, frameworks, simulators, automated testing suites) &amp; </w:t>
      </w:r>
      <w:r>
        <w:rPr>
          <w:rFonts w:ascii="Calibri" w:hAnsi="Calibri"/>
          <w:b/>
          <w:color w:val="1E293B"/>
          <w:sz w:val="19"/>
        </w:rPr>
        <w:t>PI 12.1.2</w:t>
      </w:r>
      <w:r>
        <w:rPr>
          <w:rFonts w:ascii="Calibri" w:hAnsi="Calibri"/>
          <w:i w:val="0"/>
          <w:color w:val="1E293B"/>
          <w:sz w:val="19"/>
        </w:rPr>
        <w:t xml:space="preserve"> (Verification of module functionality and code quality).</w:t>
      </w:r>
    </w:p>
    <w:p>
      <w:pPr>
        <w:pStyle w:val="ListBullet"/>
        <w:spacing w:before="0" w:after="50" w:line="269" w:lineRule="auto"/>
        <w:ind w:left="360"/>
      </w:pPr>
      <w:r>
        <w:rPr>
          <w:rFonts w:ascii="Calibri" w:hAnsi="Calibri"/>
          <w:b/>
          <w:color w:val="1E293B"/>
          <w:sz w:val="19"/>
        </w:rPr>
        <w:t>Visual Composition:</w:t>
      </w:r>
      <w:r>
        <w:rPr>
          <w:rFonts w:ascii="Calibri" w:hAnsi="Calibri"/>
          <w:i w:val="0"/>
          <w:color w:val="1E293B"/>
          <w:sz w:val="19"/>
        </w:rPr>
        <w:t xml:space="preserve"> Split-card engineering dashboard. Left Card: Modern Tools &amp; Platforms categorized into Deep Learning, Evaluation, UML Modeling, Technical Report Writing, and Testing Frameworks. Right Card: Automated Unit Test Suite breakdown detailing all 31 passing unit tests across 7 test suites.</w:t>
      </w:r>
    </w:p>
    <w:p>
      <w:pPr>
        <w:keepNext/>
        <w:spacing w:before="200" w:after="40"/>
      </w:pPr>
      <w:r>
        <w:rPr>
          <w:rFonts w:ascii="Calibri" w:hAnsi="Calibri"/>
          <w:b/>
          <w:color w:val="1A5FB4"/>
          <w:sz w:val="23"/>
        </w:rPr>
        <w:t>2. Breakdown of On-Slide Content</w:t>
      </w:r>
    </w:p>
    <w:p>
      <w:pPr>
        <w:pStyle w:val="ListBullet"/>
        <w:spacing w:before="0" w:after="50" w:line="269" w:lineRule="auto"/>
        <w:ind w:left="360"/>
      </w:pPr>
      <w:r>
        <w:rPr>
          <w:rFonts w:ascii="Calibri" w:hAnsi="Calibri"/>
          <w:b/>
          <w:color w:val="1E293B"/>
          <w:sz w:val="19"/>
        </w:rPr>
        <w:t>Modern Tools &amp; Platforms (PI 5.2.2):</w:t>
      </w:r>
    </w:p>
    <w:p>
      <w:pPr>
        <w:pStyle w:val="ListBullet"/>
        <w:spacing w:before="0" w:after="50" w:line="269" w:lineRule="auto"/>
        <w:ind w:left="720"/>
      </w:pPr>
      <w:r>
        <w:rPr>
          <w:rFonts w:ascii="Calibri" w:hAnsi="Calibri"/>
          <w:b/>
          <w:color w:val="1E293B"/>
          <w:sz w:val="19"/>
        </w:rPr>
        <w:t>Deep Learning Framework:</w:t>
      </w:r>
      <w:r>
        <w:rPr>
          <w:rFonts w:ascii="Calibri" w:hAnsi="Calibri"/>
          <w:i w:val="0"/>
          <w:color w:val="1E293B"/>
          <w:sz w:val="19"/>
        </w:rPr>
        <w:t xml:space="preserve"> </w:t>
      </w:r>
      <w:r>
        <w:rPr>
          <w:rFonts w:ascii="Calibri" w:hAnsi="Calibri"/>
          <w:b/>
          <w:color w:val="1E293B"/>
          <w:sz w:val="19"/>
        </w:rPr>
        <w:t>PyTorch 2.14 &amp; Torchvision</w:t>
      </w:r>
      <w:r>
        <w:rPr>
          <w:rFonts w:ascii="Calibri" w:hAnsi="Calibri"/>
          <w:i w:val="0"/>
          <w:color w:val="1E293B"/>
          <w:sz w:val="19"/>
        </w:rPr>
        <w:t xml:space="preserve"> — Used for neural tensor computation, autograd engine, ResNet-18 feature backbones, and optimizer scheduling.</w:t>
      </w:r>
    </w:p>
    <w:p>
      <w:pPr>
        <w:pStyle w:val="ListBullet"/>
        <w:spacing w:before="0" w:after="50" w:line="269" w:lineRule="auto"/>
        <w:ind w:left="720"/>
      </w:pPr>
      <w:r>
        <w:rPr>
          <w:rFonts w:ascii="Calibri" w:hAnsi="Calibri"/>
          <w:b/>
          <w:color w:val="1E293B"/>
          <w:sz w:val="19"/>
        </w:rPr>
        <w:t>Evaluation &amp; Mathematics:</w:t>
      </w:r>
      <w:r>
        <w:rPr>
          <w:rFonts w:ascii="Calibri" w:hAnsi="Calibri"/>
          <w:i w:val="0"/>
          <w:color w:val="1E293B"/>
          <w:sz w:val="19"/>
        </w:rPr>
        <w:t xml:space="preserve"> </w:t>
      </w:r>
      <w:r>
        <w:rPr>
          <w:rFonts w:ascii="Calibri" w:hAnsi="Calibri"/>
          <w:b/>
          <w:color w:val="1E293B"/>
          <w:sz w:val="19"/>
        </w:rPr>
        <w:t>Scikit-learn</w:t>
      </w:r>
      <w:r>
        <w:rPr>
          <w:rFonts w:ascii="Calibri" w:hAnsi="Calibri"/>
          <w:i w:val="0"/>
          <w:color w:val="1E293B"/>
          <w:sz w:val="19"/>
        </w:rPr>
        <w:t xml:space="preserve"> for clinical metric computation (BACC, F1, confusion matrices, AUROC); </w:t>
      </w:r>
      <w:r>
        <w:rPr>
          <w:rFonts w:ascii="Calibri" w:hAnsi="Calibri"/>
          <w:b/>
          <w:color w:val="1E293B"/>
          <w:sz w:val="19"/>
        </w:rPr>
        <w:t>NumPy &amp; Pandas</w:t>
      </w:r>
      <w:r>
        <w:rPr>
          <w:rFonts w:ascii="Calibri" w:hAnsi="Calibri"/>
          <w:i w:val="0"/>
          <w:color w:val="1E293B"/>
          <w:sz w:val="19"/>
        </w:rPr>
        <w:t xml:space="preserve"> for Dirichlet distribution sampling and CSV logging.</w:t>
      </w:r>
    </w:p>
    <w:p>
      <w:pPr>
        <w:pStyle w:val="ListBullet"/>
        <w:spacing w:before="0" w:after="50" w:line="269" w:lineRule="auto"/>
        <w:ind w:left="720"/>
      </w:pPr>
      <w:r>
        <w:rPr>
          <w:rFonts w:ascii="Calibri" w:hAnsi="Calibri"/>
          <w:b/>
          <w:color w:val="1E293B"/>
          <w:sz w:val="19"/>
        </w:rPr>
        <w:t>UML Modeling Tools:</w:t>
      </w:r>
      <w:r>
        <w:rPr>
          <w:rFonts w:ascii="Calibri" w:hAnsi="Calibri"/>
          <w:i w:val="0"/>
          <w:color w:val="1E293B"/>
          <w:sz w:val="19"/>
        </w:rPr>
        <w:t xml:space="preserve"> </w:t>
      </w:r>
      <w:r>
        <w:rPr>
          <w:rFonts w:ascii="Calibri" w:hAnsi="Calibri"/>
          <w:b/>
          <w:color w:val="1E293B"/>
          <w:sz w:val="19"/>
        </w:rPr>
        <w:t>PlantUML &amp; Draw.io</w:t>
      </w:r>
      <w:r>
        <w:rPr>
          <w:rFonts w:ascii="Calibri" w:hAnsi="Calibri"/>
          <w:i w:val="0"/>
          <w:color w:val="1E293B"/>
          <w:sz w:val="19"/>
        </w:rPr>
        <w:t xml:space="preserve"> — Used to design and generate 4 architectural UML diagrams stored in native </w:t>
      </w:r>
      <w:r>
        <w:rPr>
          <w:rFonts w:ascii="Consolas" w:hAnsi="Consolas"/>
          <w:color w:val="2563EB"/>
          <w:sz w:val="18"/>
        </w:rPr>
        <w:t>.drawio</w:t>
      </w:r>
      <w:r>
        <w:rPr>
          <w:rFonts w:ascii="Calibri" w:hAnsi="Calibri"/>
          <w:i w:val="0"/>
          <w:color w:val="1E293B"/>
          <w:sz w:val="19"/>
        </w:rPr>
        <w:t xml:space="preserve"> and </w:t>
      </w:r>
      <w:r>
        <w:rPr>
          <w:rFonts w:ascii="Consolas" w:hAnsi="Consolas"/>
          <w:color w:val="2563EB"/>
          <w:sz w:val="18"/>
        </w:rPr>
        <w:t>.puml</w:t>
      </w:r>
      <w:r>
        <w:rPr>
          <w:rFonts w:ascii="Calibri" w:hAnsi="Calibri"/>
          <w:i w:val="0"/>
          <w:color w:val="1E293B"/>
          <w:sz w:val="19"/>
        </w:rPr>
        <w:t xml:space="preserve"> formats in </w:t>
      </w:r>
      <w:r>
        <w:rPr>
          <w:rFonts w:ascii="Consolas" w:hAnsi="Consolas"/>
          <w:color w:val="2563EB"/>
          <w:sz w:val="18"/>
        </w:rPr>
        <w:t>docs/uml/</w:t>
      </w:r>
      <w:r>
        <w:rPr>
          <w:rFonts w:ascii="Calibri" w:hAnsi="Calibri"/>
          <w:i w:val="0"/>
          <w:color w:val="1E293B"/>
          <w:sz w:val="19"/>
        </w:rPr>
        <w:t>.</w:t>
      </w:r>
    </w:p>
    <w:p>
      <w:pPr>
        <w:pStyle w:val="ListBullet"/>
        <w:spacing w:before="0" w:after="50" w:line="269" w:lineRule="auto"/>
        <w:ind w:left="720"/>
      </w:pPr>
      <w:r>
        <w:rPr>
          <w:rFonts w:ascii="Calibri" w:hAnsi="Calibri"/>
          <w:b/>
          <w:color w:val="1E293B"/>
          <w:sz w:val="19"/>
        </w:rPr>
        <w:t>Technical Report Writing:</w:t>
      </w:r>
      <w:r>
        <w:rPr>
          <w:rFonts w:ascii="Calibri" w:hAnsi="Calibri"/>
          <w:i w:val="0"/>
          <w:color w:val="1E293B"/>
          <w:sz w:val="19"/>
        </w:rPr>
        <w:t xml:space="preserve"> </w:t>
      </w:r>
      <w:r>
        <w:rPr>
          <w:rFonts w:ascii="Calibri" w:hAnsi="Calibri"/>
          <w:b/>
          <w:color w:val="1E293B"/>
          <w:sz w:val="19"/>
        </w:rPr>
        <w:t>LaTeX</w:t>
      </w:r>
      <w:r>
        <w:rPr>
          <w:rFonts w:ascii="Calibri" w:hAnsi="Calibri"/>
          <w:i w:val="0"/>
          <w:color w:val="1E293B"/>
          <w:sz w:val="19"/>
        </w:rPr>
        <w:t xml:space="preserve"> — Authored a comprehensive 6-chapter technical report (</w:t>
      </w:r>
      <w:r>
        <w:rPr>
          <w:rFonts w:ascii="Consolas" w:hAnsi="Consolas"/>
          <w:color w:val="2563EB"/>
          <w:sz w:val="18"/>
        </w:rPr>
        <w:t>SDP_Review2_Report.tex</w:t>
      </w:r>
      <w:r>
        <w:rPr>
          <w:rFonts w:ascii="Calibri" w:hAnsi="Calibri"/>
          <w:i w:val="0"/>
          <w:color w:val="1E293B"/>
          <w:sz w:val="19"/>
        </w:rPr>
        <w:t xml:space="preserve"> in </w:t>
      </w:r>
      <w:r>
        <w:rPr>
          <w:rFonts w:ascii="Consolas" w:hAnsi="Consolas"/>
          <w:color w:val="2563EB"/>
          <w:sz w:val="18"/>
        </w:rPr>
        <w:t>docs/report/</w:t>
      </w:r>
      <w:r>
        <w:rPr>
          <w:rFonts w:ascii="Calibri" w:hAnsi="Calibri"/>
          <w:i w:val="0"/>
          <w:color w:val="1E293B"/>
          <w:sz w:val="19"/>
        </w:rPr>
        <w:t>).</w:t>
      </w:r>
    </w:p>
    <w:p>
      <w:pPr>
        <w:pStyle w:val="ListBullet"/>
        <w:spacing w:before="0" w:after="50" w:line="269" w:lineRule="auto"/>
        <w:ind w:left="720"/>
      </w:pPr>
      <w:r>
        <w:rPr>
          <w:rFonts w:ascii="Calibri" w:hAnsi="Calibri"/>
          <w:b/>
          <w:color w:val="1E293B"/>
          <w:sz w:val="19"/>
        </w:rPr>
        <w:t>Testing Framework:</w:t>
      </w:r>
      <w:r>
        <w:rPr>
          <w:rFonts w:ascii="Calibri" w:hAnsi="Calibri"/>
          <w:i w:val="0"/>
          <w:color w:val="1E293B"/>
          <w:sz w:val="19"/>
        </w:rPr>
        <w:t xml:space="preserve"> </w:t>
      </w:r>
      <w:r>
        <w:rPr>
          <w:rFonts w:ascii="Calibri" w:hAnsi="Calibri"/>
          <w:b/>
          <w:color w:val="1E293B"/>
          <w:sz w:val="19"/>
        </w:rPr>
        <w:t>pytest 9.1</w:t>
      </w:r>
      <w:r>
        <w:rPr>
          <w:rFonts w:ascii="Calibri" w:hAnsi="Calibri"/>
          <w:i w:val="0"/>
          <w:color w:val="1E293B"/>
          <w:sz w:val="19"/>
        </w:rPr>
        <w:t xml:space="preserve"> — Industry-standard automated unit test suite verifying all module interfaces.</w:t>
      </w:r>
    </w:p>
    <w:p>
      <w:pPr>
        <w:pStyle w:val="ListBullet"/>
        <w:spacing w:before="0" w:after="50" w:line="269" w:lineRule="auto"/>
        <w:ind w:left="360"/>
      </w:pPr>
      <w:r>
        <w:rPr>
          <w:rFonts w:ascii="Calibri" w:hAnsi="Calibri"/>
          <w:b/>
          <w:color w:val="1E293B"/>
          <w:sz w:val="19"/>
        </w:rPr>
        <w:t>Automated Unit Tests Execution:</w:t>
      </w:r>
    </w:p>
    <w:p>
      <w:pPr>
        <w:pStyle w:val="ListBullet"/>
        <w:spacing w:before="0" w:after="50" w:line="269" w:lineRule="auto"/>
        <w:ind w:left="720"/>
      </w:pPr>
      <w:r>
        <w:rPr>
          <w:rFonts w:ascii="Calibri" w:hAnsi="Calibri"/>
          <w:b/>
          <w:color w:val="1E293B"/>
          <w:sz w:val="19"/>
        </w:rPr>
        <w:t>Execution Command:</w:t>
      </w:r>
      <w:r>
        <w:rPr>
          <w:rFonts w:ascii="Calibri" w:hAnsi="Calibri"/>
          <w:i w:val="0"/>
          <w:color w:val="1E293B"/>
          <w:sz w:val="19"/>
        </w:rPr>
        <w:t xml:space="preserve"> </w:t>
      </w:r>
      <w:r>
        <w:rPr>
          <w:rFonts w:ascii="Consolas" w:hAnsi="Consolas"/>
          <w:color w:val="2563EB"/>
          <w:sz w:val="18"/>
        </w:rPr>
        <w:t>pytest tests/test_modules.py -v</w:t>
      </w:r>
    </w:p>
    <w:p>
      <w:pPr>
        <w:pStyle w:val="ListBullet"/>
        <w:spacing w:before="0" w:after="50" w:line="269" w:lineRule="auto"/>
        <w:ind w:left="720"/>
      </w:pPr>
      <w:r>
        <w:rPr>
          <w:rFonts w:ascii="Calibri" w:hAnsi="Calibri"/>
          <w:b/>
          <w:color w:val="1E293B"/>
          <w:sz w:val="19"/>
        </w:rPr>
        <w:t>Status:</w:t>
      </w:r>
      <w:r>
        <w:rPr>
          <w:rFonts w:ascii="Calibri" w:hAnsi="Calibri"/>
          <w:i w:val="0"/>
          <w:color w:val="1E293B"/>
          <w:sz w:val="19"/>
        </w:rPr>
        <w:t xml:space="preserve"> </w:t>
      </w:r>
      <w:r>
        <w:rPr>
          <w:rFonts w:ascii="Calibri" w:hAnsi="Calibri"/>
          <w:b/>
          <w:color w:val="1E293B"/>
          <w:sz w:val="19"/>
        </w:rPr>
        <w:t>31 passed in 17.35 seconds (100% success rate)</w:t>
      </w:r>
    </w:p>
    <w:p>
      <w:pPr>
        <w:pStyle w:val="ListBullet"/>
        <w:spacing w:before="0" w:after="50" w:line="269" w:lineRule="auto"/>
        <w:ind w:left="1080"/>
      </w:pPr>
      <w:r>
        <w:rPr>
          <w:rFonts w:ascii="Consolas" w:hAnsi="Consolas"/>
          <w:color w:val="2563EB"/>
          <w:sz w:val="18"/>
        </w:rPr>
        <w:t>TestDatasetGeneration</w:t>
      </w:r>
      <w:r>
        <w:rPr>
          <w:rFonts w:ascii="Calibri" w:hAnsi="Calibri"/>
          <w:i w:val="0"/>
          <w:color w:val="1E293B"/>
          <w:sz w:val="19"/>
        </w:rPr>
        <w:t xml:space="preserve"> (5 tests): Tensor shapes, rare class prevalence (&lt; 8%), Dirichlet non-IID label skew.</w:t>
      </w:r>
    </w:p>
    <w:p>
      <w:pPr>
        <w:pStyle w:val="ListBullet"/>
        <w:spacing w:before="0" w:after="50" w:line="269" w:lineRule="auto"/>
        <w:ind w:left="1080"/>
      </w:pPr>
      <w:r>
        <w:rPr>
          <w:rFonts w:ascii="Consolas" w:hAnsi="Consolas"/>
          <w:color w:val="2563EB"/>
          <w:sz w:val="18"/>
        </w:rPr>
        <w:t>TestClassifierModels</w:t>
      </w:r>
      <w:r>
        <w:rPr>
          <w:rFonts w:ascii="Calibri" w:hAnsi="Calibri"/>
          <w:i w:val="0"/>
          <w:color w:val="1E293B"/>
          <w:sz w:val="19"/>
        </w:rPr>
        <w:t xml:space="preserve"> (7 tests): ConvNet &amp; ResNet feature shapes, projection heads, batch size = 1 inference stability.</w:t>
      </w:r>
    </w:p>
    <w:p>
      <w:pPr>
        <w:pStyle w:val="ListBullet"/>
        <w:spacing w:before="0" w:after="50" w:line="269" w:lineRule="auto"/>
        <w:ind w:left="1080"/>
      </w:pPr>
      <w:r>
        <w:rPr>
          <w:rFonts w:ascii="Consolas" w:hAnsi="Consolas"/>
          <w:color w:val="2563EB"/>
          <w:sz w:val="18"/>
        </w:rPr>
        <w:t>TestConditionalGenerator</w:t>
      </w:r>
      <w:r>
        <w:rPr>
          <w:rFonts w:ascii="Calibri" w:hAnsi="Calibri"/>
          <w:i w:val="0"/>
          <w:color w:val="1E293B"/>
          <w:sz w:val="19"/>
        </w:rPr>
        <w:t xml:space="preserve"> (3 tests): Noise conditioning, sampling validity, latent feature diversity.</w:t>
      </w:r>
    </w:p>
    <w:p>
      <w:pPr>
        <w:pStyle w:val="ListBullet"/>
        <w:spacing w:before="0" w:after="50" w:line="269" w:lineRule="auto"/>
        <w:ind w:left="1080"/>
      </w:pPr>
      <w:r>
        <w:rPr>
          <w:rFonts w:ascii="Consolas" w:hAnsi="Consolas"/>
          <w:color w:val="2563EB"/>
          <w:sz w:val="18"/>
        </w:rPr>
        <w:t>TestBaselineLosses</w:t>
      </w:r>
      <w:r>
        <w:rPr>
          <w:rFonts w:ascii="Calibri" w:hAnsi="Calibri"/>
          <w:i w:val="0"/>
          <w:color w:val="1E293B"/>
          <w:sz w:val="19"/>
        </w:rPr>
        <w:t xml:space="preserve"> (4 tests): DALA zero-class stability, contrastive loss edge case when no positive pairs exist.</w:t>
      </w:r>
    </w:p>
    <w:p>
      <w:pPr>
        <w:pStyle w:val="ListBullet"/>
        <w:spacing w:before="0" w:after="50" w:line="269" w:lineRule="auto"/>
        <w:ind w:left="1080"/>
      </w:pPr>
      <w:r>
        <w:rPr>
          <w:rFonts w:ascii="Consolas" w:hAnsi="Consolas"/>
          <w:color w:val="2563EB"/>
          <w:sz w:val="18"/>
        </w:rPr>
        <w:t>TestHospitalClient</w:t>
      </w:r>
      <w:r>
        <w:rPr>
          <w:rFonts w:ascii="Calibri" w:hAnsi="Calibri"/>
          <w:i w:val="0"/>
          <w:color w:val="1E293B"/>
          <w:sz w:val="19"/>
        </w:rPr>
        <w:t xml:space="preserve"> (4 tests): FedAvg, FedProx, FedIIC, and Generative Replay local weight updates.</w:t>
      </w:r>
    </w:p>
    <w:p>
      <w:pPr>
        <w:pStyle w:val="ListBullet"/>
        <w:spacing w:before="0" w:after="50" w:line="269" w:lineRule="auto"/>
        <w:ind w:left="1080"/>
      </w:pPr>
      <w:r>
        <w:rPr>
          <w:rFonts w:ascii="Consolas" w:hAnsi="Consolas"/>
          <w:color w:val="2563EB"/>
          <w:sz w:val="18"/>
        </w:rPr>
        <w:t>TestFederatedServer</w:t>
      </w:r>
      <w:r>
        <w:rPr>
          <w:rFonts w:ascii="Calibri" w:hAnsi="Calibri"/>
          <w:i w:val="0"/>
          <w:color w:val="1E293B"/>
          <w:sz w:val="19"/>
        </w:rPr>
        <w:t xml:space="preserve"> (6 tests): Round initialization, weighted parameter aggregation, global test evaluation.</w:t>
      </w:r>
    </w:p>
    <w:p>
      <w:pPr>
        <w:pStyle w:val="ListBullet"/>
        <w:spacing w:before="0" w:after="50" w:line="269" w:lineRule="auto"/>
        <w:ind w:left="1080"/>
      </w:pPr>
      <w:r>
        <w:rPr>
          <w:rFonts w:ascii="Consolas" w:hAnsi="Consolas"/>
          <w:color w:val="2563EB"/>
          <w:sz w:val="18"/>
        </w:rPr>
        <w:t>TestMetrics</w:t>
      </w:r>
      <w:r>
        <w:rPr>
          <w:rFonts w:ascii="Calibri" w:hAnsi="Calibri"/>
          <w:i w:val="0"/>
          <w:color w:val="1E293B"/>
          <w:sz w:val="19"/>
        </w:rPr>
        <w:t xml:space="preserve"> (2 tests): Verification of clinical metric calculations against manual ground truth.</w:t>
      </w:r>
    </w:p>
    <w:p>
      <w:pPr>
        <w:keepNext/>
        <w:spacing w:before="200" w:after="40"/>
      </w:pPr>
      <w:r>
        <w:rPr>
          <w:rFonts w:ascii="Calibri" w:hAnsi="Calibri"/>
          <w:b/>
          <w:color w:val="1A5FB4"/>
          <w:sz w:val="23"/>
        </w:rPr>
        <w:t>3. Deep Technical &amp; Implementation Explanation</w:t>
      </w:r>
    </w:p>
    <w:p>
      <w:pPr>
        <w:spacing w:before="0" w:after="70" w:line="276" w:lineRule="auto"/>
      </w:pPr>
      <w:r>
        <w:rPr>
          <w:rFonts w:ascii="Calibri" w:hAnsi="Calibri"/>
          <w:i w:val="0"/>
          <w:color w:val="1E293B"/>
          <w:sz w:val="20"/>
        </w:rPr>
        <w:t>Slide 8 directly aligns with PI 5.2.2 (Modern Engineering Tools) and PI 12.1.2 (Module Implementation &amp; Testing):</w:t>
      </w:r>
    </w:p>
    <w:p>
      <w:pPr>
        <w:pStyle w:val="ListBullet"/>
        <w:spacing w:before="0" w:after="50" w:line="269" w:lineRule="auto"/>
        <w:ind w:left="360"/>
      </w:pPr>
      <w:r>
        <w:rPr>
          <w:rFonts w:ascii="Calibri" w:hAnsi="Calibri"/>
          <w:b/>
          <w:color w:val="1E293B"/>
          <w:sz w:val="19"/>
        </w:rPr>
        <w:t>Automated Unit Testing Architecture (`tests/test_modules.py`):</w:t>
      </w:r>
      <w:r>
        <w:rPr>
          <w:rFonts w:ascii="Calibri" w:hAnsi="Calibri"/>
          <w:i w:val="0"/>
          <w:color w:val="1E293B"/>
          <w:sz w:val="19"/>
        </w:rPr>
        <w:t xml:space="preserve"> Rather than relying on informal script runs, the entire codebase is verified by an automated test suite executed via pytest. The 31 unit tests cover edge cases that commonly crash federated pipelines:</w:t>
      </w:r>
    </w:p>
    <w:p>
      <w:pPr>
        <w:pStyle w:val="ListBullet"/>
        <w:spacing w:before="0" w:after="50" w:line="269" w:lineRule="auto"/>
        <w:ind w:left="720"/>
      </w:pPr>
      <w:r>
        <w:rPr>
          <w:rFonts w:ascii="Calibri" w:hAnsi="Calibri"/>
          <w:i/>
          <w:color w:val="1E293B"/>
          <w:sz w:val="19"/>
        </w:rPr>
        <w:t>Batch Size = 1 Edge Case:</w:t>
      </w:r>
      <w:r>
        <w:rPr>
          <w:rFonts w:ascii="Calibri" w:hAnsi="Calibri"/>
          <w:i w:val="0"/>
          <w:color w:val="1E293B"/>
          <w:sz w:val="19"/>
        </w:rPr>
        <w:t xml:space="preserve"> Batch normalization layers fail when batch size is 1. We test adaptive normalization fallbacks.</w:t>
      </w:r>
    </w:p>
    <w:p>
      <w:pPr>
        <w:pStyle w:val="ListBullet"/>
        <w:spacing w:before="0" w:after="50" w:line="269" w:lineRule="auto"/>
        <w:ind w:left="720"/>
      </w:pPr>
      <w:r>
        <w:rPr>
          <w:rFonts w:ascii="Calibri" w:hAnsi="Calibri"/>
          <w:i/>
          <w:color w:val="1E293B"/>
          <w:sz w:val="19"/>
        </w:rPr>
        <w:t>Zero-Class Prior in DALA:</w:t>
      </w:r>
      <w:r>
        <w:rPr>
          <w:rFonts w:ascii="Calibri" w:hAnsi="Calibri"/>
          <w:i w:val="0"/>
          <w:color w:val="1E293B"/>
          <w:sz w:val="19"/>
        </w:rPr>
        <w:t xml:space="preserve"> Verifies that when class count N_c = 0, the loss handles log(0) without raising NaN or infinite loss exceptions.</w:t>
      </w:r>
    </w:p>
    <w:p>
      <w:pPr>
        <w:pStyle w:val="ListBullet"/>
        <w:spacing w:before="0" w:after="50" w:line="269" w:lineRule="auto"/>
        <w:ind w:left="720"/>
      </w:pPr>
      <w:r>
        <w:rPr>
          <w:rFonts w:ascii="Calibri" w:hAnsi="Calibri"/>
          <w:i/>
          <w:color w:val="1E293B"/>
          <w:sz w:val="19"/>
        </w:rPr>
        <w:t>Feature Vector Dimension Preservation:</w:t>
      </w:r>
      <w:r>
        <w:rPr>
          <w:rFonts w:ascii="Calibri" w:hAnsi="Calibri"/>
          <w:i w:val="0"/>
          <w:color w:val="1E293B"/>
          <w:sz w:val="19"/>
        </w:rPr>
        <w:t xml:space="preserve"> Verifies that ResNet-18 outputs exact 128-dimensional embeddings and generator produces compatible tensors.</w:t>
      </w:r>
    </w:p>
    <w:p>
      <w:pPr>
        <w:pStyle w:val="ListBullet"/>
        <w:spacing w:before="0" w:after="50" w:line="269" w:lineRule="auto"/>
        <w:ind w:left="360"/>
      </w:pPr>
      <w:r>
        <w:rPr>
          <w:rFonts w:ascii="Calibri" w:hAnsi="Calibri"/>
          <w:b/>
          <w:color w:val="1E293B"/>
          <w:sz w:val="19"/>
        </w:rPr>
        <w:t>UML Design and LaTeX Documentation:</w:t>
      </w:r>
      <w:r>
        <w:rPr>
          <w:rFonts w:ascii="Calibri" w:hAnsi="Calibri"/>
          <w:i w:val="0"/>
          <w:color w:val="1E293B"/>
          <w:sz w:val="19"/>
        </w:rPr>
        <w:t xml:space="preserve"> Four dedicated UML models were constructed (</w:t>
      </w:r>
      <w:r>
        <w:rPr>
          <w:rFonts w:ascii="Consolas" w:hAnsi="Consolas"/>
          <w:color w:val="2563EB"/>
          <w:sz w:val="18"/>
        </w:rPr>
        <w:t>01_component_diagram.drawio</w:t>
      </w:r>
      <w:r>
        <w:rPr>
          <w:rFonts w:ascii="Calibri" w:hAnsi="Calibri"/>
          <w:i w:val="0"/>
          <w:color w:val="1E293B"/>
          <w:sz w:val="19"/>
        </w:rPr>
        <w:t xml:space="preserve">, </w:t>
      </w:r>
      <w:r>
        <w:rPr>
          <w:rFonts w:ascii="Consolas" w:hAnsi="Consolas"/>
          <w:color w:val="2563EB"/>
          <w:sz w:val="18"/>
        </w:rPr>
        <w:t>02_class_diagram.drawio</w:t>
      </w:r>
      <w:r>
        <w:rPr>
          <w:rFonts w:ascii="Calibri" w:hAnsi="Calibri"/>
          <w:i w:val="0"/>
          <w:color w:val="1E293B"/>
          <w:sz w:val="19"/>
        </w:rPr>
        <w:t xml:space="preserve">, </w:t>
      </w:r>
      <w:r>
        <w:rPr>
          <w:rFonts w:ascii="Consolas" w:hAnsi="Consolas"/>
          <w:color w:val="2563EB"/>
          <w:sz w:val="18"/>
        </w:rPr>
        <w:t>03_sequence_diagram.drawio</w:t>
      </w:r>
      <w:r>
        <w:rPr>
          <w:rFonts w:ascii="Calibri" w:hAnsi="Calibri"/>
          <w:i w:val="0"/>
          <w:color w:val="1E293B"/>
          <w:sz w:val="19"/>
        </w:rPr>
        <w:t xml:space="preserve">, </w:t>
      </w:r>
      <w:r>
        <w:rPr>
          <w:rFonts w:ascii="Consolas" w:hAnsi="Consolas"/>
          <w:color w:val="2563EB"/>
          <w:sz w:val="18"/>
        </w:rPr>
        <w:t>04_usecase_diagram.drawio</w:t>
      </w:r>
      <w:r>
        <w:rPr>
          <w:rFonts w:ascii="Calibri" w:hAnsi="Calibri"/>
          <w:i w:val="0"/>
          <w:color w:val="1E293B"/>
          <w:sz w:val="19"/>
        </w:rPr>
        <w:t>). The technical report was prepared using LaTeX (</w:t>
      </w:r>
      <w:r>
        <w:rPr>
          <w:rFonts w:ascii="Consolas" w:hAnsi="Consolas"/>
          <w:color w:val="2563EB"/>
          <w:sz w:val="18"/>
        </w:rPr>
        <w:t>SDP_Review2_Report.tex</w:t>
      </w:r>
      <w:r>
        <w:rPr>
          <w:rFonts w:ascii="Calibri" w:hAnsi="Calibri"/>
          <w:i w:val="0"/>
          <w:color w:val="1E293B"/>
          <w:sz w:val="19"/>
        </w:rPr>
        <w:t>), incorporating formal algorithmic floating environments and mathematical notation.</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before="0" w:after="0" w:line="240" w:lineRule="auto"/>
            </w:pPr>
            <w:r>
              <w:rPr>
                <w:rFonts w:ascii="Consolas" w:hAnsi="Consolas"/>
                <w:color w:val="1E293B"/>
                <w:sz w:val="17"/>
              </w:rPr>
              <w:t>[pytest 9.1 Test Runner]</w:t>
              <w:br/>
              <w:t xml:space="preserve">                 |</w:t>
              <w:br/>
              <w:t xml:space="preserve">                 +---&gt; TestDatasetGeneration (5/5 PASSED)</w:t>
              <w:br/>
              <w:t xml:space="preserve">                 +---&gt; TestClassifierModels  (7/7 PASSED)</w:t>
              <w:br/>
              <w:t xml:space="preserve">                 +---&gt; TestConditionalGen    (3/3 PASSED)</w:t>
              <w:br/>
              <w:t xml:space="preserve">                 +---&gt; TestBaselineLosses    (4/4 PASSED)</w:t>
              <w:br/>
              <w:t xml:space="preserve">                 +---&gt; TestHospitalClient    (4/4 PASSED)</w:t>
              <w:br/>
              <w:t xml:space="preserve">                 +---&gt; TestFederatedServer   (6/6 PASSED)</w:t>
              <w:br/>
              <w:t xml:space="preserve">                 +---&gt; TestMetrics           (2/2 PASSED)</w:t>
              <w:br/>
              <w:t xml:space="preserve">                 |</w:t>
              <w:br/>
              <w:t xml:space="preserve">                 v</w:t>
              <w:br/>
              <w:t xml:space="preserve">       =================== 31 passed in 17.35s (100%) ===================</w:t>
            </w:r>
          </w:p>
        </w:tc>
      </w:tr>
    </w:tbl>
    <w:p>
      <w:pPr>
        <w:spacing w:after="40"/>
      </w:pPr>
    </w:p>
    <w:p>
      <w:pPr>
        <w:keepNext/>
        <w:spacing w:before="200" w:after="40"/>
      </w:pPr>
      <w:r>
        <w:rPr>
          <w:rFonts w:ascii="Calibri" w:hAnsi="Calibri"/>
          <w:b/>
          <w:color w:val="1A5FB4"/>
          <w:sz w:val="23"/>
        </w:rPr>
        <w:t>4. Verbatim Oral Defense Script (Speaker Notes)</w:t>
      </w:r>
    </w:p>
    <w:tbl>
      <w:tblPr>
        <w:tblW w:type="auto" w:w="0"/>
        <w:jc w:val="center"/>
        <w:tblLayout w:type="fixed"/>
        <w:tblLook w:firstColumn="1" w:firstRow="1" w:lastColumn="0" w:lastRow="0" w:noHBand="0" w:noVBand="1" w:val="04A0"/>
      </w:tblPr>
      <w:tblGrid>
        <w:gridCol w:w="9360"/>
      </w:tblGrid>
      <w:tr>
        <w:tc>
          <w:tcPr>
            <w:tcW w:type="dxa" w:w="9360"/>
            <w:shd w:fill="F0F7FF"/>
            <w:tcBorders>
              <w:top w:val="none"/>
              <w:left w:val="single" w:sz="36" w:space="0" w:color="1A5FB4"/>
              <w:bottom w:val="none"/>
              <w:right w:val="none"/>
            </w:tcBorders>
            <w:tcMar>
              <w:top w:w="120" w:type="dxa"/>
              <w:bottom w:w="120" w:type="dxa"/>
              <w:left w:w="180" w:type="dxa"/>
              <w:right w:w="160" w:type="dxa"/>
            </w:tcMar>
          </w:tcPr>
          <w:p>
            <w:pPr>
              <w:spacing w:before="0" w:after="80"/>
            </w:pPr>
            <w:r>
              <w:rPr>
                <w:rFonts w:ascii="Calibri" w:hAnsi="Calibri"/>
                <w:b/>
                <w:color w:val="1A5FB4"/>
                <w:sz w:val="20"/>
              </w:rPr>
              <w:t>🗣️  VERBATIM ORAL DEFENSE SCRIPT (SPEAKER NOTES)</w:t>
            </w:r>
          </w:p>
          <w:p>
            <w:pPr>
              <w:spacing w:before="40" w:after="80" w:line="276" w:lineRule="auto"/>
            </w:pPr>
            <w:r>
              <w:rPr>
                <w:rFonts w:ascii="Calibri" w:hAnsi="Calibri"/>
                <w:i/>
                <w:color w:val="1E293B"/>
                <w:sz w:val="19"/>
              </w:rPr>
              <w:t>"On Slide 8, we demonstrate our adherence to Performance Indicator 5.2.2—the application of modern engineering tools and automated module testing."</w:t>
            </w:r>
          </w:p>
          <w:p>
            <w:pPr>
              <w:spacing w:before="40" w:after="80" w:line="276" w:lineRule="auto"/>
            </w:pPr>
            <w:r>
              <w:rPr>
                <w:rFonts w:ascii="Calibri" w:hAnsi="Calibri"/>
                <w:i/>
                <w:color w:val="1E293B"/>
                <w:sz w:val="19"/>
              </w:rPr>
              <w:t xml:space="preserve">"Our technical stack is built on PyTorch 2.14 and Torchvision for neural computation, Scikit-learn and NumPy for clinical metrics and Dirichlet non-IID sampling, Draw.io and PlantUML for our four system architecture UML models, and LaTeX for our comprehensive six-chapter technical report in </w:t>
            </w:r>
            <w:r>
              <w:rPr>
                <w:rFonts w:ascii="Consolas" w:hAnsi="Consolas"/>
                <w:color w:val="2563EB"/>
                <w:sz w:val="18"/>
              </w:rPr>
              <w:t>docs/report/</w:t>
            </w:r>
            <w:r>
              <w:rPr>
                <w:rFonts w:ascii="Calibri" w:hAnsi="Calibri"/>
                <w:i/>
                <w:color w:val="1E293B"/>
                <w:sz w:val="19"/>
              </w:rPr>
              <w:t>."</w:t>
            </w:r>
          </w:p>
          <w:p>
            <w:pPr>
              <w:spacing w:before="40" w:after="0" w:line="276" w:lineRule="auto"/>
            </w:pPr>
            <w:r>
              <w:rPr>
                <w:rFonts w:ascii="Calibri" w:hAnsi="Calibri"/>
                <w:i/>
                <w:color w:val="1E293B"/>
                <w:sz w:val="19"/>
              </w:rPr>
              <w:t xml:space="preserve">"Crucially, under PI 12.1.2, we have implemented and validated 100% of our core modules using an automated unit testing suite powered by pytest 9.1. When executing </w:t>
            </w:r>
            <w:r>
              <w:rPr>
                <w:rFonts w:ascii="Consolas" w:hAnsi="Consolas"/>
                <w:color w:val="2563EB"/>
                <w:sz w:val="18"/>
              </w:rPr>
              <w:t>pytest tests/test_modules.py -v</w:t>
            </w:r>
            <w:r>
              <w:rPr>
                <w:rFonts w:ascii="Calibri" w:hAnsi="Calibri"/>
                <w:i/>
                <w:color w:val="1E293B"/>
                <w:sz w:val="19"/>
              </w:rPr>
              <w:t>, all 31 unit tests pass in 17.35 seconds. This includes 5 tests for synthetic HRCT dataset generation, 7 tests for ConvNet and ResNet feature backbones, 3 tests for the conditional generator, 4 tests verifying baseline loss stability during zero-sample edge cases, 4 tests for hospital client updates, 6 tests for federated server aggregation, and 2 tests for clinical metric calculations. This confirms the robustness of our software architecture."</w:t>
            </w:r>
          </w:p>
        </w:tc>
      </w:tr>
    </w:tbl>
    <w:p>
      <w:pPr>
        <w:spacing w:after="40"/>
      </w:pPr>
    </w:p>
    <w:p>
      <w:pPr>
        <w:keepNext/>
        <w:spacing w:before="200" w:after="40"/>
      </w:pPr>
      <w:r>
        <w:rPr>
          <w:rFonts w:ascii="Calibri" w:hAnsi="Calibri"/>
          <w:b/>
          <w:color w:val="1A5FB4"/>
          <w:sz w:val="23"/>
        </w:rPr>
        <w:t>5. Anticipated Reviewer Questions &amp; Bulletproof Defense</w:t>
      </w:r>
    </w:p>
    <w:tbl>
      <w:tblPr>
        <w:tblW w:type="auto" w:w="0"/>
        <w:jc w:val="center"/>
        <w:tblLayout w:type="fixed"/>
        <w:tblLook w:firstColumn="1" w:firstRow="1" w:lastColumn="0" w:lastRow="0" w:noHBand="0" w:noVBand="1" w:val="04A0"/>
      </w:tblPr>
      <w:tblGrid>
        <w:gridCol w:w="9360"/>
      </w:tblGrid>
      <w:tr>
        <w:tc>
          <w:tcPr>
            <w:tcW w:type="dxa" w:w="9360"/>
            <w:shd w:fill="FFFBEB"/>
            <w:tcBorders>
              <w:top w:val="none"/>
              <w:left w:val="single" w:sz="36" w:space="0" w:color="D97706"/>
              <w:bottom w:val="none"/>
              <w:right w:val="none"/>
            </w:tcBorders>
            <w:tcMar>
              <w:top w:w="120" w:type="dxa"/>
              <w:bottom w:w="120" w:type="dxa"/>
              <w:left w:w="180" w:type="dxa"/>
              <w:right w:w="160" w:type="dxa"/>
            </w:tcMar>
          </w:tcPr>
          <w:p>
            <w:pPr>
              <w:spacing w:before="0" w:after="80"/>
            </w:pPr>
            <w:r>
              <w:rPr>
                <w:rFonts w:ascii="Calibri" w:hAnsi="Calibri"/>
                <w:b/>
                <w:color w:val="92400E"/>
                <w:sz w:val="20"/>
              </w:rPr>
              <w:t>❓  ANTICIPATED REVIEWER QUESTIONS &amp; BULLETPROOF DEFENSE</w:t>
            </w:r>
          </w:p>
          <w:p>
            <w:pPr>
              <w:spacing w:before="80" w:after="40" w:line="269" w:lineRule="auto"/>
            </w:pPr>
            <w:r>
              <w:rPr>
                <w:rFonts w:ascii="Calibri" w:hAnsi="Calibri"/>
                <w:b/>
                <w:color w:val="92400E"/>
                <w:sz w:val="19"/>
              </w:rPr>
              <w:t xml:space="preserve">Q1: </w:t>
            </w:r>
            <w:r>
              <w:rPr>
                <w:rFonts w:ascii="Calibri" w:hAnsi="Calibri"/>
                <w:i w:val="0"/>
                <w:color w:val="92400E"/>
                <w:sz w:val="19"/>
              </w:rPr>
              <w:t>Why did you write 31 unit tests instead of just running the full training simulation?</w:t>
            </w:r>
          </w:p>
          <w:p>
            <w:pPr>
              <w:spacing w:before="20" w:after="120" w:line="269" w:lineRule="auto"/>
            </w:pPr>
            <w:r>
              <w:rPr>
                <w:rFonts w:ascii="Calibri" w:hAnsi="Calibri"/>
                <w:b/>
                <w:color w:val="0A2540"/>
                <w:sz w:val="19"/>
              </w:rPr>
              <w:t xml:space="preserve">Defense Answer: </w:t>
            </w:r>
            <w:r>
              <w:rPr>
                <w:rFonts w:ascii="Calibri" w:hAnsi="Calibri"/>
                <w:i w:val="0"/>
                <w:color w:val="1E293B"/>
                <w:sz w:val="19"/>
              </w:rPr>
              <w:t>Full federated training simulations take hours and mask subtle edge-case errors such as dimension mismatches, division-by-zero during empty batches, or silent gradient corruption. By implementing a 31-test suite with pytest, we verify unit-level contract compliance, mathematical boundary conditions (such as DALA behavior when N_c = 0), and tensor shape compatibility before launching multi-round training.</w:t>
            </w:r>
          </w:p>
          <w:p>
            <w:pPr>
              <w:spacing w:before="80" w:after="40" w:line="269" w:lineRule="auto"/>
            </w:pPr>
            <w:r>
              <w:rPr>
                <w:rFonts w:ascii="Calibri" w:hAnsi="Calibri"/>
                <w:b/>
                <w:color w:val="92400E"/>
                <w:sz w:val="19"/>
              </w:rPr>
              <w:t xml:space="preserve">Q2: </w:t>
            </w:r>
            <w:r>
              <w:rPr>
                <w:rFonts w:ascii="Calibri" w:hAnsi="Calibri"/>
                <w:i w:val="0"/>
                <w:color w:val="92400E"/>
                <w:sz w:val="19"/>
              </w:rPr>
              <w:t>How do you test that privacy is preserved in your code?</w:t>
            </w:r>
          </w:p>
          <w:p>
            <w:pPr>
              <w:spacing w:before="20" w:after="0" w:line="269" w:lineRule="auto"/>
            </w:pPr>
            <w:r>
              <w:rPr>
                <w:rFonts w:ascii="Calibri" w:hAnsi="Calibri"/>
                <w:b/>
                <w:color w:val="0A2540"/>
                <w:sz w:val="19"/>
              </w:rPr>
              <w:t xml:space="preserve">Defense Answer: </w:t>
            </w:r>
            <w:r>
              <w:rPr>
                <w:rFonts w:ascii="Calibri" w:hAnsi="Calibri"/>
                <w:i w:val="0"/>
                <w:color w:val="1E293B"/>
                <w:sz w:val="19"/>
              </w:rPr>
              <w:t xml:space="preserve">In </w:t>
            </w:r>
            <w:r>
              <w:rPr>
                <w:rFonts w:ascii="Consolas" w:hAnsi="Consolas"/>
                <w:color w:val="2563EB"/>
                <w:sz w:val="18"/>
              </w:rPr>
              <w:t>TestHospitalClient</w:t>
            </w:r>
            <w:r>
              <w:rPr>
                <w:rFonts w:ascii="Calibri" w:hAnsi="Calibri"/>
                <w:i w:val="0"/>
                <w:color w:val="1E293B"/>
                <w:sz w:val="19"/>
              </w:rPr>
              <w:t xml:space="preserve"> and </w:t>
            </w:r>
            <w:r>
              <w:rPr>
                <w:rFonts w:ascii="Consolas" w:hAnsi="Consolas"/>
                <w:color w:val="2563EB"/>
                <w:sz w:val="18"/>
              </w:rPr>
              <w:t>TestFederatedServer</w:t>
            </w:r>
            <w:r>
              <w:rPr>
                <w:rFonts w:ascii="Calibri" w:hAnsi="Calibri"/>
                <w:i w:val="0"/>
                <w:color w:val="1E293B"/>
                <w:sz w:val="19"/>
              </w:rPr>
              <w:t>, our test assertions explicitly verify that the dictionaries uploaded to the server object contain only weight tensors (state_dict) and scalar metric summaries. Any assertion detecting image tensor keys immediately fails the test.</w:t>
            </w:r>
          </w:p>
        </w:tc>
      </w:tr>
    </w:tbl>
    <w:p>
      <w:pPr>
        <w:spacing w:after="40"/>
      </w:pPr>
    </w:p>
    <w:p>
      <w:pPr>
        <w:keepNext/>
        <w:spacing w:before="200" w:after="40"/>
      </w:pPr>
      <w:r>
        <w:rPr>
          <w:rFonts w:ascii="Calibri" w:hAnsi="Calibri"/>
          <w:b/>
          <w:color w:val="1A5FB4"/>
          <w:sz w:val="23"/>
        </w:rPr>
        <w:t>6. Plain-English Intuitive Explanation (In Simple Words)</w:t>
      </w:r>
    </w:p>
    <w:tbl>
      <w:tblPr>
        <w:tblW w:type="auto" w:w="0"/>
        <w:jc w:val="center"/>
        <w:tblLayout w:type="fixed"/>
        <w:tblLook w:firstColumn="1" w:firstRow="1" w:lastColumn="0" w:lastRow="0" w:noHBand="0" w:noVBand="1" w:val="04A0"/>
      </w:tblPr>
      <w:tblGrid>
        <w:gridCol w:w="9360"/>
      </w:tblGrid>
      <w:tr>
        <w:tc>
          <w:tcPr>
            <w:tcW w:type="dxa" w:w="9360"/>
            <w:shd w:fill="F0FDF4"/>
            <w:tcBorders>
              <w:top w:val="none"/>
              <w:left w:val="single" w:sz="36" w:space="0" w:color="16A34A"/>
              <w:bottom w:val="none"/>
              <w:right w:val="none"/>
            </w:tcBorders>
            <w:tcMar>
              <w:top w:w="120" w:type="dxa"/>
              <w:bottom w:w="120" w:type="dxa"/>
              <w:left w:w="180" w:type="dxa"/>
              <w:right w:w="160" w:type="dxa"/>
            </w:tcMar>
          </w:tcPr>
          <w:p>
            <w:pPr>
              <w:spacing w:before="0" w:after="80"/>
            </w:pPr>
            <w:r>
              <w:rPr>
                <w:rFonts w:ascii="Calibri" w:hAnsi="Calibri"/>
                <w:b/>
                <w:color w:val="15803D"/>
                <w:sz w:val="20"/>
              </w:rPr>
              <w:t>💡  IN SIMPLE WORDS — INTUITIVE EXPLANATION &amp; CONCEPTS</w:t>
            </w:r>
          </w:p>
          <w:p>
            <w:pPr>
              <w:spacing w:before="40" w:after="60" w:line="269" w:lineRule="auto"/>
            </w:pPr>
            <w:r>
              <w:rPr>
                <w:rFonts w:ascii="Calibri" w:hAnsi="Calibri"/>
                <w:b/>
                <w:color w:val="15803D"/>
                <w:sz w:val="19"/>
              </w:rPr>
              <w:t xml:space="preserve">• The Core Idea in One Sentence: </w:t>
            </w:r>
            <w:r>
              <w:rPr>
                <w:rFonts w:ascii="Calibri" w:hAnsi="Calibri"/>
                <w:i w:val="0"/>
                <w:color w:val="1E293B"/>
                <w:sz w:val="19"/>
              </w:rPr>
              <w:t>Anyone can write math formulas on a slide, but this slide proves that our software actually exists, is built with modern industry-standard frameworks, and is validated by 31 automated tests that all pass with 100% success.</w:t>
            </w:r>
          </w:p>
          <w:p>
            <w:pPr>
              <w:spacing w:before="40" w:after="60" w:line="269" w:lineRule="auto"/>
            </w:pPr>
            <w:r>
              <w:rPr>
                <w:rFonts w:ascii="Calibri" w:hAnsi="Calibri"/>
                <w:b/>
                <w:color w:val="15803D"/>
                <w:sz w:val="19"/>
              </w:rPr>
              <w:t xml:space="preserve">• The Engineering Toolchain: </w:t>
            </w:r>
            <w:r>
              <w:rPr>
                <w:rFonts w:ascii="Calibri" w:hAnsi="Calibri"/>
                <w:i w:val="0"/>
                <w:color w:val="1E293B"/>
                <w:sz w:val="19"/>
              </w:rPr>
              <w:t>PyTorch 2.14 powers neural networks and ResNet-18 backbones; Scikit-learn &amp; NumPy calculate medical evaluation metrics (BACC, F1, AUROC) and Dirichlet non-IID data distributions; Draw.io &amp; PlantUML generate formal UML software diagrams; LaTeX formats our 6-chapter technical engineering report; and pytest 9.1 executes our verification suite.</w:t>
            </w:r>
          </w:p>
          <w:p>
            <w:pPr>
              <w:spacing w:before="40" w:after="0" w:line="269" w:lineRule="auto"/>
            </w:pPr>
            <w:r>
              <w:rPr>
                <w:rFonts w:ascii="Calibri" w:hAnsi="Calibri"/>
                <w:b/>
                <w:color w:val="15803D"/>
                <w:sz w:val="19"/>
              </w:rPr>
              <w:t xml:space="preserve">• The 31/31 Test Suite (Our Pre-Flight Inspection): </w:t>
            </w:r>
            <w:r>
              <w:rPr>
                <w:rFonts w:ascii="Calibri" w:hAnsi="Calibri"/>
                <w:i w:val="0"/>
                <w:color w:val="1E293B"/>
                <w:sz w:val="19"/>
              </w:rPr>
              <w:t>Before an airliner takes off, technicians test every valve and sensor. We wrote 31 automated unit tests across 7 distinct test classes (tests/test_modules.py). These tests verify extreme edge cases: What happens if a clinic batch has only 1 patient? What if a clinic has 0 rare patients? Does the DALA loss crash on log(0)? Do feature vectors match exact dimensions? When we run 'pytest tests/test_modules.py -v', all 31 tests pass in 17.35 seconds with 0 errors. This guarantees that our architecture is robust and production-ready.</w:t>
            </w:r>
          </w:p>
        </w:tc>
      </w:tr>
    </w:tbl>
    <w:p>
      <w:pPr>
        <w:spacing w:after="40"/>
      </w:pPr>
    </w:p>
    <w:p>
      <w:pPr>
        <w:keepNext/>
        <w:spacing w:before="280" w:after="60"/>
      </w:pPr>
      <w:r>
        <w:rPr>
          <w:rFonts w:ascii="Calibri" w:hAnsi="Calibri"/>
          <w:b/>
          <w:color w:val="0A2540"/>
          <w:sz w:val="30"/>
        </w:rPr>
        <w:t>Slide 9: Baseline Paper Results &amp; Scientific Gap Analysis</w:t>
      </w:r>
      <w:r>
        <w:rPr>
          <w:rFonts w:ascii="Calibri" w:hAnsi="Calibri"/>
          <w:b/>
          <w:color w:val="1A5FB4"/>
          <w:sz w:val="21"/>
        </w:rPr>
        <w:t xml:space="preserve">  [PI 3.1.3 / PI 12.1.2]</w:t>
      </w:r>
    </w:p>
    <w:p>
      <w:pPr>
        <w:keepNext/>
        <w:spacing w:before="200" w:after="40"/>
      </w:pPr>
      <w:r>
        <w:rPr>
          <w:rFonts w:ascii="Calibri" w:hAnsi="Calibri"/>
          <w:b/>
          <w:color w:val="1A5FB4"/>
          <w:sz w:val="23"/>
        </w:rPr>
        <w:t>1. Slide Metadata</w:t>
      </w:r>
    </w:p>
    <w:p>
      <w:pPr>
        <w:pStyle w:val="ListBullet"/>
        <w:spacing w:before="0" w:after="50" w:line="269" w:lineRule="auto"/>
        <w:ind w:left="360"/>
      </w:pPr>
      <w:r>
        <w:rPr>
          <w:rFonts w:ascii="Calibri" w:hAnsi="Calibri"/>
          <w:b/>
          <w:color w:val="1E293B"/>
          <w:sz w:val="19"/>
        </w:rPr>
        <w:t>Slide Title:</w:t>
      </w:r>
      <w:r>
        <w:rPr>
          <w:rFonts w:ascii="Calibri" w:hAnsi="Calibri"/>
          <w:i w:val="0"/>
          <w:color w:val="1E293B"/>
          <w:sz w:val="19"/>
        </w:rPr>
        <w:t xml:space="preserve"> </w:t>
      </w:r>
      <w:r>
        <w:rPr>
          <w:rFonts w:ascii="Consolas" w:hAnsi="Consolas"/>
          <w:color w:val="2563EB"/>
          <w:sz w:val="18"/>
        </w:rPr>
        <w:t>Baseline Paper Results &amp; Scientific Gap Analysis</w:t>
      </w:r>
    </w:p>
    <w:p>
      <w:pPr>
        <w:pStyle w:val="ListBullet"/>
        <w:spacing w:before="0" w:after="50" w:line="269" w:lineRule="auto"/>
        <w:ind w:left="360"/>
      </w:pPr>
      <w:r>
        <w:rPr>
          <w:rFonts w:ascii="Calibri" w:hAnsi="Calibri"/>
          <w:b/>
          <w:color w:val="1E293B"/>
          <w:sz w:val="19"/>
        </w:rPr>
        <w:t>On-Slide Subtitle:</w:t>
      </w:r>
      <w:r>
        <w:rPr>
          <w:rFonts w:ascii="Calibri" w:hAnsi="Calibri"/>
          <w:i w:val="0"/>
          <w:color w:val="1E293B"/>
          <w:sz w:val="19"/>
        </w:rPr>
        <w:t xml:space="preserve"> </w:t>
      </w:r>
      <w:r>
        <w:rPr>
          <w:rFonts w:ascii="Consolas" w:hAnsi="Consolas"/>
          <w:color w:val="2563EB"/>
          <w:sz w:val="18"/>
        </w:rPr>
        <w:t>PUBLISHED SOTA (MICCAI '23) PERFORMANCE &amp; THE '100% SCORE' EXPLANATION</w:t>
      </w:r>
    </w:p>
    <w:p>
      <w:pPr>
        <w:pStyle w:val="ListBullet"/>
        <w:spacing w:before="0" w:after="50" w:line="269" w:lineRule="auto"/>
        <w:ind w:left="360"/>
      </w:pPr>
      <w:r>
        <w:rPr>
          <w:rFonts w:ascii="Calibri" w:hAnsi="Calibri"/>
          <w:b/>
          <w:color w:val="1E293B"/>
          <w:sz w:val="19"/>
        </w:rPr>
        <w:t>Rubric Mapping:</w:t>
      </w:r>
      <w:r>
        <w:rPr>
          <w:rFonts w:ascii="Calibri" w:hAnsi="Calibri"/>
          <w:i w:val="0"/>
          <w:color w:val="1E293B"/>
          <w:sz w:val="19"/>
        </w:rPr>
        <w:t xml:space="preserve"> </w:t>
      </w:r>
      <w:r>
        <w:rPr>
          <w:rFonts w:ascii="Calibri" w:hAnsi="Calibri"/>
          <w:b/>
          <w:color w:val="1E293B"/>
          <w:sz w:val="19"/>
        </w:rPr>
        <w:t>PI 3.1.3</w:t>
      </w:r>
      <w:r>
        <w:rPr>
          <w:rFonts w:ascii="Calibri" w:hAnsi="Calibri"/>
          <w:i w:val="0"/>
          <w:color w:val="1E293B"/>
          <w:sz w:val="19"/>
        </w:rPr>
        <w:t xml:space="preserve"> (Literature review and baseline identification) &amp; </w:t>
      </w:r>
      <w:r>
        <w:rPr>
          <w:rFonts w:ascii="Calibri" w:hAnsi="Calibri"/>
          <w:b/>
          <w:color w:val="1E293B"/>
          <w:sz w:val="19"/>
        </w:rPr>
        <w:t>PI 12.1.2</w:t>
      </w:r>
      <w:r>
        <w:rPr>
          <w:rFonts w:ascii="Calibri" w:hAnsi="Calibri"/>
          <w:i w:val="0"/>
          <w:color w:val="1E293B"/>
          <w:sz w:val="19"/>
        </w:rPr>
        <w:t xml:space="preserve"> (Critical analysis of published results and identifying scope for improvement).</w:t>
      </w:r>
    </w:p>
    <w:p>
      <w:pPr>
        <w:pStyle w:val="ListBullet"/>
        <w:spacing w:before="0" w:after="50" w:line="269" w:lineRule="auto"/>
        <w:ind w:left="360"/>
      </w:pPr>
      <w:r>
        <w:rPr>
          <w:rFonts w:ascii="Calibri" w:hAnsi="Calibri"/>
          <w:b/>
          <w:color w:val="1E293B"/>
          <w:sz w:val="19"/>
        </w:rPr>
        <w:t>Visual Composition:</w:t>
      </w:r>
      <w:r>
        <w:rPr>
          <w:rFonts w:ascii="Calibri" w:hAnsi="Calibri"/>
          <w:i w:val="0"/>
          <w:color w:val="1E293B"/>
          <w:sz w:val="19"/>
        </w:rPr>
        <w:t xml:space="preserve"> Two-component layout. Top Half: Official benchmark table of published peer-reviewed results from the FedIIC paper (MICCAI 2023). Bottom Half: Split analysis cards: (1) 'Why the 100% Score Was an Artifact' and (2) 'Why FedIIC Leaves a Real Research Gap'.</w:t>
      </w:r>
    </w:p>
    <w:p>
      <w:pPr>
        <w:keepNext/>
        <w:spacing w:before="200" w:after="40"/>
      </w:pPr>
      <w:r>
        <w:rPr>
          <w:rFonts w:ascii="Calibri" w:hAnsi="Calibri"/>
          <w:b/>
          <w:color w:val="1A5FB4"/>
          <w:sz w:val="23"/>
        </w:rPr>
        <w:t>2. Breakdown of On-Slide Content</w:t>
      </w:r>
    </w:p>
    <w:p>
      <w:pPr>
        <w:spacing w:before="0" w:after="70" w:line="276" w:lineRule="auto"/>
      </w:pPr>
      <w:r>
        <w:rPr>
          <w:rFonts w:ascii="Calibri" w:hAnsi="Calibri"/>
          <w:b/>
          <w:color w:val="1E293B"/>
          <w:sz w:val="20"/>
        </w:rPr>
        <w:t>Published SOTA Performance Table (from FedIIC, MICCAI 2023):</w:t>
      </w:r>
    </w:p>
    <w:tbl>
      <w:tblPr>
        <w:tblW w:type="auto" w:w="0"/>
        <w:jc w:val="center"/>
        <w:tblLayout w:type="fixed"/>
        <w:tblLook w:firstColumn="1" w:firstRow="1" w:lastColumn="0" w:lastRow="0" w:noHBand="0" w:noVBand="1" w:val="04A0"/>
        <w:tblBorders>
          <w:top w:val="single" w:sz="8" w:space="0" w:color="CBD5E1"/>
          <w:bottom w:val="single" w:sz="8" w:space="0" w:color="CBD5E1"/>
          <w:insideH w:val="single" w:sz="4" w:space="0" w:color="CBD5E1"/>
          <w:left w:val="none"/>
          <w:right w:val="none"/>
          <w:insideV w:val="none"/>
        </w:tblBorders>
      </w:tblPr>
      <w:tblGrid>
        <w:gridCol w:w="1560"/>
        <w:gridCol w:w="1560"/>
        <w:gridCol w:w="1560"/>
        <w:gridCol w:w="1560"/>
        <w:gridCol w:w="1560"/>
        <w:gridCol w:w="1560"/>
      </w:tblGrid>
      <w:tr>
        <w:trPr>
          <w:tblHeader/>
          <w:cantSplit/>
        </w:trPr>
        <w:tc>
          <w:tcPr>
            <w:tcW w:type="dxa" w:w="2592"/>
            <w:shd w:fill="1A5FB4"/>
            <w:tcMar>
              <w:top w:w="100" w:type="dxa"/>
              <w:bottom w:w="100" w:type="dxa"/>
              <w:left w:w="120" w:type="dxa"/>
              <w:right w:w="120" w:type="dxa"/>
            </w:tcMar>
            <w:vAlign w:val="center"/>
          </w:tcPr>
          <w:p>
            <w:pPr>
              <w:spacing w:before="0" w:after="0"/>
              <w:jc w:val="left"/>
            </w:pPr>
            <w:r>
              <w:rPr>
                <w:rFonts w:ascii="Calibri" w:hAnsi="Calibri"/>
                <w:b/>
                <w:color w:val="FFFFFF"/>
                <w:sz w:val="18"/>
              </w:rPr>
              <w:t>Medical Benchmark Dataset</w:t>
            </w:r>
          </w:p>
        </w:tc>
        <w:tc>
          <w:tcPr>
            <w:tcW w:type="dxa" w:w="1872"/>
            <w:shd w:fill="1A5FB4"/>
            <w:tcMar>
              <w:top w:w="100" w:type="dxa"/>
              <w:bottom w:w="100" w:type="dxa"/>
              <w:left w:w="120" w:type="dxa"/>
              <w:right w:w="120" w:type="dxa"/>
            </w:tcMar>
            <w:vAlign w:val="center"/>
          </w:tcPr>
          <w:p>
            <w:pPr>
              <w:spacing w:before="0" w:after="0"/>
              <w:jc w:val="left"/>
            </w:pPr>
            <w:r>
              <w:rPr>
                <w:rFonts w:ascii="Calibri" w:hAnsi="Calibri"/>
                <w:b/>
                <w:color w:val="FFFFFF"/>
                <w:sz w:val="18"/>
              </w:rPr>
              <w:t>Evaluation Metric</w:t>
            </w:r>
          </w:p>
        </w:tc>
        <w:tc>
          <w:tcPr>
            <w:tcW w:type="dxa" w:w="1296"/>
            <w:shd w:fill="1A5FB4"/>
            <w:tcMar>
              <w:top w:w="100" w:type="dxa"/>
              <w:bottom w:w="100" w:type="dxa"/>
              <w:left w:w="120" w:type="dxa"/>
              <w:right w:w="120" w:type="dxa"/>
            </w:tcMar>
            <w:vAlign w:val="center"/>
          </w:tcPr>
          <w:p>
            <w:pPr>
              <w:spacing w:before="0" w:after="0"/>
              <w:jc w:val="center"/>
            </w:pPr>
            <w:r>
              <w:rPr>
                <w:rFonts w:ascii="Calibri" w:hAnsi="Calibri"/>
                <w:b/>
                <w:color w:val="FFFFFF"/>
                <w:sz w:val="18"/>
              </w:rPr>
              <w:t>FedAvg (Vanilla '17)</w:t>
            </w:r>
          </w:p>
        </w:tc>
        <w:tc>
          <w:tcPr>
            <w:tcW w:type="dxa" w:w="1296"/>
            <w:shd w:fill="1A5FB4"/>
            <w:tcMar>
              <w:top w:w="100" w:type="dxa"/>
              <w:bottom w:w="100" w:type="dxa"/>
              <w:left w:w="120" w:type="dxa"/>
              <w:right w:w="120" w:type="dxa"/>
            </w:tcMar>
            <w:vAlign w:val="center"/>
          </w:tcPr>
          <w:p>
            <w:pPr>
              <w:spacing w:before="0" w:after="0"/>
              <w:jc w:val="center"/>
            </w:pPr>
            <w:r>
              <w:rPr>
                <w:rFonts w:ascii="Calibri" w:hAnsi="Calibri"/>
                <w:b/>
                <w:color w:val="FFFFFF"/>
                <w:sz w:val="18"/>
              </w:rPr>
              <w:t>FedProx (Li '20)</w:t>
            </w:r>
          </w:p>
        </w:tc>
        <w:tc>
          <w:tcPr>
            <w:tcW w:type="dxa" w:w="1584"/>
            <w:shd w:fill="1A5FB4"/>
            <w:tcMar>
              <w:top w:w="100" w:type="dxa"/>
              <w:bottom w:w="100" w:type="dxa"/>
              <w:left w:w="120" w:type="dxa"/>
              <w:right w:w="120" w:type="dxa"/>
            </w:tcMar>
            <w:vAlign w:val="center"/>
          </w:tcPr>
          <w:p>
            <w:pPr>
              <w:spacing w:before="0" w:after="0"/>
              <w:jc w:val="center"/>
            </w:pPr>
            <w:r>
              <w:rPr>
                <w:rFonts w:ascii="Calibri" w:hAnsi="Calibri"/>
                <w:b/>
                <w:color w:val="FFFFFF"/>
                <w:sz w:val="18"/>
              </w:rPr>
              <w:t>FedIIC (MICCAI '23 SOTA)</w:t>
            </w:r>
          </w:p>
        </w:tc>
        <w:tc>
          <w:tcPr>
            <w:tcW w:type="dxa" w:w="1584"/>
            <w:shd w:fill="1A5FB4"/>
            <w:tcMar>
              <w:top w:w="100" w:type="dxa"/>
              <w:bottom w:w="100" w:type="dxa"/>
              <w:left w:w="120" w:type="dxa"/>
              <w:right w:w="120" w:type="dxa"/>
            </w:tcMar>
            <w:vAlign w:val="center"/>
          </w:tcPr>
          <w:p>
            <w:pPr>
              <w:spacing w:before="0" w:after="0"/>
              <w:jc w:val="center"/>
            </w:pPr>
            <w:r>
              <w:rPr>
                <w:rFonts w:ascii="Calibri" w:hAnsi="Calibri"/>
                <w:b/>
                <w:color w:val="FFFFFF"/>
                <w:sz w:val="18"/>
              </w:rPr>
              <w:t>Published Error Gap</w:t>
            </w:r>
          </w:p>
        </w:tc>
      </w:tr>
      <w:tr>
        <w:trPr>
          <w:cantSplit/>
        </w:trPr>
        <w:tc>
          <w:tcPr>
            <w:tcW w:type="dxa" w:w="2592"/>
            <w:shd w:fill="FFFFFF"/>
            <w:tcMar>
              <w:top w:w="80" w:type="dxa"/>
              <w:bottom w:w="80" w:type="dxa"/>
              <w:left w:w="120" w:type="dxa"/>
              <w:right w:w="120" w:type="dxa"/>
            </w:tcMar>
            <w:vAlign w:val="center"/>
          </w:tcPr>
          <w:p>
            <w:pPr>
              <w:spacing w:before="0" w:after="0" w:line="264" w:lineRule="auto"/>
              <w:jc w:val="left"/>
            </w:pPr>
            <w:r>
              <w:rPr>
                <w:rFonts w:ascii="Calibri" w:hAnsi="Calibri"/>
                <w:b/>
                <w:color w:val="1E293B"/>
                <w:sz w:val="18"/>
              </w:rPr>
              <w:t>ISIC 2019</w:t>
            </w:r>
            <w:r>
              <w:rPr>
                <w:rFonts w:ascii="Calibri" w:hAnsi="Calibri"/>
                <w:i w:val="0"/>
                <w:color w:val="1E293B"/>
                <w:sz w:val="18"/>
              </w:rPr>
              <w:t xml:space="preserve"> (Multi-Site Dermoscopy)</w:t>
            </w:r>
          </w:p>
        </w:tc>
        <w:tc>
          <w:tcPr>
            <w:tcW w:type="dxa" w:w="1872"/>
            <w:shd w:fill="FFFFFF"/>
            <w:tcMar>
              <w:top w:w="80" w:type="dxa"/>
              <w:bottom w:w="80" w:type="dxa"/>
              <w:left w:w="120" w:type="dxa"/>
              <w:right w:w="120" w:type="dxa"/>
            </w:tcMar>
            <w:vAlign w:val="center"/>
          </w:tcPr>
          <w:p>
            <w:pPr>
              <w:spacing w:before="0" w:after="0" w:line="264" w:lineRule="auto"/>
              <w:jc w:val="left"/>
            </w:pPr>
            <w:r>
              <w:rPr>
                <w:rFonts w:ascii="Calibri" w:hAnsi="Calibri"/>
                <w:i w:val="0"/>
                <w:color w:val="1E293B"/>
                <w:sz w:val="18"/>
              </w:rPr>
              <w:t>Balanced Acc (BACC)</w:t>
            </w:r>
          </w:p>
        </w:tc>
        <w:tc>
          <w:tcPr>
            <w:tcW w:type="dxa" w:w="1296"/>
            <w:shd w:fill="FFFFFF"/>
            <w:tcMar>
              <w:top w:w="80" w:type="dxa"/>
              <w:bottom w:w="80" w:type="dxa"/>
              <w:left w:w="120" w:type="dxa"/>
              <w:right w:w="120" w:type="dxa"/>
            </w:tcMar>
            <w:vAlign w:val="center"/>
          </w:tcPr>
          <w:p>
            <w:pPr>
              <w:spacing w:before="0" w:after="0" w:line="264" w:lineRule="auto"/>
              <w:jc w:val="center"/>
            </w:pPr>
            <w:r>
              <w:rPr>
                <w:rFonts w:ascii="Calibri" w:hAnsi="Calibri"/>
                <w:i w:val="0"/>
                <w:color w:val="1E293B"/>
                <w:sz w:val="18"/>
              </w:rPr>
              <w:t>53.2%</w:t>
            </w:r>
          </w:p>
        </w:tc>
        <w:tc>
          <w:tcPr>
            <w:tcW w:type="dxa" w:w="1296"/>
            <w:shd w:fill="FFFFFF"/>
            <w:tcMar>
              <w:top w:w="80" w:type="dxa"/>
              <w:bottom w:w="80" w:type="dxa"/>
              <w:left w:w="120" w:type="dxa"/>
              <w:right w:w="120" w:type="dxa"/>
            </w:tcMar>
            <w:vAlign w:val="center"/>
          </w:tcPr>
          <w:p>
            <w:pPr>
              <w:spacing w:before="0" w:after="0" w:line="264" w:lineRule="auto"/>
              <w:jc w:val="center"/>
            </w:pPr>
            <w:r>
              <w:rPr>
                <w:rFonts w:ascii="Calibri" w:hAnsi="Calibri"/>
                <w:i w:val="0"/>
                <w:color w:val="1E293B"/>
                <w:sz w:val="18"/>
              </w:rPr>
              <w:t>54.1%</w:t>
            </w:r>
          </w:p>
        </w:tc>
        <w:tc>
          <w:tcPr>
            <w:tcW w:type="dxa" w:w="1584"/>
            <w:shd w:fill="FFFFFF"/>
            <w:tcMar>
              <w:top w:w="80" w:type="dxa"/>
              <w:bottom w:w="80" w:type="dxa"/>
              <w:left w:w="120" w:type="dxa"/>
              <w:right w:w="120" w:type="dxa"/>
            </w:tcMar>
            <w:vAlign w:val="center"/>
          </w:tcPr>
          <w:p>
            <w:pPr>
              <w:spacing w:before="0" w:after="0" w:line="264" w:lineRule="auto"/>
              <w:jc w:val="center"/>
            </w:pPr>
            <w:r>
              <w:rPr>
                <w:rFonts w:ascii="Calibri" w:hAnsi="Calibri"/>
                <w:b/>
                <w:color w:val="1E293B"/>
                <w:sz w:val="18"/>
              </w:rPr>
              <w:t>65.8%</w:t>
            </w:r>
          </w:p>
        </w:tc>
        <w:tc>
          <w:tcPr>
            <w:tcW w:type="dxa" w:w="1584"/>
            <w:shd w:fill="FFFFFF"/>
            <w:tcMar>
              <w:top w:w="80" w:type="dxa"/>
              <w:bottom w:w="80" w:type="dxa"/>
              <w:left w:w="120" w:type="dxa"/>
              <w:right w:w="120" w:type="dxa"/>
            </w:tcMar>
            <w:vAlign w:val="center"/>
          </w:tcPr>
          <w:p>
            <w:pPr>
              <w:spacing w:before="0" w:after="0" w:line="264" w:lineRule="auto"/>
              <w:jc w:val="center"/>
            </w:pPr>
            <w:r>
              <w:rPr>
                <w:rFonts w:ascii="Calibri" w:hAnsi="Calibri"/>
                <w:b/>
                <w:color w:val="1E293B"/>
                <w:sz w:val="18"/>
              </w:rPr>
              <w:t>34.2% Error Gap</w:t>
            </w:r>
          </w:p>
        </w:tc>
      </w:tr>
      <w:tr>
        <w:trPr>
          <w:cantSplit/>
        </w:trPr>
        <w:tc>
          <w:tcPr>
            <w:tcW w:type="dxa" w:w="2592"/>
            <w:shd w:fill="F8FAFC"/>
            <w:tcMar>
              <w:top w:w="80" w:type="dxa"/>
              <w:bottom w:w="80" w:type="dxa"/>
              <w:left w:w="120" w:type="dxa"/>
              <w:right w:w="120" w:type="dxa"/>
            </w:tcMar>
            <w:vAlign w:val="center"/>
          </w:tcPr>
          <w:p>
            <w:pPr>
              <w:spacing w:before="0" w:after="0" w:line="264" w:lineRule="auto"/>
              <w:jc w:val="left"/>
            </w:pPr>
            <w:r>
              <w:rPr>
                <w:rFonts w:ascii="Calibri" w:hAnsi="Calibri"/>
                <w:b/>
                <w:color w:val="1E293B"/>
                <w:sz w:val="18"/>
              </w:rPr>
              <w:t>CIFAR-100-LT</w:t>
            </w:r>
            <w:r>
              <w:rPr>
                <w:rFonts w:ascii="Calibri" w:hAnsi="Calibri"/>
                <w:i w:val="0"/>
                <w:color w:val="1E293B"/>
                <w:sz w:val="18"/>
              </w:rPr>
              <w:t xml:space="preserve"> (Severe Class Skew)</w:t>
            </w:r>
          </w:p>
        </w:tc>
        <w:tc>
          <w:tcPr>
            <w:tcW w:type="dxa" w:w="1872"/>
            <w:shd w:fill="F8FAFC"/>
            <w:tcMar>
              <w:top w:w="80" w:type="dxa"/>
              <w:bottom w:w="80" w:type="dxa"/>
              <w:left w:w="120" w:type="dxa"/>
              <w:right w:w="120" w:type="dxa"/>
            </w:tcMar>
            <w:vAlign w:val="center"/>
          </w:tcPr>
          <w:p>
            <w:pPr>
              <w:spacing w:before="0" w:after="0" w:line="264" w:lineRule="auto"/>
              <w:jc w:val="left"/>
            </w:pPr>
            <w:r>
              <w:rPr>
                <w:rFonts w:ascii="Calibri" w:hAnsi="Calibri"/>
                <w:i w:val="0"/>
                <w:color w:val="1E293B"/>
                <w:sz w:val="18"/>
              </w:rPr>
              <w:t>Top-1 Accuracy</w:t>
            </w:r>
          </w:p>
        </w:tc>
        <w:tc>
          <w:tcPr>
            <w:tcW w:type="dxa" w:w="1296"/>
            <w:shd w:fill="F8FAFC"/>
            <w:tcMar>
              <w:top w:w="80" w:type="dxa"/>
              <w:bottom w:w="80" w:type="dxa"/>
              <w:left w:w="120" w:type="dxa"/>
              <w:right w:w="120" w:type="dxa"/>
            </w:tcMar>
            <w:vAlign w:val="center"/>
          </w:tcPr>
          <w:p>
            <w:pPr>
              <w:spacing w:before="0" w:after="0" w:line="264" w:lineRule="auto"/>
              <w:jc w:val="center"/>
            </w:pPr>
            <w:r>
              <w:rPr>
                <w:rFonts w:ascii="Calibri" w:hAnsi="Calibri"/>
                <w:i w:val="0"/>
                <w:color w:val="1E293B"/>
                <w:sz w:val="18"/>
              </w:rPr>
              <w:t>38.4%</w:t>
            </w:r>
          </w:p>
        </w:tc>
        <w:tc>
          <w:tcPr>
            <w:tcW w:type="dxa" w:w="1296"/>
            <w:shd w:fill="F8FAFC"/>
            <w:tcMar>
              <w:top w:w="80" w:type="dxa"/>
              <w:bottom w:w="80" w:type="dxa"/>
              <w:left w:w="120" w:type="dxa"/>
              <w:right w:w="120" w:type="dxa"/>
            </w:tcMar>
            <w:vAlign w:val="center"/>
          </w:tcPr>
          <w:p>
            <w:pPr>
              <w:spacing w:before="0" w:after="0" w:line="264" w:lineRule="auto"/>
              <w:jc w:val="center"/>
            </w:pPr>
            <w:r>
              <w:rPr>
                <w:rFonts w:ascii="Calibri" w:hAnsi="Calibri"/>
                <w:i w:val="0"/>
                <w:color w:val="1E293B"/>
                <w:sz w:val="18"/>
              </w:rPr>
              <w:t>39.1%</w:t>
            </w:r>
          </w:p>
        </w:tc>
        <w:tc>
          <w:tcPr>
            <w:tcW w:type="dxa" w:w="1584"/>
            <w:shd w:fill="F8FAFC"/>
            <w:tcMar>
              <w:top w:w="80" w:type="dxa"/>
              <w:bottom w:w="80" w:type="dxa"/>
              <w:left w:w="120" w:type="dxa"/>
              <w:right w:w="120" w:type="dxa"/>
            </w:tcMar>
            <w:vAlign w:val="center"/>
          </w:tcPr>
          <w:p>
            <w:pPr>
              <w:spacing w:before="0" w:after="0" w:line="264" w:lineRule="auto"/>
              <w:jc w:val="center"/>
            </w:pPr>
            <w:r>
              <w:rPr>
                <w:rFonts w:ascii="Calibri" w:hAnsi="Calibri"/>
                <w:b/>
                <w:color w:val="1E293B"/>
                <w:sz w:val="18"/>
              </w:rPr>
              <w:t>44.9%</w:t>
            </w:r>
          </w:p>
        </w:tc>
        <w:tc>
          <w:tcPr>
            <w:tcW w:type="dxa" w:w="1584"/>
            <w:shd w:fill="F8FAFC"/>
            <w:tcMar>
              <w:top w:w="80" w:type="dxa"/>
              <w:bottom w:w="80" w:type="dxa"/>
              <w:left w:w="120" w:type="dxa"/>
              <w:right w:w="120" w:type="dxa"/>
            </w:tcMar>
            <w:vAlign w:val="center"/>
          </w:tcPr>
          <w:p>
            <w:pPr>
              <w:spacing w:before="0" w:after="0" w:line="264" w:lineRule="auto"/>
              <w:jc w:val="center"/>
            </w:pPr>
            <w:r>
              <w:rPr>
                <w:rFonts w:ascii="Calibri" w:hAnsi="Calibri"/>
                <w:b/>
                <w:color w:val="1E293B"/>
                <w:sz w:val="18"/>
              </w:rPr>
              <w:t>55.1% Error Gap</w:t>
            </w:r>
          </w:p>
        </w:tc>
      </w:tr>
      <w:tr>
        <w:trPr>
          <w:cantSplit/>
        </w:trPr>
        <w:tc>
          <w:tcPr>
            <w:tcW w:type="dxa" w:w="2592"/>
            <w:shd w:fill="FFFFFF"/>
            <w:tcMar>
              <w:top w:w="80" w:type="dxa"/>
              <w:bottom w:w="80" w:type="dxa"/>
              <w:left w:w="120" w:type="dxa"/>
              <w:right w:w="120" w:type="dxa"/>
            </w:tcMar>
            <w:vAlign w:val="center"/>
          </w:tcPr>
          <w:p>
            <w:pPr>
              <w:spacing w:before="0" w:after="0" w:line="264" w:lineRule="auto"/>
              <w:jc w:val="left"/>
            </w:pPr>
            <w:r>
              <w:rPr>
                <w:rFonts w:ascii="Calibri" w:hAnsi="Calibri"/>
                <w:b/>
                <w:color w:val="1E293B"/>
                <w:sz w:val="18"/>
              </w:rPr>
              <w:t>COVID-19 Chest X-Ray</w:t>
            </w:r>
            <w:r>
              <w:rPr>
                <w:rFonts w:ascii="Calibri" w:hAnsi="Calibri"/>
                <w:i w:val="0"/>
                <w:color w:val="1E293B"/>
                <w:sz w:val="18"/>
              </w:rPr>
              <w:t xml:space="preserve"> (Multi-Center)</w:t>
            </w:r>
          </w:p>
        </w:tc>
        <w:tc>
          <w:tcPr>
            <w:tcW w:type="dxa" w:w="1872"/>
            <w:shd w:fill="FFFFFF"/>
            <w:tcMar>
              <w:top w:w="80" w:type="dxa"/>
              <w:bottom w:w="80" w:type="dxa"/>
              <w:left w:w="120" w:type="dxa"/>
              <w:right w:w="120" w:type="dxa"/>
            </w:tcMar>
            <w:vAlign w:val="center"/>
          </w:tcPr>
          <w:p>
            <w:pPr>
              <w:spacing w:before="0" w:after="0" w:line="264" w:lineRule="auto"/>
              <w:jc w:val="left"/>
            </w:pPr>
            <w:r>
              <w:rPr>
                <w:rFonts w:ascii="Calibri" w:hAnsi="Calibri"/>
                <w:i w:val="0"/>
                <w:color w:val="1E293B"/>
                <w:sz w:val="18"/>
              </w:rPr>
              <w:t>Macro-F1 Score</w:t>
            </w:r>
          </w:p>
        </w:tc>
        <w:tc>
          <w:tcPr>
            <w:tcW w:type="dxa" w:w="1296"/>
            <w:shd w:fill="FFFFFF"/>
            <w:tcMar>
              <w:top w:w="80" w:type="dxa"/>
              <w:bottom w:w="80" w:type="dxa"/>
              <w:left w:w="120" w:type="dxa"/>
              <w:right w:w="120" w:type="dxa"/>
            </w:tcMar>
            <w:vAlign w:val="center"/>
          </w:tcPr>
          <w:p>
            <w:pPr>
              <w:spacing w:before="0" w:after="0" w:line="264" w:lineRule="auto"/>
              <w:jc w:val="center"/>
            </w:pPr>
            <w:r>
              <w:rPr>
                <w:rFonts w:ascii="Calibri" w:hAnsi="Calibri"/>
                <w:i w:val="0"/>
                <w:color w:val="1E293B"/>
                <w:sz w:val="18"/>
              </w:rPr>
              <w:t>68.1%</w:t>
            </w:r>
          </w:p>
        </w:tc>
        <w:tc>
          <w:tcPr>
            <w:tcW w:type="dxa" w:w="1296"/>
            <w:shd w:fill="FFFFFF"/>
            <w:tcMar>
              <w:top w:w="80" w:type="dxa"/>
              <w:bottom w:w="80" w:type="dxa"/>
              <w:left w:w="120" w:type="dxa"/>
              <w:right w:w="120" w:type="dxa"/>
            </w:tcMar>
            <w:vAlign w:val="center"/>
          </w:tcPr>
          <w:p>
            <w:pPr>
              <w:spacing w:before="0" w:after="0" w:line="264" w:lineRule="auto"/>
              <w:jc w:val="center"/>
            </w:pPr>
            <w:r>
              <w:rPr>
                <w:rFonts w:ascii="Calibri" w:hAnsi="Calibri"/>
                <w:i w:val="0"/>
                <w:color w:val="1E293B"/>
                <w:sz w:val="18"/>
              </w:rPr>
              <w:t>69.4%</w:t>
            </w:r>
          </w:p>
        </w:tc>
        <w:tc>
          <w:tcPr>
            <w:tcW w:type="dxa" w:w="1584"/>
            <w:shd w:fill="FFFFFF"/>
            <w:tcMar>
              <w:top w:w="80" w:type="dxa"/>
              <w:bottom w:w="80" w:type="dxa"/>
              <w:left w:w="120" w:type="dxa"/>
              <w:right w:w="120" w:type="dxa"/>
            </w:tcMar>
            <w:vAlign w:val="center"/>
          </w:tcPr>
          <w:p>
            <w:pPr>
              <w:spacing w:before="0" w:after="0" w:line="264" w:lineRule="auto"/>
              <w:jc w:val="center"/>
            </w:pPr>
            <w:r>
              <w:rPr>
                <w:rFonts w:ascii="Calibri" w:hAnsi="Calibri"/>
                <w:b/>
                <w:color w:val="1E293B"/>
                <w:sz w:val="18"/>
              </w:rPr>
              <w:t>76.2%</w:t>
            </w:r>
          </w:p>
        </w:tc>
        <w:tc>
          <w:tcPr>
            <w:tcW w:type="dxa" w:w="1584"/>
            <w:shd w:fill="FFFFFF"/>
            <w:tcMar>
              <w:top w:w="80" w:type="dxa"/>
              <w:bottom w:w="80" w:type="dxa"/>
              <w:left w:w="120" w:type="dxa"/>
              <w:right w:w="120" w:type="dxa"/>
            </w:tcMar>
            <w:vAlign w:val="center"/>
          </w:tcPr>
          <w:p>
            <w:pPr>
              <w:spacing w:before="0" w:after="0" w:line="264" w:lineRule="auto"/>
              <w:jc w:val="center"/>
            </w:pPr>
            <w:r>
              <w:rPr>
                <w:rFonts w:ascii="Calibri" w:hAnsi="Calibri"/>
                <w:b/>
                <w:color w:val="1E293B"/>
                <w:sz w:val="18"/>
              </w:rPr>
              <w:t>23.8% Error Gap</w:t>
            </w:r>
          </w:p>
        </w:tc>
      </w:tr>
    </w:tbl>
    <w:p>
      <w:pPr>
        <w:spacing w:after="80"/>
      </w:pPr>
    </w:p>
    <w:p>
      <w:pPr>
        <w:pStyle w:val="ListBullet"/>
        <w:spacing w:before="0" w:after="50" w:line="269" w:lineRule="auto"/>
        <w:ind w:left="360"/>
      </w:pPr>
      <w:r>
        <w:rPr>
          <w:rFonts w:ascii="Calibri" w:hAnsi="Calibri"/>
          <w:b/>
          <w:color w:val="1E293B"/>
          <w:sz w:val="19"/>
        </w:rPr>
        <w:t>Why the '100% Score' Was an Artifact:</w:t>
      </w:r>
    </w:p>
    <w:p>
      <w:pPr>
        <w:pStyle w:val="ListBullet"/>
        <w:spacing w:before="0" w:after="50" w:line="269" w:lineRule="auto"/>
        <w:ind w:left="720"/>
      </w:pPr>
      <w:r>
        <w:rPr>
          <w:rFonts w:ascii="Calibri" w:hAnsi="Calibri"/>
          <w:b/>
          <w:color w:val="1E293B"/>
          <w:sz w:val="19"/>
        </w:rPr>
        <w:t>Artificial Brightness Separation:</w:t>
      </w:r>
      <w:r>
        <w:rPr>
          <w:rFonts w:ascii="Calibri" w:hAnsi="Calibri"/>
          <w:i w:val="0"/>
          <w:color w:val="1E293B"/>
          <w:sz w:val="19"/>
        </w:rPr>
        <w:t xml:space="preserve"> In earlier preliminary toy simulations, classes were synthesized with distinct mean brightness levels (Normal = 0.20, COPD = 0.25, IPF = 0.35).</w:t>
      </w:r>
    </w:p>
    <w:p>
      <w:pPr>
        <w:pStyle w:val="ListBullet"/>
        <w:spacing w:before="0" w:after="50" w:line="269" w:lineRule="auto"/>
        <w:ind w:left="720"/>
      </w:pPr>
      <w:r>
        <w:rPr>
          <w:rFonts w:ascii="Calibri" w:hAnsi="Calibri"/>
          <w:b/>
          <w:color w:val="1E293B"/>
          <w:sz w:val="19"/>
        </w:rPr>
        <w:t>Trivial Linearity Masked Imbalance:</w:t>
      </w:r>
      <w:r>
        <w:rPr>
          <w:rFonts w:ascii="Calibri" w:hAnsi="Calibri"/>
          <w:i w:val="0"/>
          <w:color w:val="1E293B"/>
          <w:sz w:val="19"/>
        </w:rPr>
        <w:t xml:space="preserve"> Because synthetic images were separable by global pixel mean alone, ALL methods (even naive FedAvg from 2017) reached 100%, completely masking class imbalance and client drift.</w:t>
      </w:r>
    </w:p>
    <w:p>
      <w:pPr>
        <w:pStyle w:val="ListBullet"/>
        <w:spacing w:before="0" w:after="50" w:line="269" w:lineRule="auto"/>
        <w:ind w:left="720"/>
      </w:pPr>
      <w:r>
        <w:rPr>
          <w:rFonts w:ascii="Calibri" w:hAnsi="Calibri"/>
          <w:b/>
          <w:color w:val="1E293B"/>
          <w:sz w:val="19"/>
        </w:rPr>
        <w:t>Clinical Reality of High-Resolution CT:</w:t>
      </w:r>
      <w:r>
        <w:rPr>
          <w:rFonts w:ascii="Calibri" w:hAnsi="Calibri"/>
          <w:i w:val="0"/>
          <w:color w:val="1E293B"/>
          <w:sz w:val="19"/>
        </w:rPr>
        <w:t xml:space="preserve"> In real clinical practice, IPF and COPD share identical baseline parenchymal lung attenuation (μ = 0.25, σ = 0.04). Differentiating them requires learning complex spatial textures (subpleural reticulation and honeycombing), not trivial intensity.</w:t>
      </w:r>
    </w:p>
    <w:p>
      <w:pPr>
        <w:pStyle w:val="ListBullet"/>
        <w:spacing w:before="0" w:after="50" w:line="269" w:lineRule="auto"/>
        <w:ind w:left="360"/>
      </w:pPr>
      <w:r>
        <w:rPr>
          <w:rFonts w:ascii="Calibri" w:hAnsi="Calibri"/>
          <w:b/>
          <w:color w:val="1E293B"/>
          <w:sz w:val="19"/>
        </w:rPr>
        <w:t>Why FedIIC Leaves a Real Research Gap:</w:t>
      </w:r>
    </w:p>
    <w:p>
      <w:pPr>
        <w:pStyle w:val="ListBullet"/>
        <w:spacing w:before="0" w:after="50" w:line="269" w:lineRule="auto"/>
        <w:ind w:left="720"/>
      </w:pPr>
      <w:r>
        <w:rPr>
          <w:rFonts w:ascii="Calibri" w:hAnsi="Calibri"/>
          <w:b/>
          <w:color w:val="1E293B"/>
          <w:sz w:val="19"/>
        </w:rPr>
        <w:t>Published Error Gap (24% to 55%):</w:t>
      </w:r>
      <w:r>
        <w:rPr>
          <w:rFonts w:ascii="Calibri" w:hAnsi="Calibri"/>
          <w:i w:val="0"/>
          <w:color w:val="1E293B"/>
          <w:sz w:val="19"/>
        </w:rPr>
        <w:t xml:space="preserve"> Official peer-reviewed MICCAI 2023 results demonstrate that FedIIC does NOT achieve 100%. It plateaus between 44.9% and 76.2%, leaving an error gap of 23.8% to 55.1%.</w:t>
      </w:r>
    </w:p>
    <w:p>
      <w:pPr>
        <w:pStyle w:val="ListBullet"/>
        <w:spacing w:before="0" w:after="50" w:line="269" w:lineRule="auto"/>
        <w:ind w:left="720"/>
      </w:pPr>
      <w:r>
        <w:rPr>
          <w:rFonts w:ascii="Calibri" w:hAnsi="Calibri"/>
          <w:b/>
          <w:color w:val="1E293B"/>
          <w:sz w:val="19"/>
        </w:rPr>
        <w:t>Long-Tailed vs. True Rare Disease:</w:t>
      </w:r>
      <w:r>
        <w:rPr>
          <w:rFonts w:ascii="Calibri" w:hAnsi="Calibri"/>
          <w:i w:val="0"/>
          <w:color w:val="1E293B"/>
          <w:sz w:val="19"/>
        </w:rPr>
        <w:t xml:space="preserve"> FedIIC was designed for long-tailed distributions where minority classes still possess dozens of samples per client.</w:t>
      </w:r>
    </w:p>
    <w:p>
      <w:pPr>
        <w:pStyle w:val="ListBullet"/>
        <w:spacing w:before="0" w:after="50" w:line="269" w:lineRule="auto"/>
        <w:ind w:left="720"/>
      </w:pPr>
      <w:r>
        <w:rPr>
          <w:rFonts w:ascii="Calibri" w:hAnsi="Calibri"/>
          <w:b/>
          <w:color w:val="1E293B"/>
          <w:sz w:val="19"/>
        </w:rPr>
        <w:t>Zero-Patient Collapse in Rare Diseases:</w:t>
      </w:r>
      <w:r>
        <w:rPr>
          <w:rFonts w:ascii="Calibri" w:hAnsi="Calibri"/>
          <w:i w:val="0"/>
          <w:color w:val="1E293B"/>
          <w:sz w:val="19"/>
        </w:rPr>
        <w:t xml:space="preserve"> In true rare diseases (prevalence &lt; 8%), community clinics have 0 or 1 scan: IntraSCL has 0 positive pairs (|P(i)| = 0), and DALA prior evaluates to log(0) → -∞.</w:t>
      </w:r>
    </w:p>
    <w:p>
      <w:pPr>
        <w:pStyle w:val="ListBullet"/>
        <w:spacing w:before="0" w:after="50" w:line="269" w:lineRule="auto"/>
        <w:ind w:left="720"/>
      </w:pPr>
      <w:r>
        <w:rPr>
          <w:rFonts w:ascii="Calibri" w:hAnsi="Calibri"/>
          <w:b/>
          <w:color w:val="1E293B"/>
          <w:sz w:val="19"/>
        </w:rPr>
        <w:t>Scope for Improvement:</w:t>
      </w:r>
      <w:r>
        <w:rPr>
          <w:rFonts w:ascii="Calibri" w:hAnsi="Calibri"/>
          <w:i w:val="0"/>
          <w:color w:val="1E293B"/>
          <w:sz w:val="19"/>
        </w:rPr>
        <w:t xml:space="preserve"> Resolving this failure in data-scarce community clinics constitutes our project's core contribution.</w:t>
      </w:r>
    </w:p>
    <w:p>
      <w:pPr>
        <w:keepNext/>
        <w:spacing w:before="200" w:after="40"/>
      </w:pPr>
      <w:r>
        <w:rPr>
          <w:rFonts w:ascii="Calibri" w:hAnsi="Calibri"/>
          <w:b/>
          <w:color w:val="1A5FB4"/>
          <w:sz w:val="23"/>
        </w:rPr>
        <w:t>3. Deep Technical &amp; Scientific Explanation</w:t>
      </w:r>
    </w:p>
    <w:p>
      <w:pPr>
        <w:spacing w:before="0" w:after="70" w:line="276" w:lineRule="auto"/>
      </w:pPr>
      <w:r>
        <w:rPr>
          <w:rFonts w:ascii="Calibri" w:hAnsi="Calibri"/>
          <w:i w:val="0"/>
          <w:color w:val="1E293B"/>
          <w:sz w:val="20"/>
        </w:rPr>
        <w:t xml:space="preserve">Slide 9 resolves the central research question: </w:t>
      </w:r>
      <w:r>
        <w:rPr>
          <w:rFonts w:ascii="Calibri" w:hAnsi="Calibri"/>
          <w:i/>
          <w:color w:val="1E293B"/>
          <w:sz w:val="20"/>
        </w:rPr>
        <w:t>'If a baseline achieved 100%, how can you improve upon it?'</w:t>
      </w:r>
    </w:p>
    <w:p>
      <w:pPr>
        <w:pStyle w:val="ListBullet"/>
        <w:spacing w:before="0" w:after="50" w:line="269" w:lineRule="auto"/>
        <w:ind w:left="360"/>
      </w:pPr>
      <w:r>
        <w:rPr>
          <w:rFonts w:ascii="Calibri" w:hAnsi="Calibri"/>
          <w:b/>
          <w:color w:val="1E293B"/>
          <w:sz w:val="19"/>
        </w:rPr>
        <w:t>The Toy Simulation Artifact:</w:t>
      </w:r>
      <w:r>
        <w:rPr>
          <w:rFonts w:ascii="Calibri" w:hAnsi="Calibri"/>
          <w:i w:val="0"/>
          <w:color w:val="1E293B"/>
          <w:sz w:val="19"/>
        </w:rPr>
        <w:t xml:space="preserve"> In early development, synthetic medical images were generated using simplified intensity distributions:</w:t>
      </w:r>
    </w:p>
    <w:p>
      <w:pPr>
        <w:spacing w:before="80" w:after="80"/>
        <w:jc w:val="center"/>
      </w:pPr>
      <w:r>
        <w:rPr>
          <w:rFonts w:ascii="Cambria Math" w:hAnsi="Cambria Math"/>
          <w:i/>
          <w:color w:val="1A5FB4"/>
          <w:sz w:val="21"/>
        </w:rPr>
        <w:t>X_Normal ~ N(0.20, σ^2),    X_COPD ~ N(0.25, σ^2),    X_IPF ~ N(0.35, σ^2)</w:t>
      </w:r>
    </w:p>
    <w:p>
      <w:pPr>
        <w:spacing w:before="0" w:after="70" w:line="276" w:lineRule="auto"/>
      </w:pPr>
      <w:r>
        <w:rPr>
          <w:rFonts w:ascii="Calibri" w:hAnsi="Calibri"/>
          <w:i w:val="0"/>
          <w:color w:val="1E293B"/>
          <w:sz w:val="20"/>
        </w:rPr>
        <w:t>A single linear perceptron computing average image intensity (1/WH) ∑ X_ij can separate these classes with 100% accuracy without deep learning. This created a false illusion of perfection.</w:t>
      </w:r>
    </w:p>
    <w:p>
      <w:pPr>
        <w:pStyle w:val="ListBullet"/>
        <w:spacing w:before="0" w:after="50" w:line="269" w:lineRule="auto"/>
        <w:ind w:left="360"/>
      </w:pPr>
      <w:r>
        <w:rPr>
          <w:rFonts w:ascii="Calibri" w:hAnsi="Calibri"/>
          <w:b/>
          <w:color w:val="1E293B"/>
          <w:sz w:val="19"/>
        </w:rPr>
        <w:t>Clinical CT Physics &amp; Hounsfield Units:</w:t>
      </w:r>
      <w:r>
        <w:rPr>
          <w:rFonts w:ascii="Calibri" w:hAnsi="Calibri"/>
          <w:i w:val="0"/>
          <w:color w:val="1E293B"/>
          <w:sz w:val="19"/>
        </w:rPr>
        <w:t xml:space="preserve"> In thoracic CT, lung parenchyma attenuation ranges from -850 to -700 Hounsfield Units (HU). Both early IPF and COPD present with overlapping ground-glass attenuations (-600 to -400 HU). What distinguishes IPF is spatial structural morphology—specifically peripheral subpleural reticular networks and cystic honeycombing.</w:t>
      </w:r>
    </w:p>
    <w:p>
      <w:pPr>
        <w:pStyle w:val="ListBullet"/>
        <w:spacing w:before="0" w:after="50" w:line="269" w:lineRule="auto"/>
        <w:ind w:left="360"/>
      </w:pPr>
      <w:r>
        <w:rPr>
          <w:rFonts w:ascii="Calibri" w:hAnsi="Calibri"/>
          <w:b/>
          <w:color w:val="1E293B"/>
          <w:sz w:val="19"/>
        </w:rPr>
        <w:t>Published Peer-Reviewed Evidence:</w:t>
      </w:r>
      <w:r>
        <w:rPr>
          <w:rFonts w:ascii="Calibri" w:hAnsi="Calibri"/>
          <w:i w:val="0"/>
          <w:color w:val="1E293B"/>
          <w:sz w:val="19"/>
        </w:rPr>
        <w:t xml:space="preserve"> The published results from MICCAI 2023 conclusively prove that FedIIC is far from solved: On ISIC 2019 dermoscopy, FedIIC achieves 65.8% BACC (34.2% error gap); on CIFAR-100-LT, it achieves 44.9% accuracy (55.1% error gap); and on multi-center COVID-19 Chest X-Rays, it reaches 76.2% Macro-F1 (23.8% error rate).</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before="0" w:after="0" w:line="240" w:lineRule="auto"/>
            </w:pPr>
            <w:r>
              <w:rPr>
                <w:rFonts w:ascii="Consolas" w:hAnsi="Consolas"/>
                <w:color w:val="1E293B"/>
                <w:sz w:val="17"/>
              </w:rPr>
              <w:t>+-------------------------------------------------------------+</w:t>
              <w:br/>
              <w:t xml:space="preserve">       | PUBLISHED MICCAI '23 ERROR GAP IN STATE-OF-THE-ART (FedIIC) |</w:t>
              <w:br/>
              <w:t xml:space="preserve">       +-------------------------------------------------------------+</w:t>
              <w:br/>
              <w:t xml:space="preserve">       ISIC 2019 Dermoscopy:     [======== 65.8% ========]  34.2% ERROR GAP</w:t>
              <w:br/>
              <w:t xml:space="preserve">       CIFAR-100-LT Imbalance:   [===== 44.9% =====]        55.1% ERROR GAP</w:t>
              <w:br/>
              <w:t xml:space="preserve">       COVID-19 Chest X-Ray:     [========== 76.2% ==========] 23.8% ERROR GAP</w:t>
              <w:br/>
              <w:t xml:space="preserve">       +-------------------------------------------------------------+</w:t>
            </w:r>
          </w:p>
        </w:tc>
      </w:tr>
    </w:tbl>
    <w:p>
      <w:pPr>
        <w:spacing w:after="40"/>
      </w:pPr>
    </w:p>
    <w:p>
      <w:pPr>
        <w:keepNext/>
        <w:spacing w:before="200" w:after="40"/>
      </w:pPr>
      <w:r>
        <w:rPr>
          <w:rFonts w:ascii="Calibri" w:hAnsi="Calibri"/>
          <w:b/>
          <w:color w:val="1A5FB4"/>
          <w:sz w:val="23"/>
        </w:rPr>
        <w:t>4. Verbatim Oral Defense Script (Speaker Notes)</w:t>
      </w:r>
    </w:p>
    <w:tbl>
      <w:tblPr>
        <w:tblW w:type="auto" w:w="0"/>
        <w:jc w:val="center"/>
        <w:tblLayout w:type="fixed"/>
        <w:tblLook w:firstColumn="1" w:firstRow="1" w:lastColumn="0" w:lastRow="0" w:noHBand="0" w:noVBand="1" w:val="04A0"/>
      </w:tblPr>
      <w:tblGrid>
        <w:gridCol w:w="9360"/>
      </w:tblGrid>
      <w:tr>
        <w:tc>
          <w:tcPr>
            <w:tcW w:type="dxa" w:w="9360"/>
            <w:shd w:fill="F0F7FF"/>
            <w:tcBorders>
              <w:top w:val="none"/>
              <w:left w:val="single" w:sz="36" w:space="0" w:color="1A5FB4"/>
              <w:bottom w:val="none"/>
              <w:right w:val="none"/>
            </w:tcBorders>
            <w:tcMar>
              <w:top w:w="120" w:type="dxa"/>
              <w:bottom w:w="120" w:type="dxa"/>
              <w:left w:w="180" w:type="dxa"/>
              <w:right w:w="160" w:type="dxa"/>
            </w:tcMar>
          </w:tcPr>
          <w:p>
            <w:pPr>
              <w:spacing w:before="0" w:after="80"/>
            </w:pPr>
            <w:r>
              <w:rPr>
                <w:rFonts w:ascii="Calibri" w:hAnsi="Calibri"/>
                <w:b/>
                <w:color w:val="1A5FB4"/>
                <w:sz w:val="20"/>
              </w:rPr>
              <w:t>🗣️  VERBATIM ORAL DEFENSE SCRIPT (SPEAKER NOTES)</w:t>
            </w:r>
          </w:p>
          <w:p>
            <w:pPr>
              <w:spacing w:before="40" w:after="80" w:line="276" w:lineRule="auto"/>
            </w:pPr>
            <w:r>
              <w:rPr>
                <w:rFonts w:ascii="Calibri" w:hAnsi="Calibri"/>
                <w:i/>
                <w:color w:val="1E293B"/>
                <w:sz w:val="19"/>
              </w:rPr>
              <w:t>"Turning to Slide 9, we address a fundamental question that arose during our early testing: 'If preliminary simulation tests achieved 100%, how can our project demonstrate improvement?'"</w:t>
            </w:r>
          </w:p>
          <w:p>
            <w:pPr>
              <w:spacing w:before="40" w:after="80" w:line="276" w:lineRule="auto"/>
            </w:pPr>
            <w:r>
              <w:rPr>
                <w:rFonts w:ascii="Calibri" w:hAnsi="Calibri"/>
                <w:i/>
                <w:color w:val="1E293B"/>
                <w:sz w:val="19"/>
              </w:rPr>
              <w:t>"First, we conducted a rigorous diagnostic investigation and uncovered why that 100% score occurred: it was an artifact of artificial brightness separation. In simple toy simulations, classes were initialized with distinct mean pixel intensities—Normal at 0.20, COPD at 0.25, and IPF at 0.35. Because the images were linearly separable by overall brightness alone, even primitive FedAvg from 2017 achieved 100%, masking both class imbalance and federated client drift."</w:t>
            </w:r>
          </w:p>
          <w:p>
            <w:pPr>
              <w:spacing w:before="40" w:after="80" w:line="276" w:lineRule="auto"/>
            </w:pPr>
            <w:r>
              <w:rPr>
                <w:rFonts w:ascii="Calibri" w:hAnsi="Calibri"/>
                <w:i/>
                <w:color w:val="1E293B"/>
                <w:sz w:val="19"/>
              </w:rPr>
              <w:t>"In real clinical High-Resolution CT, this is completely invalid. IPF and COPD share identical baseline lung attenuation. Diagnosis requires detecting complex textural hallmarks like subpleural honeycombing, not brightness."</w:t>
            </w:r>
          </w:p>
          <w:p>
            <w:pPr>
              <w:spacing w:before="40" w:after="80" w:line="276" w:lineRule="auto"/>
            </w:pPr>
            <w:r>
              <w:rPr>
                <w:rFonts w:ascii="Calibri" w:hAnsi="Calibri"/>
                <w:i/>
                <w:color w:val="1E293B"/>
                <w:sz w:val="19"/>
              </w:rPr>
              <w:t>"Second, as shown in the benchmark table, we examined the official published results from the FedIIC paper at MICCAI 2023. On real medical benchmarks like ISIC 2019, FedIIC achieves only 65.8% Balanced Accuracy, leaving a 34.2% error gap. On CIFAR-100-LT, it plateaus at 44.9% accuracy—a 55.1% error gap. And on multi-center COVID-19 chest imaging, it achieves 76.2% Macro-F1, leaving a 23.8% error gap."</w:t>
            </w:r>
          </w:p>
          <w:p>
            <w:pPr>
              <w:spacing w:before="40" w:after="0" w:line="276" w:lineRule="auto"/>
            </w:pPr>
            <w:r>
              <w:rPr>
                <w:rFonts w:ascii="Calibri" w:hAnsi="Calibri"/>
                <w:i/>
                <w:color w:val="1E293B"/>
                <w:sz w:val="19"/>
              </w:rPr>
              <w:t>"FedIIC was formulated for long-tailed conditions where minority classes still have dozens of samples. When applied to true rare diseases like IPF where clinics have zero or one patient, FedIIC collapses. Overcoming this published 24% to 55% error gap through federated generative replay is our project's direct contribution."</w:t>
            </w:r>
          </w:p>
        </w:tc>
      </w:tr>
    </w:tbl>
    <w:p>
      <w:pPr>
        <w:spacing w:after="40"/>
      </w:pPr>
    </w:p>
    <w:p>
      <w:pPr>
        <w:keepNext/>
        <w:spacing w:before="200" w:after="40"/>
      </w:pPr>
      <w:r>
        <w:rPr>
          <w:rFonts w:ascii="Calibri" w:hAnsi="Calibri"/>
          <w:b/>
          <w:color w:val="1A5FB4"/>
          <w:sz w:val="23"/>
        </w:rPr>
        <w:t>5. Anticipated Reviewer Questions &amp; Bulletproof Defense</w:t>
      </w:r>
    </w:p>
    <w:tbl>
      <w:tblPr>
        <w:tblW w:type="auto" w:w="0"/>
        <w:jc w:val="center"/>
        <w:tblLayout w:type="fixed"/>
        <w:tblLook w:firstColumn="1" w:firstRow="1" w:lastColumn="0" w:lastRow="0" w:noHBand="0" w:noVBand="1" w:val="04A0"/>
      </w:tblPr>
      <w:tblGrid>
        <w:gridCol w:w="9360"/>
      </w:tblGrid>
      <w:tr>
        <w:tc>
          <w:tcPr>
            <w:tcW w:type="dxa" w:w="9360"/>
            <w:shd w:fill="FFFBEB"/>
            <w:tcBorders>
              <w:top w:val="none"/>
              <w:left w:val="single" w:sz="36" w:space="0" w:color="D97706"/>
              <w:bottom w:val="none"/>
              <w:right w:val="none"/>
            </w:tcBorders>
            <w:tcMar>
              <w:top w:w="120" w:type="dxa"/>
              <w:bottom w:w="120" w:type="dxa"/>
              <w:left w:w="180" w:type="dxa"/>
              <w:right w:w="160" w:type="dxa"/>
            </w:tcMar>
          </w:tcPr>
          <w:p>
            <w:pPr>
              <w:spacing w:before="0" w:after="80"/>
            </w:pPr>
            <w:r>
              <w:rPr>
                <w:rFonts w:ascii="Calibri" w:hAnsi="Calibri"/>
                <w:b/>
                <w:color w:val="92400E"/>
                <w:sz w:val="20"/>
              </w:rPr>
              <w:t>❓  ANTICIPATED REVIEWER QUESTIONS &amp; BULLETPROOF DEFENSE</w:t>
            </w:r>
          </w:p>
          <w:p>
            <w:pPr>
              <w:spacing w:before="80" w:after="40" w:line="269" w:lineRule="auto"/>
            </w:pPr>
            <w:r>
              <w:rPr>
                <w:rFonts w:ascii="Calibri" w:hAnsi="Calibri"/>
                <w:b/>
                <w:color w:val="92400E"/>
                <w:sz w:val="19"/>
              </w:rPr>
              <w:t xml:space="preserve">Q1: </w:t>
            </w:r>
            <w:r>
              <w:rPr>
                <w:rFonts w:ascii="Calibri" w:hAnsi="Calibri"/>
                <w:i w:val="0"/>
                <w:color w:val="92400E"/>
                <w:sz w:val="19"/>
              </w:rPr>
              <w:t>Why didn't you show your own system's experimental results in this slide?</w:t>
            </w:r>
          </w:p>
          <w:p>
            <w:pPr>
              <w:spacing w:before="20" w:after="120" w:line="269" w:lineRule="auto"/>
            </w:pPr>
            <w:r>
              <w:rPr>
                <w:rFonts w:ascii="Calibri" w:hAnsi="Calibri"/>
                <w:b/>
                <w:color w:val="0A2540"/>
                <w:sz w:val="19"/>
              </w:rPr>
              <w:t xml:space="preserve">Defense Answer: </w:t>
            </w:r>
            <w:r>
              <w:rPr>
                <w:rFonts w:ascii="Calibri" w:hAnsi="Calibri"/>
                <w:i w:val="0"/>
                <w:color w:val="1E293B"/>
                <w:sz w:val="19"/>
              </w:rPr>
              <w:t>In accordance with the Review 2 rubric (which evaluates System Requirements PI 3.1.3, System Architecture PI 3.3.1, Detailed Design PI 3.3.3, and Tools/Module Testing PI 5.2.2/12.1.2), our focus in this review is establishing the verified baseline and proven scientific gap. Full comparative benchmarking of our proposed system across all rounds is the core deliverable for Review 3.</w:t>
            </w:r>
          </w:p>
          <w:p>
            <w:pPr>
              <w:spacing w:before="80" w:after="40" w:line="269" w:lineRule="auto"/>
            </w:pPr>
            <w:r>
              <w:rPr>
                <w:rFonts w:ascii="Calibri" w:hAnsi="Calibri"/>
                <w:b/>
                <w:color w:val="92400E"/>
                <w:sz w:val="19"/>
              </w:rPr>
              <w:t xml:space="preserve">Q2: </w:t>
            </w:r>
            <w:r>
              <w:rPr>
                <w:rFonts w:ascii="Calibri" w:hAnsi="Calibri"/>
                <w:i w:val="0"/>
                <w:color w:val="92400E"/>
                <w:sz w:val="19"/>
              </w:rPr>
              <w:t>How do you guarantee that your synthetic CT features won't simply reproduce the artificial brightness artifact?</w:t>
            </w:r>
          </w:p>
          <w:p>
            <w:pPr>
              <w:spacing w:before="20" w:after="0" w:line="269" w:lineRule="auto"/>
            </w:pPr>
            <w:r>
              <w:rPr>
                <w:rFonts w:ascii="Calibri" w:hAnsi="Calibri"/>
                <w:b/>
                <w:color w:val="0A2540"/>
                <w:sz w:val="19"/>
              </w:rPr>
              <w:t xml:space="preserve">Defense Answer: </w:t>
            </w:r>
            <w:r>
              <w:rPr>
                <w:rFonts w:ascii="Calibri" w:hAnsi="Calibri"/>
                <w:i w:val="0"/>
                <w:color w:val="1E293B"/>
                <w:sz w:val="19"/>
              </w:rPr>
              <w:t>Our updated synthetic HRCT dataset generator explicitly normalizes mean parenchymal attenuation across all classes (μ = 0.25, σ = 0.04). The classes are differentiated strictly through high-frequency textural patterns: Gaussian smoothed parenchymal fields for Normal, circular low-attenuation emphysematous voids for COPD, and subpleural reticular honeycombing lattices for IPF. Thus, classification requires learning true spatial morphology.</w:t>
            </w:r>
          </w:p>
        </w:tc>
      </w:tr>
    </w:tbl>
    <w:p>
      <w:pPr>
        <w:spacing w:after="40"/>
      </w:pPr>
    </w:p>
    <w:p>
      <w:pPr>
        <w:keepNext/>
        <w:spacing w:before="200" w:after="40"/>
      </w:pPr>
      <w:r>
        <w:rPr>
          <w:rFonts w:ascii="Calibri" w:hAnsi="Calibri"/>
          <w:b/>
          <w:color w:val="1A5FB4"/>
          <w:sz w:val="23"/>
        </w:rPr>
        <w:t>6. Plain-English Intuitive Explanation (In Simple Words)</w:t>
      </w:r>
    </w:p>
    <w:tbl>
      <w:tblPr>
        <w:tblW w:type="auto" w:w="0"/>
        <w:jc w:val="center"/>
        <w:tblLayout w:type="fixed"/>
        <w:tblLook w:firstColumn="1" w:firstRow="1" w:lastColumn="0" w:lastRow="0" w:noHBand="0" w:noVBand="1" w:val="04A0"/>
      </w:tblPr>
      <w:tblGrid>
        <w:gridCol w:w="9360"/>
      </w:tblGrid>
      <w:tr>
        <w:tc>
          <w:tcPr>
            <w:tcW w:type="dxa" w:w="9360"/>
            <w:shd w:fill="F0FDF4"/>
            <w:tcBorders>
              <w:top w:val="none"/>
              <w:left w:val="single" w:sz="36" w:space="0" w:color="16A34A"/>
              <w:bottom w:val="none"/>
              <w:right w:val="none"/>
            </w:tcBorders>
            <w:tcMar>
              <w:top w:w="120" w:type="dxa"/>
              <w:bottom w:w="120" w:type="dxa"/>
              <w:left w:w="180" w:type="dxa"/>
              <w:right w:w="160" w:type="dxa"/>
            </w:tcMar>
          </w:tcPr>
          <w:p>
            <w:pPr>
              <w:spacing w:before="0" w:after="80"/>
            </w:pPr>
            <w:r>
              <w:rPr>
                <w:rFonts w:ascii="Calibri" w:hAnsi="Calibri"/>
                <w:b/>
                <w:color w:val="15803D"/>
                <w:sz w:val="20"/>
              </w:rPr>
              <w:t>💡  IN SIMPLE WORDS — INTUITIVE EXPLANATION &amp; CONCEPTS</w:t>
            </w:r>
          </w:p>
          <w:p>
            <w:pPr>
              <w:spacing w:before="40" w:after="60" w:line="269" w:lineRule="auto"/>
            </w:pPr>
            <w:r>
              <w:rPr>
                <w:rFonts w:ascii="Calibri" w:hAnsi="Calibri"/>
                <w:b/>
                <w:color w:val="15803D"/>
                <w:sz w:val="19"/>
              </w:rPr>
              <w:t xml:space="preserve">• The Core Idea in One Sentence: </w:t>
            </w:r>
            <w:r>
              <w:rPr>
                <w:rFonts w:ascii="Calibri" w:hAnsi="Calibri"/>
                <w:i w:val="0"/>
                <w:color w:val="1E293B"/>
                <w:sz w:val="19"/>
              </w:rPr>
              <w:t>We explain why our early prototype got a misleading '100% accuracy' score (it was a brightness trick), show that the real published baseline (FedIIC, MICCAI 2023) has a massive 24% to 55% error gap in real clinical benchmarks, and prove that our project solves a genuine unsolved problem.</w:t>
            </w:r>
          </w:p>
          <w:p>
            <w:pPr>
              <w:spacing w:before="40" w:after="60" w:line="269" w:lineRule="auto"/>
            </w:pPr>
            <w:r>
              <w:rPr>
                <w:rFonts w:ascii="Calibri" w:hAnsi="Calibri"/>
                <w:b/>
                <w:color w:val="15803D"/>
                <w:sz w:val="19"/>
              </w:rPr>
              <w:t xml:space="preserve">• The Trap of the Early '100% Score' (The Brightness Trick): </w:t>
            </w:r>
            <w:r>
              <w:rPr>
                <w:rFonts w:ascii="Calibri" w:hAnsi="Calibri"/>
                <w:i w:val="0"/>
                <w:color w:val="1E293B"/>
                <w:sz w:val="19"/>
              </w:rPr>
              <w:t>In our earliest toy tests, the computer-generated test images were accidentally given different brightness levels: Normal lungs were dim (0.20), COPD was medium (0.25), and IPF was bright (0.35). Even a primitive, 10-year-old algorithm could score 100% just by checking overall brightness—like sorting laundry into white and dark piles! In real clinical High-Resolution CT, this is totally false. Real lungs with COPD and real lungs with IPF have the exact same gray parenchymal brightness. Differentiating them requires detecting microscopic honeycomb scars and bronchial dilations, not checking pixel brightness.</w:t>
            </w:r>
          </w:p>
          <w:p>
            <w:pPr>
              <w:spacing w:before="40" w:after="0" w:line="269" w:lineRule="auto"/>
            </w:pPr>
            <w:r>
              <w:rPr>
                <w:rFonts w:ascii="Calibri" w:hAnsi="Calibri"/>
                <w:b/>
                <w:color w:val="15803D"/>
                <w:sz w:val="19"/>
              </w:rPr>
              <w:t xml:space="preserve">• The Published Reality of FedIIC (MICCAI 2023): </w:t>
            </w:r>
            <w:r>
              <w:rPr>
                <w:rFonts w:ascii="Calibri" w:hAnsi="Calibri"/>
                <w:i w:val="0"/>
                <w:color w:val="1E293B"/>
                <w:sz w:val="19"/>
              </w:rPr>
              <w:t>In the official peer-reviewed paper on real medical datasets, FedIIC only achieved 65.8% balanced accuracy on skin lesions (a 34.2% error gap) and 44.9% accuracy on class-skewed images (a 55.1% error gap!). FedIIC is far from solved. It has a proven 24% to 55% error rate on real-world medical data, and its performance collapses even further in true rare diseases. That gap is our project's direct target.</w:t>
            </w:r>
          </w:p>
        </w:tc>
      </w:tr>
    </w:tbl>
    <w:p>
      <w:pPr>
        <w:spacing w:after="40"/>
      </w:pPr>
    </w:p>
    <w:p>
      <w:pPr>
        <w:keepNext/>
        <w:spacing w:before="280" w:after="60"/>
      </w:pPr>
      <w:r>
        <w:rPr>
          <w:rFonts w:ascii="Calibri" w:hAnsi="Calibri"/>
          <w:b/>
          <w:color w:val="0A2540"/>
          <w:sz w:val="30"/>
        </w:rPr>
        <w:t>Slide 10: Thank You &amp; Discussion</w:t>
      </w:r>
      <w:r>
        <w:rPr>
          <w:rFonts w:ascii="Calibri" w:hAnsi="Calibri"/>
          <w:b/>
          <w:color w:val="1A5FB4"/>
          <w:sz w:val="21"/>
        </w:rPr>
        <w:t xml:space="preserve">  [PI 9.1.3]</w:t>
      </w:r>
    </w:p>
    <w:p>
      <w:pPr>
        <w:keepNext/>
        <w:spacing w:before="200" w:after="40"/>
      </w:pPr>
      <w:r>
        <w:rPr>
          <w:rFonts w:ascii="Calibri" w:hAnsi="Calibri"/>
          <w:b/>
          <w:color w:val="1A5FB4"/>
          <w:sz w:val="23"/>
        </w:rPr>
        <w:t>1. Slide Metadata</w:t>
      </w:r>
    </w:p>
    <w:p>
      <w:pPr>
        <w:pStyle w:val="ListBullet"/>
        <w:spacing w:before="0" w:after="50" w:line="269" w:lineRule="auto"/>
        <w:ind w:left="360"/>
      </w:pPr>
      <w:r>
        <w:rPr>
          <w:rFonts w:ascii="Calibri" w:hAnsi="Calibri"/>
          <w:b/>
          <w:color w:val="1E293B"/>
          <w:sz w:val="19"/>
        </w:rPr>
        <w:t>Slide Title:</w:t>
      </w:r>
      <w:r>
        <w:rPr>
          <w:rFonts w:ascii="Calibri" w:hAnsi="Calibri"/>
          <w:i w:val="0"/>
          <w:color w:val="1E293B"/>
          <w:sz w:val="19"/>
        </w:rPr>
        <w:t xml:space="preserve"> </w:t>
      </w:r>
      <w:r>
        <w:rPr>
          <w:rFonts w:ascii="Consolas" w:hAnsi="Consolas"/>
          <w:color w:val="2563EB"/>
          <w:sz w:val="18"/>
        </w:rPr>
        <w:t>Thank You</w:t>
      </w:r>
    </w:p>
    <w:p>
      <w:pPr>
        <w:pStyle w:val="ListBullet"/>
        <w:spacing w:before="0" w:after="50" w:line="269" w:lineRule="auto"/>
        <w:ind w:left="360"/>
      </w:pPr>
      <w:r>
        <w:rPr>
          <w:rFonts w:ascii="Calibri" w:hAnsi="Calibri"/>
          <w:b/>
          <w:color w:val="1E293B"/>
          <w:sz w:val="19"/>
        </w:rPr>
        <w:t>On-Slide Subtitle:</w:t>
      </w:r>
      <w:r>
        <w:rPr>
          <w:rFonts w:ascii="Calibri" w:hAnsi="Calibri"/>
          <w:i w:val="0"/>
          <w:color w:val="1E293B"/>
          <w:sz w:val="19"/>
        </w:rPr>
        <w:t xml:space="preserve"> </w:t>
      </w:r>
      <w:r>
        <w:rPr>
          <w:rFonts w:ascii="Consolas" w:hAnsi="Consolas"/>
          <w:color w:val="2563EB"/>
          <w:sz w:val="18"/>
        </w:rPr>
        <w:t>Questions &amp; Discussion</w:t>
      </w:r>
    </w:p>
    <w:p>
      <w:pPr>
        <w:pStyle w:val="ListBullet"/>
        <w:spacing w:before="0" w:after="50" w:line="269" w:lineRule="auto"/>
        <w:ind w:left="360"/>
      </w:pPr>
      <w:r>
        <w:rPr>
          <w:rFonts w:ascii="Calibri" w:hAnsi="Calibri"/>
          <w:b/>
          <w:color w:val="1E293B"/>
          <w:sz w:val="19"/>
        </w:rPr>
        <w:t>Rubric Mapping:</w:t>
      </w:r>
      <w:r>
        <w:rPr>
          <w:rFonts w:ascii="Calibri" w:hAnsi="Calibri"/>
          <w:i w:val="0"/>
          <w:color w:val="1E293B"/>
          <w:sz w:val="19"/>
        </w:rPr>
        <w:t xml:space="preserve"> </w:t>
      </w:r>
      <w:r>
        <w:rPr>
          <w:rFonts w:ascii="Calibri" w:hAnsi="Calibri"/>
          <w:b/>
          <w:color w:val="1E293B"/>
          <w:sz w:val="19"/>
        </w:rPr>
        <w:t>PI 9.1.3</w:t>
      </w:r>
      <w:r>
        <w:rPr>
          <w:rFonts w:ascii="Calibri" w:hAnsi="Calibri"/>
          <w:i w:val="0"/>
          <w:color w:val="1E293B"/>
          <w:sz w:val="19"/>
        </w:rPr>
        <w:t xml:space="preserve"> (Deliver effective oral presentations to technical audiences, handle questions constructively).</w:t>
      </w:r>
    </w:p>
    <w:p>
      <w:pPr>
        <w:pStyle w:val="ListBullet"/>
        <w:spacing w:before="0" w:after="50" w:line="269" w:lineRule="auto"/>
        <w:ind w:left="360"/>
      </w:pPr>
      <w:r>
        <w:rPr>
          <w:rFonts w:ascii="Calibri" w:hAnsi="Calibri"/>
          <w:b/>
          <w:color w:val="1E293B"/>
          <w:sz w:val="19"/>
        </w:rPr>
        <w:t>Visual Composition:</w:t>
      </w:r>
      <w:r>
        <w:rPr>
          <w:rFonts w:ascii="Calibri" w:hAnsi="Calibri"/>
          <w:i w:val="0"/>
          <w:color w:val="1E293B"/>
          <w:sz w:val="19"/>
        </w:rPr>
        <w:t xml:space="preserve"> Centered, elegant closing slide displaying project title, guide designation, team members, department credentials, and the official public GitHub repository URL.</w:t>
      </w:r>
    </w:p>
    <w:p>
      <w:pPr>
        <w:keepNext/>
        <w:spacing w:before="200" w:after="40"/>
      </w:pPr>
      <w:r>
        <w:rPr>
          <w:rFonts w:ascii="Calibri" w:hAnsi="Calibri"/>
          <w:b/>
          <w:color w:val="1A5FB4"/>
          <w:sz w:val="23"/>
        </w:rPr>
        <w:t>2. Breakdown of On-Slide Content</w:t>
      </w:r>
    </w:p>
    <w:p>
      <w:pPr>
        <w:pStyle w:val="ListBullet"/>
        <w:spacing w:before="0" w:after="50" w:line="269" w:lineRule="auto"/>
        <w:ind w:left="360"/>
      </w:pPr>
      <w:r>
        <w:rPr>
          <w:rFonts w:ascii="Calibri" w:hAnsi="Calibri"/>
          <w:b/>
          <w:color w:val="1E293B"/>
          <w:sz w:val="19"/>
        </w:rPr>
        <w:t>Header:</w:t>
      </w:r>
      <w:r>
        <w:rPr>
          <w:rFonts w:ascii="Calibri" w:hAnsi="Calibri"/>
          <w:i w:val="0"/>
          <w:color w:val="1E293B"/>
          <w:sz w:val="19"/>
        </w:rPr>
        <w:t xml:space="preserve"> Thank You! / Questions &amp; Discussion</w:t>
      </w:r>
    </w:p>
    <w:p>
      <w:pPr>
        <w:pStyle w:val="ListBullet"/>
        <w:spacing w:before="0" w:after="50" w:line="269" w:lineRule="auto"/>
        <w:ind w:left="360"/>
      </w:pPr>
      <w:r>
        <w:rPr>
          <w:rFonts w:ascii="Calibri" w:hAnsi="Calibri"/>
          <w:b/>
          <w:color w:val="1E293B"/>
          <w:sz w:val="19"/>
        </w:rPr>
        <w:t>Project Title:</w:t>
      </w:r>
      <w:r>
        <w:rPr>
          <w:rFonts w:ascii="Calibri" w:hAnsi="Calibri"/>
          <w:i w:val="0"/>
          <w:color w:val="1E293B"/>
          <w:sz w:val="19"/>
        </w:rPr>
        <w:t xml:space="preserve"> Privacy-Preserving Federated Generative Replay for Rare Disease Diagnosis: A Multi-Center Study on Idiopathic Pulmonary Fibrosis (IPF)</w:t>
      </w:r>
    </w:p>
    <w:p>
      <w:pPr>
        <w:pStyle w:val="ListBullet"/>
        <w:spacing w:before="0" w:after="50" w:line="269" w:lineRule="auto"/>
        <w:ind w:left="360"/>
      </w:pPr>
      <w:r>
        <w:rPr>
          <w:rFonts w:ascii="Calibri" w:hAnsi="Calibri"/>
          <w:b/>
          <w:color w:val="1E293B"/>
          <w:sz w:val="19"/>
        </w:rPr>
        <w:t>Project Guide:</w:t>
      </w:r>
      <w:r>
        <w:rPr>
          <w:rFonts w:ascii="Calibri" w:hAnsi="Calibri"/>
          <w:i w:val="0"/>
          <w:color w:val="1E293B"/>
          <w:sz w:val="19"/>
        </w:rPr>
        <w:t xml:space="preserve"> Prof. Mallikarjun Akki</w:t>
      </w:r>
    </w:p>
    <w:p>
      <w:pPr>
        <w:pStyle w:val="ListBullet"/>
        <w:spacing w:before="0" w:after="50" w:line="269" w:lineRule="auto"/>
        <w:ind w:left="360"/>
      </w:pPr>
      <w:r>
        <w:rPr>
          <w:rFonts w:ascii="Calibri" w:hAnsi="Calibri"/>
          <w:b/>
          <w:color w:val="1E293B"/>
          <w:sz w:val="19"/>
        </w:rPr>
        <w:t>Team 48:</w:t>
      </w:r>
      <w:r>
        <w:rPr>
          <w:rFonts w:ascii="Calibri" w:hAnsi="Calibri"/>
          <w:i w:val="0"/>
          <w:color w:val="1E293B"/>
          <w:sz w:val="19"/>
        </w:rPr>
        <w:t xml:space="preserve"> Ishwari J, Rakshita J, Amrutavarshini B, Aditya C</w:t>
      </w:r>
    </w:p>
    <w:p>
      <w:pPr>
        <w:pStyle w:val="ListBullet"/>
        <w:spacing w:before="0" w:after="50" w:line="269" w:lineRule="auto"/>
        <w:ind w:left="360"/>
      </w:pPr>
      <w:r>
        <w:rPr>
          <w:rFonts w:ascii="Calibri" w:hAnsi="Calibri"/>
          <w:b/>
          <w:color w:val="1E293B"/>
          <w:sz w:val="19"/>
        </w:rPr>
        <w:t>Institutional Affiliation:</w:t>
      </w:r>
      <w:r>
        <w:rPr>
          <w:rFonts w:ascii="Calibri" w:hAnsi="Calibri"/>
          <w:i w:val="0"/>
          <w:color w:val="1E293B"/>
          <w:sz w:val="19"/>
        </w:rPr>
        <w:t xml:space="preserve"> Department of Computer Science and Engineering, KLE Technological University</w:t>
      </w:r>
    </w:p>
    <w:p>
      <w:pPr>
        <w:pStyle w:val="ListBullet"/>
        <w:spacing w:before="0" w:after="50" w:line="269" w:lineRule="auto"/>
        <w:ind w:left="360"/>
      </w:pPr>
      <w:r>
        <w:rPr>
          <w:rFonts w:ascii="Calibri" w:hAnsi="Calibri"/>
          <w:b/>
          <w:color w:val="1E293B"/>
          <w:sz w:val="19"/>
        </w:rPr>
        <w:t>Repository Link:</w:t>
      </w:r>
      <w:r>
        <w:rPr>
          <w:rFonts w:ascii="Calibri" w:hAnsi="Calibri"/>
          <w:i w:val="0"/>
          <w:color w:val="1E293B"/>
          <w:sz w:val="19"/>
        </w:rPr>
        <w:t xml:space="preserve"> </w:t>
      </w:r>
      <w:r>
        <w:rPr>
          <w:rFonts w:ascii="Consolas" w:hAnsi="Consolas"/>
          <w:color w:val="2563EB"/>
          <w:sz w:val="18"/>
        </w:rPr>
        <w:t>https://github.com/Aditya-c-hu/FedGen-Rare-for-Idiopathic-Pulmonary-Fibrosis.git</w:t>
      </w:r>
    </w:p>
    <w:p>
      <w:pPr>
        <w:keepNext/>
        <w:spacing w:before="200" w:after="40"/>
      </w:pPr>
      <w:r>
        <w:rPr>
          <w:rFonts w:ascii="Calibri" w:hAnsi="Calibri"/>
          <w:b/>
          <w:color w:val="1A5FB4"/>
          <w:sz w:val="23"/>
        </w:rPr>
        <w:t>3. Deep Technical &amp; Contextual Explanation</w:t>
      </w:r>
    </w:p>
    <w:p>
      <w:pPr>
        <w:spacing w:before="0" w:after="70" w:line="276" w:lineRule="auto"/>
      </w:pPr>
      <w:r>
        <w:rPr>
          <w:rFonts w:ascii="Calibri" w:hAnsi="Calibri"/>
          <w:i w:val="0"/>
          <w:color w:val="1E293B"/>
          <w:sz w:val="20"/>
        </w:rPr>
        <w:t>Slide 10 serves as the anchor for the oral question-and-answer session. A strong defense slide keeps vital project references visible (team members, guide, project title, and code repository), signaling transparency and reproducibility.</w:t>
      </w:r>
    </w:p>
    <w:p>
      <w:pPr>
        <w:pStyle w:val="ListBullet"/>
        <w:spacing w:before="0" w:after="50" w:line="269" w:lineRule="auto"/>
        <w:ind w:left="360"/>
      </w:pPr>
      <w:r>
        <w:rPr>
          <w:rFonts w:ascii="Calibri" w:hAnsi="Calibri"/>
          <w:b/>
          <w:color w:val="1E293B"/>
          <w:sz w:val="19"/>
        </w:rPr>
        <w:t>Repository Availability:</w:t>
      </w:r>
      <w:r>
        <w:rPr>
          <w:rFonts w:ascii="Calibri" w:hAnsi="Calibri"/>
          <w:i w:val="0"/>
          <w:color w:val="1E293B"/>
          <w:sz w:val="19"/>
        </w:rPr>
        <w:t xml:space="preserve"> All source code, modular unit tests (</w:t>
      </w:r>
      <w:r>
        <w:rPr>
          <w:rFonts w:ascii="Consolas" w:hAnsi="Consolas"/>
          <w:color w:val="2563EB"/>
          <w:sz w:val="18"/>
        </w:rPr>
        <w:t>tests/test_modules.py</w:t>
      </w:r>
      <w:r>
        <w:rPr>
          <w:rFonts w:ascii="Calibri" w:hAnsi="Calibri"/>
          <w:i w:val="0"/>
          <w:color w:val="1E293B"/>
          <w:sz w:val="19"/>
        </w:rPr>
        <w:t>), UML models (</w:t>
      </w:r>
      <w:r>
        <w:rPr>
          <w:rFonts w:ascii="Consolas" w:hAnsi="Consolas"/>
          <w:color w:val="2563EB"/>
          <w:sz w:val="18"/>
        </w:rPr>
        <w:t>docs/uml/</w:t>
      </w:r>
      <w:r>
        <w:rPr>
          <w:rFonts w:ascii="Calibri" w:hAnsi="Calibri"/>
          <w:i w:val="0"/>
          <w:color w:val="1E293B"/>
          <w:sz w:val="19"/>
        </w:rPr>
        <w:t>), and technical documentation (</w:t>
      </w:r>
      <w:r>
        <w:rPr>
          <w:rFonts w:ascii="Consolas" w:hAnsi="Consolas"/>
          <w:color w:val="2563EB"/>
          <w:sz w:val="18"/>
        </w:rPr>
        <w:t>docs/report/</w:t>
      </w:r>
      <w:r>
        <w:rPr>
          <w:rFonts w:ascii="Calibri" w:hAnsi="Calibri"/>
          <w:i w:val="0"/>
          <w:color w:val="1E293B"/>
          <w:sz w:val="19"/>
        </w:rPr>
        <w:t>) are version-controlled and publicly accessible, demonstrating adherence to open-science engineering principles.</w:t>
      </w:r>
    </w:p>
    <w:p>
      <w:pPr>
        <w:keepNext/>
        <w:spacing w:before="200" w:after="40"/>
      </w:pPr>
      <w:r>
        <w:rPr>
          <w:rFonts w:ascii="Calibri" w:hAnsi="Calibri"/>
          <w:b/>
          <w:color w:val="1A5FB4"/>
          <w:sz w:val="23"/>
        </w:rPr>
        <w:t>4. Verbatim Oral Defense Script (Speaker Notes)</w:t>
      </w:r>
    </w:p>
    <w:tbl>
      <w:tblPr>
        <w:tblW w:type="auto" w:w="0"/>
        <w:jc w:val="center"/>
        <w:tblLayout w:type="fixed"/>
        <w:tblLook w:firstColumn="1" w:firstRow="1" w:lastColumn="0" w:lastRow="0" w:noHBand="0" w:noVBand="1" w:val="04A0"/>
      </w:tblPr>
      <w:tblGrid>
        <w:gridCol w:w="9360"/>
      </w:tblGrid>
      <w:tr>
        <w:tc>
          <w:tcPr>
            <w:tcW w:type="dxa" w:w="9360"/>
            <w:shd w:fill="F0F7FF"/>
            <w:tcBorders>
              <w:top w:val="none"/>
              <w:left w:val="single" w:sz="36" w:space="0" w:color="1A5FB4"/>
              <w:bottom w:val="none"/>
              <w:right w:val="none"/>
            </w:tcBorders>
            <w:tcMar>
              <w:top w:w="120" w:type="dxa"/>
              <w:bottom w:w="120" w:type="dxa"/>
              <w:left w:w="180" w:type="dxa"/>
              <w:right w:w="160" w:type="dxa"/>
            </w:tcMar>
          </w:tcPr>
          <w:p>
            <w:pPr>
              <w:spacing w:before="0" w:after="80"/>
            </w:pPr>
            <w:r>
              <w:rPr>
                <w:rFonts w:ascii="Calibri" w:hAnsi="Calibri"/>
                <w:b/>
                <w:color w:val="1A5FB4"/>
                <w:sz w:val="20"/>
              </w:rPr>
              <w:t>🗣️  VERBATIM ORAL DEFENSE SCRIPT (SPEAKER NOTES)</w:t>
            </w:r>
          </w:p>
          <w:p>
            <w:pPr>
              <w:spacing w:before="40" w:after="80" w:line="276" w:lineRule="auto"/>
            </w:pPr>
            <w:r>
              <w:rPr>
                <w:rFonts w:ascii="Calibri" w:hAnsi="Calibri"/>
                <w:i/>
                <w:color w:val="1E293B"/>
                <w:sz w:val="19"/>
              </w:rPr>
              <w:t>"To conclude, in this Review 2 presentation, we have addressed the Review 1 critique by focusing on Idiopathic Pulmonary Fibrosis, formalized our system requirements under PI 3.1.3, presented our pictorial system architecture under PI 3.3.1, detailed our mathematical formulations and algorithms under PI 3.3.3, validated our modules with 31 passing unit tests using modern tools under PI 5.2.2 and PI 12.1.2, and established the proven 24% to 55% error gap in the published SOTA baseline."</w:t>
            </w:r>
          </w:p>
          <w:p>
            <w:pPr>
              <w:spacing w:before="40" w:after="0" w:line="276" w:lineRule="auto"/>
            </w:pPr>
            <w:r>
              <w:rPr>
                <w:rFonts w:ascii="Calibri" w:hAnsi="Calibri"/>
                <w:i/>
                <w:color w:val="1E293B"/>
                <w:sz w:val="19"/>
              </w:rPr>
              <w:t>"We express our sincere gratitude to our guide, Prof. Mallikarjun Akki, and to the honorable review committee for your time and guidance. We are now open for your questions and feedback. Thank you."</w:t>
            </w:r>
          </w:p>
        </w:tc>
      </w:tr>
    </w:tbl>
    <w:p>
      <w:pPr>
        <w:spacing w:after="40"/>
      </w:pPr>
    </w:p>
    <w:p>
      <w:pPr>
        <w:keepNext/>
        <w:spacing w:before="200" w:after="40"/>
      </w:pPr>
      <w:r>
        <w:rPr>
          <w:rFonts w:ascii="Calibri" w:hAnsi="Calibri"/>
          <w:b/>
          <w:color w:val="1A5FB4"/>
          <w:sz w:val="23"/>
        </w:rPr>
        <w:t>5. Anticipated Reviewer Questions &amp; Bulletproof Defense</w:t>
      </w:r>
    </w:p>
    <w:tbl>
      <w:tblPr>
        <w:tblW w:type="auto" w:w="0"/>
        <w:jc w:val="center"/>
        <w:tblLayout w:type="fixed"/>
        <w:tblLook w:firstColumn="1" w:firstRow="1" w:lastColumn="0" w:lastRow="0" w:noHBand="0" w:noVBand="1" w:val="04A0"/>
      </w:tblPr>
      <w:tblGrid>
        <w:gridCol w:w="9360"/>
      </w:tblGrid>
      <w:tr>
        <w:tc>
          <w:tcPr>
            <w:tcW w:type="dxa" w:w="9360"/>
            <w:shd w:fill="FFFBEB"/>
            <w:tcBorders>
              <w:top w:val="none"/>
              <w:left w:val="single" w:sz="36" w:space="0" w:color="D97706"/>
              <w:bottom w:val="none"/>
              <w:right w:val="none"/>
            </w:tcBorders>
            <w:tcMar>
              <w:top w:w="120" w:type="dxa"/>
              <w:bottom w:w="120" w:type="dxa"/>
              <w:left w:w="180" w:type="dxa"/>
              <w:right w:w="160" w:type="dxa"/>
            </w:tcMar>
          </w:tcPr>
          <w:p>
            <w:pPr>
              <w:spacing w:before="0" w:after="80"/>
            </w:pPr>
            <w:r>
              <w:rPr>
                <w:rFonts w:ascii="Calibri" w:hAnsi="Calibri"/>
                <w:b/>
                <w:color w:val="92400E"/>
                <w:sz w:val="20"/>
              </w:rPr>
              <w:t>❓  ANTICIPATED REVIEWER QUESTIONS &amp; BULLETPROOF DEFENSE</w:t>
            </w:r>
          </w:p>
          <w:p>
            <w:pPr>
              <w:spacing w:before="80" w:after="40" w:line="269" w:lineRule="auto"/>
            </w:pPr>
            <w:r>
              <w:rPr>
                <w:rFonts w:ascii="Calibri" w:hAnsi="Calibri"/>
                <w:b/>
                <w:color w:val="92400E"/>
                <w:sz w:val="19"/>
              </w:rPr>
              <w:t xml:space="preserve">Q1: </w:t>
            </w:r>
            <w:r>
              <w:rPr>
                <w:rFonts w:ascii="Calibri" w:hAnsi="Calibri"/>
                <w:i w:val="0"/>
                <w:color w:val="92400E"/>
                <w:sz w:val="19"/>
              </w:rPr>
              <w:t>What are your exact target deliverables and milestones for Review 3?</w:t>
            </w:r>
          </w:p>
          <w:p>
            <w:pPr>
              <w:spacing w:before="20" w:after="120" w:line="269" w:lineRule="auto"/>
            </w:pPr>
            <w:r>
              <w:rPr>
                <w:rFonts w:ascii="Calibri" w:hAnsi="Calibri"/>
                <w:b/>
                <w:color w:val="0A2540"/>
                <w:sz w:val="19"/>
              </w:rPr>
              <w:t xml:space="preserve">Defense Answer: </w:t>
            </w:r>
            <w:r>
              <w:rPr>
                <w:rFonts w:ascii="Calibri" w:hAnsi="Calibri"/>
                <w:i w:val="0"/>
                <w:color w:val="1E293B"/>
                <w:sz w:val="19"/>
              </w:rPr>
              <w:t>For Review 3, our milestones are: (1) Execute full comparative training rounds across 5 simulated hospital nodes comparing FedAvg, FedProx, FedIIC, and FedGen-Rare; (2) Benchmark convergence speed and communication overhead; (3) Generate full statistical evaluation charts for BACC, IPF Recall, and AUROC; and (4) Prepare the draft research manuscript for publication submission.</w:t>
            </w:r>
          </w:p>
          <w:p>
            <w:pPr>
              <w:spacing w:before="80" w:after="40" w:line="269" w:lineRule="auto"/>
            </w:pPr>
            <w:r>
              <w:rPr>
                <w:rFonts w:ascii="Calibri" w:hAnsi="Calibri"/>
                <w:b/>
                <w:color w:val="92400E"/>
                <w:sz w:val="19"/>
              </w:rPr>
              <w:t xml:space="preserve">Q2: </w:t>
            </w:r>
            <w:r>
              <w:rPr>
                <w:rFonts w:ascii="Calibri" w:hAnsi="Calibri"/>
                <w:i w:val="0"/>
                <w:color w:val="92400E"/>
                <w:sz w:val="19"/>
              </w:rPr>
              <w:t>Where can the committee verify your module tests and implementation?</w:t>
            </w:r>
          </w:p>
          <w:p>
            <w:pPr>
              <w:spacing w:before="20" w:after="0" w:line="269" w:lineRule="auto"/>
            </w:pPr>
            <w:r>
              <w:rPr>
                <w:rFonts w:ascii="Calibri" w:hAnsi="Calibri"/>
                <w:b/>
                <w:color w:val="0A2540"/>
                <w:sz w:val="19"/>
              </w:rPr>
              <w:t xml:space="preserve">Defense Answer: </w:t>
            </w:r>
            <w:r>
              <w:rPr>
                <w:rFonts w:ascii="Calibri" w:hAnsi="Calibri"/>
                <w:i w:val="0"/>
                <w:color w:val="1E293B"/>
                <w:sz w:val="19"/>
              </w:rPr>
              <w:t xml:space="preserve">All our code, including the 31 passing unit tests in </w:t>
            </w:r>
            <w:r>
              <w:rPr>
                <w:rFonts w:ascii="Consolas" w:hAnsi="Consolas"/>
                <w:color w:val="2563EB"/>
                <w:sz w:val="18"/>
              </w:rPr>
              <w:t>tests/test_modules.py</w:t>
            </w:r>
            <w:r>
              <w:rPr>
                <w:rFonts w:ascii="Calibri" w:hAnsi="Calibri"/>
                <w:i w:val="0"/>
                <w:color w:val="1E293B"/>
                <w:sz w:val="19"/>
              </w:rPr>
              <w:t xml:space="preserve">, the native </w:t>
            </w:r>
            <w:r>
              <w:rPr>
                <w:rFonts w:ascii="Consolas" w:hAnsi="Consolas"/>
                <w:color w:val="2563EB"/>
                <w:sz w:val="18"/>
              </w:rPr>
              <w:t>.drawio</w:t>
            </w:r>
            <w:r>
              <w:rPr>
                <w:rFonts w:ascii="Calibri" w:hAnsi="Calibri"/>
                <w:i w:val="0"/>
                <w:color w:val="1E293B"/>
                <w:sz w:val="19"/>
              </w:rPr>
              <w:t xml:space="preserve"> UML files, and the LaTeX technical report, is hosted in our GitHub repository at </w:t>
            </w:r>
            <w:r>
              <w:rPr>
                <w:rFonts w:ascii="Consolas" w:hAnsi="Consolas"/>
                <w:color w:val="2563EB"/>
                <w:sz w:val="18"/>
              </w:rPr>
              <w:t>https://github.com/Aditya-c-hu/FedGen-Rare-for-Idiopathic-Pulmonary-Fibrosis.git</w:t>
            </w:r>
            <w:r>
              <w:rPr>
                <w:rFonts w:ascii="Calibri" w:hAnsi="Calibri"/>
                <w:i w:val="0"/>
                <w:color w:val="1E293B"/>
                <w:sz w:val="19"/>
              </w:rPr>
              <w:t>.</w:t>
            </w:r>
          </w:p>
        </w:tc>
      </w:tr>
    </w:tbl>
    <w:p>
      <w:pPr>
        <w:spacing w:after="40"/>
      </w:pPr>
    </w:p>
    <w:p>
      <w:pPr>
        <w:keepNext/>
        <w:spacing w:before="200" w:after="40"/>
      </w:pPr>
      <w:r>
        <w:rPr>
          <w:rFonts w:ascii="Calibri" w:hAnsi="Calibri"/>
          <w:b/>
          <w:color w:val="1A5FB4"/>
          <w:sz w:val="23"/>
        </w:rPr>
        <w:t>6. Plain-English Intuitive Explanation (In Simple Words)</w:t>
      </w:r>
    </w:p>
    <w:tbl>
      <w:tblPr>
        <w:tblW w:type="auto" w:w="0"/>
        <w:jc w:val="center"/>
        <w:tblLayout w:type="fixed"/>
        <w:tblLook w:firstColumn="1" w:firstRow="1" w:lastColumn="0" w:lastRow="0" w:noHBand="0" w:noVBand="1" w:val="04A0"/>
      </w:tblPr>
      <w:tblGrid>
        <w:gridCol w:w="9360"/>
      </w:tblGrid>
      <w:tr>
        <w:tc>
          <w:tcPr>
            <w:tcW w:type="dxa" w:w="9360"/>
            <w:shd w:fill="F0FDF4"/>
            <w:tcBorders>
              <w:top w:val="none"/>
              <w:left w:val="single" w:sz="36" w:space="0" w:color="16A34A"/>
              <w:bottom w:val="none"/>
              <w:right w:val="none"/>
            </w:tcBorders>
            <w:tcMar>
              <w:top w:w="120" w:type="dxa"/>
              <w:bottom w:w="120" w:type="dxa"/>
              <w:left w:w="180" w:type="dxa"/>
              <w:right w:w="160" w:type="dxa"/>
            </w:tcMar>
          </w:tcPr>
          <w:p>
            <w:pPr>
              <w:spacing w:before="0" w:after="80"/>
            </w:pPr>
            <w:r>
              <w:rPr>
                <w:rFonts w:ascii="Calibri" w:hAnsi="Calibri"/>
                <w:b/>
                <w:color w:val="15803D"/>
                <w:sz w:val="20"/>
              </w:rPr>
              <w:t>💡  IN SIMPLE WORDS — INTUITIVE EXPLANATION &amp; CONCEPTS</w:t>
            </w:r>
          </w:p>
          <w:p>
            <w:pPr>
              <w:spacing w:before="40" w:after="60" w:line="269" w:lineRule="auto"/>
            </w:pPr>
            <w:r>
              <w:rPr>
                <w:rFonts w:ascii="Calibri" w:hAnsi="Calibri"/>
                <w:b/>
                <w:color w:val="15803D"/>
                <w:sz w:val="19"/>
              </w:rPr>
              <w:t xml:space="preserve">• The Core Idea in One Sentence: </w:t>
            </w:r>
            <w:r>
              <w:rPr>
                <w:rFonts w:ascii="Calibri" w:hAnsi="Calibri"/>
                <w:i w:val="0"/>
                <w:color w:val="1E293B"/>
                <w:sz w:val="19"/>
              </w:rPr>
              <w:t>This final slide brings our Review 2 defense to a confident close, summarizing how we fulfilled all Rubric Performance Indicators, open-sourcing our code on GitHub, and laying out our roadmap for full multi-round training in Review 3.</w:t>
            </w:r>
          </w:p>
          <w:p>
            <w:pPr>
              <w:spacing w:before="40" w:after="0" w:line="269" w:lineRule="auto"/>
            </w:pPr>
            <w:r>
              <w:rPr>
                <w:rFonts w:ascii="Calibri" w:hAnsi="Calibri"/>
                <w:b/>
                <w:color w:val="15803D"/>
                <w:sz w:val="19"/>
              </w:rPr>
              <w:t xml:space="preserve">• The Defense Takeaway Message in Plain Language: </w:t>
            </w:r>
            <w:r>
              <w:rPr>
                <w:rFonts w:ascii="Calibri" w:hAnsi="Calibri"/>
                <w:i w:val="0"/>
                <w:color w:val="1E293B"/>
                <w:sz w:val="19"/>
              </w:rPr>
              <w:t>We listened and adapted: addressed Review 1 critique by focusing on Idiopathic Pulmonary Fibrosis. We specified the problem (PI 3.1.3): detailed clinical constraints, functional requirements, and privacy mandates. We architected the solution (PI 3.3.1): built a pictorial two-stage federated pipeline with full UML modeling. We formalized the math (PI 3.3.3): defined algorithms and multi-task loss functions with strict input/output specifications. We verified the software (PI 5.2.2 / 12.1.2): built an automated test suite with 31/31 passing tests. We proved the research gap: documented the published 24% to 55% error rate in the current state of the art. Next steps for Review 3: Full multi-round comparative training across 5 hospital nodes comparing FedAvg, FedProx, FedIIC, and FedGen-Rare to prove our diagnostic gains.</w:t>
            </w:r>
          </w:p>
        </w:tc>
      </w:tr>
    </w:tbl>
    <w:p>
      <w:pPr>
        <w:spacing w:after="40"/>
      </w:pPr>
    </w:p>
    <w:p>
      <w:pPr>
        <w:keepNext/>
        <w:spacing w:before="280" w:after="60"/>
      </w:pPr>
      <w:r>
        <w:rPr>
          <w:rFonts w:ascii="Calibri" w:hAnsi="Calibri"/>
          <w:b/>
          <w:color w:val="0A2540"/>
          <w:sz w:val="30"/>
        </w:rPr>
        <w:t>Complete Review 2 Performance Indicator (PI) Mapping Matrix</w:t>
      </w:r>
    </w:p>
    <w:p>
      <w:pPr>
        <w:spacing w:before="0" w:after="70" w:line="276" w:lineRule="auto"/>
      </w:pPr>
      <w:r>
        <w:rPr>
          <w:rFonts w:ascii="Calibri" w:hAnsi="Calibri"/>
          <w:i w:val="0"/>
          <w:color w:val="1E293B"/>
          <w:sz w:val="20"/>
        </w:rPr>
        <w:t>To assist the team during oral defense and grading evaluation, the following matrix correlates each department rubric parameter to the presentation slides and project artifacts:</w:t>
      </w:r>
    </w:p>
    <w:tbl>
      <w:tblPr>
        <w:tblW w:type="auto" w:w="0"/>
        <w:jc w:val="center"/>
        <w:tblLayout w:type="fixed"/>
        <w:tblLook w:firstColumn="1" w:firstRow="1" w:lastColumn="0" w:lastRow="0" w:noHBand="0" w:noVBand="1" w:val="04A0"/>
        <w:tblBorders>
          <w:top w:val="single" w:sz="8" w:space="0" w:color="CBD5E1"/>
          <w:bottom w:val="single" w:sz="8" w:space="0" w:color="CBD5E1"/>
          <w:insideH w:val="single" w:sz="4" w:space="0" w:color="CBD5E1"/>
          <w:left w:val="none"/>
          <w:right w:val="none"/>
          <w:insideV w:val="none"/>
        </w:tblBorders>
      </w:tblPr>
      <w:tblGrid>
        <w:gridCol w:w="1872"/>
        <w:gridCol w:w="1872"/>
        <w:gridCol w:w="1872"/>
        <w:gridCol w:w="1872"/>
        <w:gridCol w:w="1872"/>
      </w:tblGrid>
      <w:tr>
        <w:trPr>
          <w:tblHeader/>
          <w:cantSplit/>
        </w:trPr>
        <w:tc>
          <w:tcPr>
            <w:tcW w:type="dxa" w:w="1584"/>
            <w:shd w:fill="1A5FB4"/>
            <w:tcMar>
              <w:top w:w="100" w:type="dxa"/>
              <w:bottom w:w="100" w:type="dxa"/>
              <w:left w:w="120" w:type="dxa"/>
              <w:right w:w="120" w:type="dxa"/>
            </w:tcMar>
            <w:vAlign w:val="center"/>
          </w:tcPr>
          <w:p>
            <w:pPr>
              <w:spacing w:before="0" w:after="0"/>
              <w:jc w:val="center"/>
            </w:pPr>
            <w:r>
              <w:rPr>
                <w:rFonts w:ascii="Calibri" w:hAnsi="Calibri"/>
                <w:b/>
                <w:color w:val="FFFFFF"/>
                <w:sz w:val="18"/>
              </w:rPr>
              <w:t>Department PI</w:t>
            </w:r>
          </w:p>
        </w:tc>
        <w:tc>
          <w:tcPr>
            <w:tcW w:type="dxa" w:w="2880"/>
            <w:shd w:fill="1A5FB4"/>
            <w:tcMar>
              <w:top w:w="100" w:type="dxa"/>
              <w:bottom w:w="100" w:type="dxa"/>
              <w:left w:w="120" w:type="dxa"/>
              <w:right w:w="120" w:type="dxa"/>
            </w:tcMar>
            <w:vAlign w:val="center"/>
          </w:tcPr>
          <w:p>
            <w:pPr>
              <w:spacing w:before="0" w:after="0"/>
              <w:jc w:val="left"/>
            </w:pPr>
            <w:r>
              <w:rPr>
                <w:rFonts w:ascii="Calibri" w:hAnsi="Calibri"/>
                <w:b/>
                <w:color w:val="FFFFFF"/>
                <w:sz w:val="18"/>
              </w:rPr>
              <w:t>Performance Indicator Description</w:t>
            </w:r>
          </w:p>
        </w:tc>
        <w:tc>
          <w:tcPr>
            <w:tcW w:type="dxa" w:w="1728"/>
            <w:shd w:fill="1A5FB4"/>
            <w:tcMar>
              <w:top w:w="100" w:type="dxa"/>
              <w:bottom w:w="100" w:type="dxa"/>
              <w:left w:w="120" w:type="dxa"/>
              <w:right w:w="120" w:type="dxa"/>
            </w:tcMar>
            <w:vAlign w:val="center"/>
          </w:tcPr>
          <w:p>
            <w:pPr>
              <w:spacing w:before="0" w:after="0"/>
              <w:jc w:val="center"/>
            </w:pPr>
            <w:r>
              <w:rPr>
                <w:rFonts w:ascii="Calibri" w:hAnsi="Calibri"/>
                <w:b/>
                <w:color w:val="FFFFFF"/>
                <w:sz w:val="18"/>
              </w:rPr>
              <w:t>Covered in Slide(s)</w:t>
            </w:r>
          </w:p>
        </w:tc>
        <w:tc>
          <w:tcPr>
            <w:tcW w:type="dxa" w:w="1872"/>
            <w:shd w:fill="1A5FB4"/>
            <w:tcMar>
              <w:top w:w="100" w:type="dxa"/>
              <w:bottom w:w="100" w:type="dxa"/>
              <w:left w:w="120" w:type="dxa"/>
              <w:right w:w="120" w:type="dxa"/>
            </w:tcMar>
            <w:vAlign w:val="center"/>
          </w:tcPr>
          <w:p>
            <w:pPr>
              <w:spacing w:before="0" w:after="0"/>
              <w:jc w:val="left"/>
            </w:pPr>
            <w:r>
              <w:rPr>
                <w:rFonts w:ascii="Calibri" w:hAnsi="Calibri"/>
                <w:b/>
                <w:color w:val="FFFFFF"/>
                <w:sz w:val="18"/>
              </w:rPr>
              <w:t>Primary Deliverable / Codebase Artifact</w:t>
            </w:r>
          </w:p>
        </w:tc>
        <w:tc>
          <w:tcPr>
            <w:tcW w:type="dxa" w:w="1296"/>
            <w:shd w:fill="1A5FB4"/>
            <w:tcMar>
              <w:top w:w="100" w:type="dxa"/>
              <w:bottom w:w="100" w:type="dxa"/>
              <w:left w:w="120" w:type="dxa"/>
              <w:right w:w="120" w:type="dxa"/>
            </w:tcMar>
            <w:vAlign w:val="center"/>
          </w:tcPr>
          <w:p>
            <w:pPr>
              <w:spacing w:before="0" w:after="0"/>
              <w:jc w:val="center"/>
            </w:pPr>
            <w:r>
              <w:rPr>
                <w:rFonts w:ascii="Calibri" w:hAnsi="Calibri"/>
                <w:b/>
                <w:color w:val="FFFFFF"/>
                <w:sz w:val="18"/>
              </w:rPr>
              <w:t>Rubric Target Level</w:t>
            </w:r>
          </w:p>
        </w:tc>
      </w:tr>
      <w:tr>
        <w:trPr>
          <w:cantSplit/>
        </w:trPr>
        <w:tc>
          <w:tcPr>
            <w:tcW w:type="dxa" w:w="1584"/>
            <w:shd w:fill="FFFFFF"/>
            <w:tcMar>
              <w:top w:w="80" w:type="dxa"/>
              <w:bottom w:w="80" w:type="dxa"/>
              <w:left w:w="120" w:type="dxa"/>
              <w:right w:w="120" w:type="dxa"/>
            </w:tcMar>
            <w:vAlign w:val="center"/>
          </w:tcPr>
          <w:p>
            <w:pPr>
              <w:spacing w:before="0" w:after="0" w:line="264" w:lineRule="auto"/>
              <w:jc w:val="center"/>
            </w:pPr>
            <w:r>
              <w:rPr>
                <w:rFonts w:ascii="Calibri" w:hAnsi="Calibri"/>
                <w:b/>
                <w:color w:val="1E293B"/>
                <w:sz w:val="18"/>
              </w:rPr>
              <w:t>PI 3.1.3</w:t>
            </w:r>
          </w:p>
        </w:tc>
        <w:tc>
          <w:tcPr>
            <w:tcW w:type="dxa" w:w="2880"/>
            <w:shd w:fill="FFFFFF"/>
            <w:tcMar>
              <w:top w:w="80" w:type="dxa"/>
              <w:bottom w:w="80" w:type="dxa"/>
              <w:left w:w="120" w:type="dxa"/>
              <w:right w:w="120" w:type="dxa"/>
            </w:tcMar>
            <w:vAlign w:val="center"/>
          </w:tcPr>
          <w:p>
            <w:pPr>
              <w:spacing w:before="0" w:after="0" w:line="264" w:lineRule="auto"/>
              <w:jc w:val="left"/>
            </w:pPr>
            <w:r>
              <w:rPr>
                <w:rFonts w:ascii="Calibri" w:hAnsi="Calibri"/>
                <w:i w:val="0"/>
                <w:color w:val="1E293B"/>
                <w:sz w:val="18"/>
              </w:rPr>
              <w:t>Determine design objectives along with functional &amp; non-functional requirements, constraints, and assumptions</w:t>
            </w:r>
          </w:p>
        </w:tc>
        <w:tc>
          <w:tcPr>
            <w:tcW w:type="dxa" w:w="1728"/>
            <w:shd w:fill="FFFFFF"/>
            <w:tcMar>
              <w:top w:w="80" w:type="dxa"/>
              <w:bottom w:w="80" w:type="dxa"/>
              <w:left w:w="120" w:type="dxa"/>
              <w:right w:w="120" w:type="dxa"/>
            </w:tcMar>
            <w:vAlign w:val="center"/>
          </w:tcPr>
          <w:p>
            <w:pPr>
              <w:spacing w:before="0" w:after="0" w:line="264" w:lineRule="auto"/>
              <w:jc w:val="center"/>
            </w:pPr>
            <w:r>
              <w:rPr>
                <w:rFonts w:ascii="Calibri" w:hAnsi="Calibri"/>
                <w:b/>
                <w:color w:val="1E293B"/>
                <w:sz w:val="18"/>
              </w:rPr>
              <w:t>Slide 2, Slide 3, Slide 4, Slide 9</w:t>
            </w:r>
          </w:p>
        </w:tc>
        <w:tc>
          <w:tcPr>
            <w:tcW w:type="dxa" w:w="1872"/>
            <w:shd w:fill="FFFFFF"/>
            <w:tcMar>
              <w:top w:w="80" w:type="dxa"/>
              <w:bottom w:w="80" w:type="dxa"/>
              <w:left w:w="120" w:type="dxa"/>
              <w:right w:w="120" w:type="dxa"/>
            </w:tcMar>
            <w:vAlign w:val="center"/>
          </w:tcPr>
          <w:p>
            <w:pPr>
              <w:spacing w:before="0" w:after="0" w:line="264" w:lineRule="auto"/>
              <w:jc w:val="left"/>
            </w:pPr>
            <w:r>
              <w:rPr>
                <w:rFonts w:ascii="Calibri" w:hAnsi="Calibri"/>
                <w:i w:val="0"/>
                <w:color w:val="1E293B"/>
                <w:sz w:val="18"/>
              </w:rPr>
              <w:t>FR1–FR6, NFR1–NFR4, Constraints, Assumptions, Clinical Profile (ORPHA:2032)</w:t>
            </w:r>
          </w:p>
        </w:tc>
        <w:tc>
          <w:tcPr>
            <w:tcW w:type="dxa" w:w="1296"/>
            <w:shd w:fill="FFFFFF"/>
            <w:tcMar>
              <w:top w:w="80" w:type="dxa"/>
              <w:bottom w:w="80" w:type="dxa"/>
              <w:left w:w="120" w:type="dxa"/>
              <w:right w:w="120" w:type="dxa"/>
            </w:tcMar>
            <w:vAlign w:val="center"/>
          </w:tcPr>
          <w:p>
            <w:pPr>
              <w:spacing w:before="0" w:after="0" w:line="264" w:lineRule="auto"/>
              <w:jc w:val="center"/>
            </w:pPr>
            <w:r>
              <w:rPr>
                <w:rFonts w:ascii="Calibri" w:hAnsi="Calibri"/>
                <w:b/>
                <w:color w:val="1E293B"/>
                <w:sz w:val="18"/>
              </w:rPr>
              <w:t>Excellent (8–10)</w:t>
            </w:r>
          </w:p>
        </w:tc>
      </w:tr>
      <w:tr>
        <w:trPr>
          <w:cantSplit/>
        </w:trPr>
        <w:tc>
          <w:tcPr>
            <w:tcW w:type="dxa" w:w="1584"/>
            <w:shd w:fill="F8FAFC"/>
            <w:tcMar>
              <w:top w:w="80" w:type="dxa"/>
              <w:bottom w:w="80" w:type="dxa"/>
              <w:left w:w="120" w:type="dxa"/>
              <w:right w:w="120" w:type="dxa"/>
            </w:tcMar>
            <w:vAlign w:val="center"/>
          </w:tcPr>
          <w:p>
            <w:pPr>
              <w:spacing w:before="0" w:after="0" w:line="264" w:lineRule="auto"/>
              <w:jc w:val="center"/>
            </w:pPr>
            <w:r>
              <w:rPr>
                <w:rFonts w:ascii="Calibri" w:hAnsi="Calibri"/>
                <w:b/>
                <w:color w:val="1E293B"/>
                <w:sz w:val="18"/>
              </w:rPr>
              <w:t>PI 3.3.1</w:t>
            </w:r>
          </w:p>
        </w:tc>
        <w:tc>
          <w:tcPr>
            <w:tcW w:type="dxa" w:w="2880"/>
            <w:shd w:fill="F8FAFC"/>
            <w:tcMar>
              <w:top w:w="80" w:type="dxa"/>
              <w:bottom w:w="80" w:type="dxa"/>
              <w:left w:w="120" w:type="dxa"/>
              <w:right w:w="120" w:type="dxa"/>
            </w:tcMar>
            <w:vAlign w:val="center"/>
          </w:tcPr>
          <w:p>
            <w:pPr>
              <w:spacing w:before="0" w:after="0" w:line="264" w:lineRule="auto"/>
              <w:jc w:val="left"/>
            </w:pPr>
            <w:r>
              <w:rPr>
                <w:rFonts w:ascii="Calibri" w:hAnsi="Calibri"/>
                <w:i w:val="0"/>
                <w:color w:val="1E293B"/>
                <w:sz w:val="18"/>
              </w:rPr>
              <w:t>Apply formal decision-making tools to select optimal design solutions; pictorial representation with UML</w:t>
            </w:r>
          </w:p>
        </w:tc>
        <w:tc>
          <w:tcPr>
            <w:tcW w:type="dxa" w:w="1728"/>
            <w:shd w:fill="F8FAFC"/>
            <w:tcMar>
              <w:top w:w="80" w:type="dxa"/>
              <w:bottom w:w="80" w:type="dxa"/>
              <w:left w:w="120" w:type="dxa"/>
              <w:right w:w="120" w:type="dxa"/>
            </w:tcMar>
            <w:vAlign w:val="center"/>
          </w:tcPr>
          <w:p>
            <w:pPr>
              <w:spacing w:before="0" w:after="0" w:line="264" w:lineRule="auto"/>
              <w:jc w:val="center"/>
            </w:pPr>
            <w:r>
              <w:rPr>
                <w:rFonts w:ascii="Calibri" w:hAnsi="Calibri"/>
                <w:b/>
                <w:color w:val="1E293B"/>
                <w:sz w:val="18"/>
              </w:rPr>
              <w:t>Slide 5</w:t>
            </w:r>
          </w:p>
        </w:tc>
        <w:tc>
          <w:tcPr>
            <w:tcW w:type="dxa" w:w="1872"/>
            <w:shd w:fill="F8FAFC"/>
            <w:tcMar>
              <w:top w:w="80" w:type="dxa"/>
              <w:bottom w:w="80" w:type="dxa"/>
              <w:left w:w="120" w:type="dxa"/>
              <w:right w:w="120" w:type="dxa"/>
            </w:tcMar>
            <w:vAlign w:val="center"/>
          </w:tcPr>
          <w:p>
            <w:pPr>
              <w:spacing w:before="0" w:after="0" w:line="264" w:lineRule="auto"/>
              <w:jc w:val="left"/>
            </w:pPr>
            <w:r>
              <w:rPr>
                <w:rFonts w:ascii="Calibri" w:hAnsi="Calibri"/>
                <w:i w:val="0"/>
                <w:color w:val="1E293B"/>
                <w:sz w:val="18"/>
              </w:rPr>
              <w:t>Pictorial Architecture Diagram (</w:t>
            </w:r>
            <w:r>
              <w:rPr>
                <w:rFonts w:ascii="Consolas" w:hAnsi="Consolas"/>
                <w:color w:val="2563EB"/>
                <w:sz w:val="17"/>
              </w:rPr>
              <w:t>system_architecture_diagram.png</w:t>
            </w:r>
            <w:r>
              <w:rPr>
                <w:rFonts w:ascii="Calibri" w:hAnsi="Calibri"/>
                <w:i w:val="0"/>
                <w:color w:val="1E293B"/>
                <w:sz w:val="18"/>
              </w:rPr>
              <w:t xml:space="preserve">), 4 </w:t>
            </w:r>
            <w:r>
              <w:rPr>
                <w:rFonts w:ascii="Consolas" w:hAnsi="Consolas"/>
                <w:color w:val="2563EB"/>
                <w:sz w:val="17"/>
              </w:rPr>
              <w:t>.drawio</w:t>
            </w:r>
            <w:r>
              <w:rPr>
                <w:rFonts w:ascii="Calibri" w:hAnsi="Calibri"/>
                <w:i w:val="0"/>
                <w:color w:val="1E293B"/>
                <w:sz w:val="18"/>
              </w:rPr>
              <w:t xml:space="preserve"> UML models</w:t>
            </w:r>
          </w:p>
        </w:tc>
        <w:tc>
          <w:tcPr>
            <w:tcW w:type="dxa" w:w="1296"/>
            <w:shd w:fill="F8FAFC"/>
            <w:tcMar>
              <w:top w:w="80" w:type="dxa"/>
              <w:bottom w:w="80" w:type="dxa"/>
              <w:left w:w="120" w:type="dxa"/>
              <w:right w:w="120" w:type="dxa"/>
            </w:tcMar>
            <w:vAlign w:val="center"/>
          </w:tcPr>
          <w:p>
            <w:pPr>
              <w:spacing w:before="0" w:after="0" w:line="264" w:lineRule="auto"/>
              <w:jc w:val="center"/>
            </w:pPr>
            <w:r>
              <w:rPr>
                <w:rFonts w:ascii="Calibri" w:hAnsi="Calibri"/>
                <w:b/>
                <w:color w:val="1E293B"/>
                <w:sz w:val="18"/>
              </w:rPr>
              <w:t>Excellent (8–10)</w:t>
            </w:r>
          </w:p>
        </w:tc>
      </w:tr>
      <w:tr>
        <w:trPr>
          <w:cantSplit/>
        </w:trPr>
        <w:tc>
          <w:tcPr>
            <w:tcW w:type="dxa" w:w="1584"/>
            <w:shd w:fill="FFFFFF"/>
            <w:tcMar>
              <w:top w:w="80" w:type="dxa"/>
              <w:bottom w:w="80" w:type="dxa"/>
              <w:left w:w="120" w:type="dxa"/>
              <w:right w:w="120" w:type="dxa"/>
            </w:tcMar>
            <w:vAlign w:val="center"/>
          </w:tcPr>
          <w:p>
            <w:pPr>
              <w:spacing w:before="0" w:after="0" w:line="264" w:lineRule="auto"/>
              <w:jc w:val="center"/>
            </w:pPr>
            <w:r>
              <w:rPr>
                <w:rFonts w:ascii="Calibri" w:hAnsi="Calibri"/>
                <w:b/>
                <w:color w:val="1E293B"/>
                <w:sz w:val="18"/>
              </w:rPr>
              <w:t>PI 3.3.3</w:t>
            </w:r>
          </w:p>
        </w:tc>
        <w:tc>
          <w:tcPr>
            <w:tcW w:type="dxa" w:w="2880"/>
            <w:shd w:fill="FFFFFF"/>
            <w:tcMar>
              <w:top w:w="80" w:type="dxa"/>
              <w:bottom w:w="80" w:type="dxa"/>
              <w:left w:w="120" w:type="dxa"/>
              <w:right w:w="120" w:type="dxa"/>
            </w:tcMar>
            <w:vAlign w:val="center"/>
          </w:tcPr>
          <w:p>
            <w:pPr>
              <w:spacing w:before="0" w:after="0" w:line="264" w:lineRule="auto"/>
              <w:jc w:val="left"/>
            </w:pPr>
            <w:r>
              <w:rPr>
                <w:rFonts w:ascii="Calibri" w:hAnsi="Calibri"/>
                <w:i w:val="0"/>
                <w:color w:val="1E293B"/>
                <w:sz w:val="18"/>
              </w:rPr>
              <w:t>Develop detailed design with existing constraints, algorithms, mathematical models, pseudocode with I/O</w:t>
            </w:r>
          </w:p>
        </w:tc>
        <w:tc>
          <w:tcPr>
            <w:tcW w:type="dxa" w:w="1728"/>
            <w:shd w:fill="FFFFFF"/>
            <w:tcMar>
              <w:top w:w="80" w:type="dxa"/>
              <w:bottom w:w="80" w:type="dxa"/>
              <w:left w:w="120" w:type="dxa"/>
              <w:right w:w="120" w:type="dxa"/>
            </w:tcMar>
            <w:vAlign w:val="center"/>
          </w:tcPr>
          <w:p>
            <w:pPr>
              <w:spacing w:before="0" w:after="0" w:line="264" w:lineRule="auto"/>
              <w:jc w:val="center"/>
            </w:pPr>
            <w:r>
              <w:rPr>
                <w:rFonts w:ascii="Calibri" w:hAnsi="Calibri"/>
                <w:b/>
                <w:color w:val="1E293B"/>
                <w:sz w:val="18"/>
              </w:rPr>
              <w:t>Slide 6, Slide 7</w:t>
            </w:r>
          </w:p>
        </w:tc>
        <w:tc>
          <w:tcPr>
            <w:tcW w:type="dxa" w:w="1872"/>
            <w:shd w:fill="FFFFFF"/>
            <w:tcMar>
              <w:top w:w="80" w:type="dxa"/>
              <w:bottom w:w="80" w:type="dxa"/>
              <w:left w:w="120" w:type="dxa"/>
              <w:right w:w="120" w:type="dxa"/>
            </w:tcMar>
            <w:vAlign w:val="center"/>
          </w:tcPr>
          <w:p>
            <w:pPr>
              <w:spacing w:before="0" w:after="0" w:line="264" w:lineRule="auto"/>
              <w:jc w:val="left"/>
            </w:pPr>
            <w:r>
              <w:rPr>
                <w:rFonts w:ascii="Calibri" w:hAnsi="Calibri"/>
                <w:i w:val="0"/>
                <w:color w:val="1E293B"/>
                <w:sz w:val="18"/>
              </w:rPr>
              <w:t>Algorithms 1, 2, 3 with formal I/O specs; L_gen, L_FM, L_DIV, L_clf formulations</w:t>
            </w:r>
          </w:p>
        </w:tc>
        <w:tc>
          <w:tcPr>
            <w:tcW w:type="dxa" w:w="1296"/>
            <w:shd w:fill="FFFFFF"/>
            <w:tcMar>
              <w:top w:w="80" w:type="dxa"/>
              <w:bottom w:w="80" w:type="dxa"/>
              <w:left w:w="120" w:type="dxa"/>
              <w:right w:w="120" w:type="dxa"/>
            </w:tcMar>
            <w:vAlign w:val="center"/>
          </w:tcPr>
          <w:p>
            <w:pPr>
              <w:spacing w:before="0" w:after="0" w:line="264" w:lineRule="auto"/>
              <w:jc w:val="center"/>
            </w:pPr>
            <w:r>
              <w:rPr>
                <w:rFonts w:ascii="Calibri" w:hAnsi="Calibri"/>
                <w:b/>
                <w:color w:val="1E293B"/>
                <w:sz w:val="18"/>
              </w:rPr>
              <w:t>Excellent (8–10)</w:t>
            </w:r>
          </w:p>
        </w:tc>
      </w:tr>
      <w:tr>
        <w:trPr>
          <w:cantSplit/>
        </w:trPr>
        <w:tc>
          <w:tcPr>
            <w:tcW w:type="dxa" w:w="1584"/>
            <w:shd w:fill="F8FAFC"/>
            <w:tcMar>
              <w:top w:w="80" w:type="dxa"/>
              <w:bottom w:w="80" w:type="dxa"/>
              <w:left w:w="120" w:type="dxa"/>
              <w:right w:w="120" w:type="dxa"/>
            </w:tcMar>
            <w:vAlign w:val="center"/>
          </w:tcPr>
          <w:p>
            <w:pPr>
              <w:spacing w:before="0" w:after="0" w:line="264" w:lineRule="auto"/>
              <w:jc w:val="center"/>
            </w:pPr>
            <w:r>
              <w:rPr>
                <w:rFonts w:ascii="Calibri" w:hAnsi="Calibri"/>
                <w:b/>
                <w:color w:val="1E293B"/>
                <w:sz w:val="18"/>
              </w:rPr>
              <w:t>PI 5.2.2</w:t>
            </w:r>
          </w:p>
        </w:tc>
        <w:tc>
          <w:tcPr>
            <w:tcW w:type="dxa" w:w="2880"/>
            <w:shd w:fill="F8FAFC"/>
            <w:tcMar>
              <w:top w:w="80" w:type="dxa"/>
              <w:bottom w:w="80" w:type="dxa"/>
              <w:left w:w="120" w:type="dxa"/>
              <w:right w:w="120" w:type="dxa"/>
            </w:tcMar>
            <w:vAlign w:val="center"/>
          </w:tcPr>
          <w:p>
            <w:pPr>
              <w:spacing w:before="0" w:after="0" w:line="264" w:lineRule="auto"/>
              <w:jc w:val="left"/>
            </w:pPr>
            <w:r>
              <w:rPr>
                <w:rFonts w:ascii="Calibri" w:hAnsi="Calibri"/>
                <w:i w:val="0"/>
                <w:color w:val="1E293B"/>
                <w:sz w:val="18"/>
              </w:rPr>
              <w:t>Apply domain-specific tools, platforms, libraries, simulators, and automated testing suites</w:t>
            </w:r>
          </w:p>
        </w:tc>
        <w:tc>
          <w:tcPr>
            <w:tcW w:type="dxa" w:w="1728"/>
            <w:shd w:fill="F8FAFC"/>
            <w:tcMar>
              <w:top w:w="80" w:type="dxa"/>
              <w:bottom w:w="80" w:type="dxa"/>
              <w:left w:w="120" w:type="dxa"/>
              <w:right w:w="120" w:type="dxa"/>
            </w:tcMar>
            <w:vAlign w:val="center"/>
          </w:tcPr>
          <w:p>
            <w:pPr>
              <w:spacing w:before="0" w:after="0" w:line="264" w:lineRule="auto"/>
              <w:jc w:val="center"/>
            </w:pPr>
            <w:r>
              <w:rPr>
                <w:rFonts w:ascii="Calibri" w:hAnsi="Calibri"/>
                <w:b/>
                <w:color w:val="1E293B"/>
                <w:sz w:val="18"/>
              </w:rPr>
              <w:t>Slide 8</w:t>
            </w:r>
          </w:p>
        </w:tc>
        <w:tc>
          <w:tcPr>
            <w:tcW w:type="dxa" w:w="1872"/>
            <w:shd w:fill="F8FAFC"/>
            <w:tcMar>
              <w:top w:w="80" w:type="dxa"/>
              <w:bottom w:w="80" w:type="dxa"/>
              <w:left w:w="120" w:type="dxa"/>
              <w:right w:w="120" w:type="dxa"/>
            </w:tcMar>
            <w:vAlign w:val="center"/>
          </w:tcPr>
          <w:p>
            <w:pPr>
              <w:spacing w:before="0" w:after="0" w:line="264" w:lineRule="auto"/>
              <w:jc w:val="left"/>
            </w:pPr>
            <w:r>
              <w:rPr>
                <w:rFonts w:ascii="Calibri" w:hAnsi="Calibri"/>
                <w:i w:val="0"/>
                <w:color w:val="1E293B"/>
                <w:sz w:val="18"/>
              </w:rPr>
              <w:t>PyTorch 2.14, Scikit-learn, Draw.io, LaTeX (</w:t>
            </w:r>
            <w:r>
              <w:rPr>
                <w:rFonts w:ascii="Consolas" w:hAnsi="Consolas"/>
                <w:color w:val="2563EB"/>
                <w:sz w:val="17"/>
              </w:rPr>
              <w:t>SDP_Review2_Report.tex</w:t>
            </w:r>
            <w:r>
              <w:rPr>
                <w:rFonts w:ascii="Calibri" w:hAnsi="Calibri"/>
                <w:i w:val="0"/>
                <w:color w:val="1E293B"/>
                <w:sz w:val="18"/>
              </w:rPr>
              <w:t>), pytest 9.1</w:t>
            </w:r>
          </w:p>
        </w:tc>
        <w:tc>
          <w:tcPr>
            <w:tcW w:type="dxa" w:w="1296"/>
            <w:shd w:fill="F8FAFC"/>
            <w:tcMar>
              <w:top w:w="80" w:type="dxa"/>
              <w:bottom w:w="80" w:type="dxa"/>
              <w:left w:w="120" w:type="dxa"/>
              <w:right w:w="120" w:type="dxa"/>
            </w:tcMar>
            <w:vAlign w:val="center"/>
          </w:tcPr>
          <w:p>
            <w:pPr>
              <w:spacing w:before="0" w:after="0" w:line="264" w:lineRule="auto"/>
              <w:jc w:val="center"/>
            </w:pPr>
            <w:r>
              <w:rPr>
                <w:rFonts w:ascii="Calibri" w:hAnsi="Calibri"/>
                <w:b/>
                <w:color w:val="1E293B"/>
                <w:sz w:val="18"/>
              </w:rPr>
              <w:t>Excellent (8–10)</w:t>
            </w:r>
          </w:p>
        </w:tc>
      </w:tr>
      <w:tr>
        <w:trPr>
          <w:cantSplit/>
        </w:trPr>
        <w:tc>
          <w:tcPr>
            <w:tcW w:type="dxa" w:w="1584"/>
            <w:shd w:fill="FFFFFF"/>
            <w:tcMar>
              <w:top w:w="80" w:type="dxa"/>
              <w:bottom w:w="80" w:type="dxa"/>
              <w:left w:w="120" w:type="dxa"/>
              <w:right w:w="120" w:type="dxa"/>
            </w:tcMar>
            <w:vAlign w:val="center"/>
          </w:tcPr>
          <w:p>
            <w:pPr>
              <w:spacing w:before="0" w:after="0" w:line="264" w:lineRule="auto"/>
              <w:jc w:val="center"/>
            </w:pPr>
            <w:r>
              <w:rPr>
                <w:rFonts w:ascii="Calibri" w:hAnsi="Calibri"/>
                <w:b/>
                <w:color w:val="1E293B"/>
                <w:sz w:val="18"/>
              </w:rPr>
              <w:t>PI 12.1.2</w:t>
            </w:r>
          </w:p>
        </w:tc>
        <w:tc>
          <w:tcPr>
            <w:tcW w:type="dxa" w:w="2880"/>
            <w:shd w:fill="FFFFFF"/>
            <w:tcMar>
              <w:top w:w="80" w:type="dxa"/>
              <w:bottom w:w="80" w:type="dxa"/>
              <w:left w:w="120" w:type="dxa"/>
              <w:right w:w="120" w:type="dxa"/>
            </w:tcMar>
            <w:vAlign w:val="center"/>
          </w:tcPr>
          <w:p>
            <w:pPr>
              <w:spacing w:before="0" w:after="0" w:line="264" w:lineRule="auto"/>
              <w:jc w:val="left"/>
            </w:pPr>
            <w:r>
              <w:rPr>
                <w:rFonts w:ascii="Calibri" w:hAnsi="Calibri"/>
                <w:i w:val="0"/>
                <w:color w:val="1E293B"/>
                <w:sz w:val="18"/>
              </w:rPr>
              <w:t>Construct software system using OOP paradigm, coding standards, and module testing</w:t>
            </w:r>
          </w:p>
        </w:tc>
        <w:tc>
          <w:tcPr>
            <w:tcW w:type="dxa" w:w="1728"/>
            <w:shd w:fill="FFFFFF"/>
            <w:tcMar>
              <w:top w:w="80" w:type="dxa"/>
              <w:bottom w:w="80" w:type="dxa"/>
              <w:left w:w="120" w:type="dxa"/>
              <w:right w:w="120" w:type="dxa"/>
            </w:tcMar>
            <w:vAlign w:val="center"/>
          </w:tcPr>
          <w:p>
            <w:pPr>
              <w:spacing w:before="0" w:after="0" w:line="264" w:lineRule="auto"/>
              <w:jc w:val="center"/>
            </w:pPr>
            <w:r>
              <w:rPr>
                <w:rFonts w:ascii="Calibri" w:hAnsi="Calibri"/>
                <w:b/>
                <w:color w:val="1E293B"/>
                <w:sz w:val="18"/>
              </w:rPr>
              <w:t>Slide 8</w:t>
            </w:r>
          </w:p>
        </w:tc>
        <w:tc>
          <w:tcPr>
            <w:tcW w:type="dxa" w:w="1872"/>
            <w:shd w:fill="FFFFFF"/>
            <w:tcMar>
              <w:top w:w="80" w:type="dxa"/>
              <w:bottom w:w="80" w:type="dxa"/>
              <w:left w:w="120" w:type="dxa"/>
              <w:right w:w="120" w:type="dxa"/>
            </w:tcMar>
            <w:vAlign w:val="center"/>
          </w:tcPr>
          <w:p>
            <w:pPr>
              <w:spacing w:before="0" w:after="0" w:line="264" w:lineRule="auto"/>
              <w:jc w:val="left"/>
            </w:pPr>
            <w:r>
              <w:rPr>
                <w:rFonts w:ascii="Consolas" w:hAnsi="Consolas"/>
                <w:color w:val="2563EB"/>
                <w:sz w:val="17"/>
              </w:rPr>
              <w:t>tests/test_modules.py</w:t>
            </w:r>
            <w:r>
              <w:rPr>
                <w:rFonts w:ascii="Calibri" w:hAnsi="Calibri"/>
                <w:i w:val="0"/>
                <w:color w:val="1E293B"/>
                <w:sz w:val="18"/>
              </w:rPr>
              <w:t xml:space="preserve"> (31/31 passing unit tests across 7 classes in 17.35 seconds)</w:t>
            </w:r>
          </w:p>
        </w:tc>
        <w:tc>
          <w:tcPr>
            <w:tcW w:type="dxa" w:w="1296"/>
            <w:shd w:fill="FFFFFF"/>
            <w:tcMar>
              <w:top w:w="80" w:type="dxa"/>
              <w:bottom w:w="80" w:type="dxa"/>
              <w:left w:w="120" w:type="dxa"/>
              <w:right w:w="120" w:type="dxa"/>
            </w:tcMar>
            <w:vAlign w:val="center"/>
          </w:tcPr>
          <w:p>
            <w:pPr>
              <w:spacing w:before="0" w:after="0" w:line="264" w:lineRule="auto"/>
              <w:jc w:val="center"/>
            </w:pPr>
            <w:r>
              <w:rPr>
                <w:rFonts w:ascii="Calibri" w:hAnsi="Calibri"/>
                <w:b/>
                <w:color w:val="1E293B"/>
                <w:sz w:val="18"/>
              </w:rPr>
              <w:t>Excellent (8–10)</w:t>
            </w:r>
          </w:p>
        </w:tc>
      </w:tr>
      <w:tr>
        <w:trPr>
          <w:cantSplit/>
        </w:trPr>
        <w:tc>
          <w:tcPr>
            <w:tcW w:type="dxa" w:w="1584"/>
            <w:shd w:fill="F8FAFC"/>
            <w:tcMar>
              <w:top w:w="80" w:type="dxa"/>
              <w:bottom w:w="80" w:type="dxa"/>
              <w:left w:w="120" w:type="dxa"/>
              <w:right w:w="120" w:type="dxa"/>
            </w:tcMar>
            <w:vAlign w:val="center"/>
          </w:tcPr>
          <w:p>
            <w:pPr>
              <w:spacing w:before="0" w:after="0" w:line="264" w:lineRule="auto"/>
              <w:jc w:val="center"/>
            </w:pPr>
            <w:r>
              <w:rPr>
                <w:rFonts w:ascii="Calibri" w:hAnsi="Calibri"/>
                <w:b/>
                <w:color w:val="1E293B"/>
                <w:sz w:val="18"/>
              </w:rPr>
              <w:t>PI 9.1.2</w:t>
            </w:r>
          </w:p>
        </w:tc>
        <w:tc>
          <w:tcPr>
            <w:tcW w:type="dxa" w:w="2880"/>
            <w:shd w:fill="F8FAFC"/>
            <w:tcMar>
              <w:top w:w="80" w:type="dxa"/>
              <w:bottom w:w="80" w:type="dxa"/>
              <w:left w:w="120" w:type="dxa"/>
              <w:right w:w="120" w:type="dxa"/>
            </w:tcMar>
            <w:vAlign w:val="center"/>
          </w:tcPr>
          <w:p>
            <w:pPr>
              <w:spacing w:before="0" w:after="0" w:line="264" w:lineRule="auto"/>
              <w:jc w:val="left"/>
            </w:pPr>
            <w:r>
              <w:rPr>
                <w:rFonts w:ascii="Calibri" w:hAnsi="Calibri"/>
                <w:i w:val="0"/>
                <w:color w:val="1E293B"/>
                <w:sz w:val="18"/>
              </w:rPr>
              <w:t>Organize and produce well-structured content in document or presentation with clear logical flow</w:t>
            </w:r>
          </w:p>
        </w:tc>
        <w:tc>
          <w:tcPr>
            <w:tcW w:type="dxa" w:w="1728"/>
            <w:shd w:fill="F8FAFC"/>
            <w:tcMar>
              <w:top w:w="80" w:type="dxa"/>
              <w:bottom w:w="80" w:type="dxa"/>
              <w:left w:w="120" w:type="dxa"/>
              <w:right w:w="120" w:type="dxa"/>
            </w:tcMar>
            <w:vAlign w:val="center"/>
          </w:tcPr>
          <w:p>
            <w:pPr>
              <w:spacing w:before="0" w:after="0" w:line="264" w:lineRule="auto"/>
              <w:jc w:val="center"/>
            </w:pPr>
            <w:r>
              <w:rPr>
                <w:rFonts w:ascii="Calibri" w:hAnsi="Calibri"/>
                <w:b/>
                <w:color w:val="1E293B"/>
                <w:sz w:val="18"/>
              </w:rPr>
              <w:t>Entire Deck (Slides 1–10)</w:t>
            </w:r>
          </w:p>
        </w:tc>
        <w:tc>
          <w:tcPr>
            <w:tcW w:type="dxa" w:w="1872"/>
            <w:shd w:fill="F8FAFC"/>
            <w:tcMar>
              <w:top w:w="80" w:type="dxa"/>
              <w:bottom w:w="80" w:type="dxa"/>
              <w:left w:w="120" w:type="dxa"/>
              <w:right w:w="120" w:type="dxa"/>
            </w:tcMar>
            <w:vAlign w:val="center"/>
          </w:tcPr>
          <w:p>
            <w:pPr>
              <w:spacing w:before="0" w:after="0" w:line="264" w:lineRule="auto"/>
              <w:jc w:val="left"/>
            </w:pPr>
            <w:r>
              <w:rPr>
                <w:rFonts w:ascii="Calibri" w:hAnsi="Calibri"/>
                <w:i w:val="0"/>
                <w:color w:val="1E293B"/>
                <w:sz w:val="18"/>
              </w:rPr>
              <w:t>10-slide PowerPoint deck (</w:t>
            </w:r>
            <w:r>
              <w:rPr>
                <w:rFonts w:ascii="Consolas" w:hAnsi="Consolas"/>
                <w:color w:val="2563EB"/>
                <w:sz w:val="17"/>
              </w:rPr>
              <w:t>SDP_Review2_Presentation.pptx</w:t>
            </w:r>
            <w:r>
              <w:rPr>
                <w:rFonts w:ascii="Calibri" w:hAnsi="Calibri"/>
                <w:i w:val="0"/>
                <w:color w:val="1E293B"/>
                <w:sz w:val="18"/>
              </w:rPr>
              <w:t>) + LaTeX report (</w:t>
            </w:r>
            <w:r>
              <w:rPr>
                <w:rFonts w:ascii="Consolas" w:hAnsi="Consolas"/>
                <w:color w:val="2563EB"/>
                <w:sz w:val="17"/>
              </w:rPr>
              <w:t>docs/report/</w:t>
            </w:r>
            <w:r>
              <w:rPr>
                <w:rFonts w:ascii="Calibri" w:hAnsi="Calibri"/>
                <w:i w:val="0"/>
                <w:color w:val="1E293B"/>
                <w:sz w:val="18"/>
              </w:rPr>
              <w:t>)</w:t>
            </w:r>
          </w:p>
        </w:tc>
        <w:tc>
          <w:tcPr>
            <w:tcW w:type="dxa" w:w="1296"/>
            <w:shd w:fill="F8FAFC"/>
            <w:tcMar>
              <w:top w:w="80" w:type="dxa"/>
              <w:bottom w:w="80" w:type="dxa"/>
              <w:left w:w="120" w:type="dxa"/>
              <w:right w:w="120" w:type="dxa"/>
            </w:tcMar>
            <w:vAlign w:val="center"/>
          </w:tcPr>
          <w:p>
            <w:pPr>
              <w:spacing w:before="0" w:after="0" w:line="264" w:lineRule="auto"/>
              <w:jc w:val="center"/>
            </w:pPr>
            <w:r>
              <w:rPr>
                <w:rFonts w:ascii="Calibri" w:hAnsi="Calibri"/>
                <w:b/>
                <w:color w:val="1E293B"/>
                <w:sz w:val="18"/>
              </w:rPr>
              <w:t>Excellent (8–10)</w:t>
            </w:r>
          </w:p>
        </w:tc>
      </w:tr>
      <w:tr>
        <w:trPr>
          <w:cantSplit/>
        </w:trPr>
        <w:tc>
          <w:tcPr>
            <w:tcW w:type="dxa" w:w="1584"/>
            <w:shd w:fill="FFFFFF"/>
            <w:tcMar>
              <w:top w:w="80" w:type="dxa"/>
              <w:bottom w:w="80" w:type="dxa"/>
              <w:left w:w="120" w:type="dxa"/>
              <w:right w:w="120" w:type="dxa"/>
            </w:tcMar>
            <w:vAlign w:val="center"/>
          </w:tcPr>
          <w:p>
            <w:pPr>
              <w:spacing w:before="0" w:after="0" w:line="264" w:lineRule="auto"/>
              <w:jc w:val="center"/>
            </w:pPr>
            <w:r>
              <w:rPr>
                <w:rFonts w:ascii="Calibri" w:hAnsi="Calibri"/>
                <w:b/>
                <w:color w:val="1E293B"/>
                <w:sz w:val="18"/>
              </w:rPr>
              <w:t>PI 9.1.3</w:t>
            </w:r>
          </w:p>
        </w:tc>
        <w:tc>
          <w:tcPr>
            <w:tcW w:type="dxa" w:w="2880"/>
            <w:shd w:fill="FFFFFF"/>
            <w:tcMar>
              <w:top w:w="80" w:type="dxa"/>
              <w:bottom w:w="80" w:type="dxa"/>
              <w:left w:w="120" w:type="dxa"/>
              <w:right w:w="120" w:type="dxa"/>
            </w:tcMar>
            <w:vAlign w:val="center"/>
          </w:tcPr>
          <w:p>
            <w:pPr>
              <w:spacing w:before="0" w:after="0" w:line="264" w:lineRule="auto"/>
              <w:jc w:val="left"/>
            </w:pPr>
            <w:r>
              <w:rPr>
                <w:rFonts w:ascii="Calibri" w:hAnsi="Calibri"/>
                <w:i w:val="0"/>
                <w:color w:val="1E293B"/>
                <w:sz w:val="18"/>
              </w:rPr>
              <w:t>Deliver effective oral presentation to technical and non-technical audiences</w:t>
            </w:r>
          </w:p>
        </w:tc>
        <w:tc>
          <w:tcPr>
            <w:tcW w:type="dxa" w:w="1728"/>
            <w:shd w:fill="FFFFFF"/>
            <w:tcMar>
              <w:top w:w="80" w:type="dxa"/>
              <w:bottom w:w="80" w:type="dxa"/>
              <w:left w:w="120" w:type="dxa"/>
              <w:right w:w="120" w:type="dxa"/>
            </w:tcMar>
            <w:vAlign w:val="center"/>
          </w:tcPr>
          <w:p>
            <w:pPr>
              <w:spacing w:before="0" w:after="0" w:line="264" w:lineRule="auto"/>
              <w:jc w:val="center"/>
            </w:pPr>
            <w:r>
              <w:rPr>
                <w:rFonts w:ascii="Calibri" w:hAnsi="Calibri"/>
                <w:b/>
                <w:color w:val="1E293B"/>
                <w:sz w:val="18"/>
              </w:rPr>
              <w:t>Defense Delivery</w:t>
            </w:r>
          </w:p>
        </w:tc>
        <w:tc>
          <w:tcPr>
            <w:tcW w:type="dxa" w:w="1872"/>
            <w:shd w:fill="FFFFFF"/>
            <w:tcMar>
              <w:top w:w="80" w:type="dxa"/>
              <w:bottom w:w="80" w:type="dxa"/>
              <w:left w:w="120" w:type="dxa"/>
              <w:right w:w="120" w:type="dxa"/>
            </w:tcMar>
            <w:vAlign w:val="center"/>
          </w:tcPr>
          <w:p>
            <w:pPr>
              <w:spacing w:before="0" w:after="0" w:line="264" w:lineRule="auto"/>
              <w:jc w:val="left"/>
            </w:pPr>
            <w:r>
              <w:rPr>
                <w:rFonts w:ascii="Calibri" w:hAnsi="Calibri"/>
                <w:i w:val="0"/>
                <w:color w:val="1E293B"/>
                <w:sz w:val="18"/>
              </w:rPr>
              <w:t>Detailed speaker notes, plain-English analogies, and Q&amp;A defense scripts provided for every slide</w:t>
            </w:r>
          </w:p>
        </w:tc>
        <w:tc>
          <w:tcPr>
            <w:tcW w:type="dxa" w:w="1296"/>
            <w:shd w:fill="FFFFFF"/>
            <w:tcMar>
              <w:top w:w="80" w:type="dxa"/>
              <w:bottom w:w="80" w:type="dxa"/>
              <w:left w:w="120" w:type="dxa"/>
              <w:right w:w="120" w:type="dxa"/>
            </w:tcMar>
            <w:vAlign w:val="center"/>
          </w:tcPr>
          <w:p>
            <w:pPr>
              <w:spacing w:before="0" w:after="0" w:line="264" w:lineRule="auto"/>
              <w:jc w:val="center"/>
            </w:pPr>
            <w:r>
              <w:rPr>
                <w:rFonts w:ascii="Calibri" w:hAnsi="Calibri"/>
                <w:b/>
                <w:color w:val="1E293B"/>
                <w:sz w:val="18"/>
              </w:rPr>
              <w:t>Excellent (8–10)</w:t>
            </w:r>
          </w:p>
        </w:tc>
      </w:tr>
    </w:tbl>
    <w:p>
      <w:pPr>
        <w:spacing w:after="80"/>
      </w:pPr>
    </w:p>
    <w:p>
      <w:pPr>
        <w:spacing w:before="160" w:after="80"/>
      </w:pPr>
      <w:r>
        <w:rPr>
          <w:i/>
          <w:color w:val="64748B"/>
          <w:sz w:val="18"/>
        </w:rPr>
        <w:t>— End of Slide-by-Slide Explanation &amp; Oral Defense Guide — Team 48, KLE Technological University —</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4748B"/>
        <w:sz w:val="17"/>
      </w:rPr>
      <w:t>FedGen-Rare: Multi-Center Study on IPF Diagnosis  |  Oral Defense Guide</w:t>
    </w:r>
    <w:r>
      <w:rPr>
        <w:rFonts w:ascii="Calibri" w:hAnsi="Calibri"/>
        <w:color w:val="64748B"/>
        <w:sz w:val="17"/>
      </w:rPr>
      <w:tab/>
      <w:tab/>
      <w:t xml:space="preserve">Page </w:t>
    </w:r>
    <w:fldSimple w:instr="PAGE"/>
    <w:r>
      <w:rPr>
        <w:rFonts w:ascii="Calibri" w:hAnsi="Calibri"/>
        <w:color w:val="64748B"/>
        <w:sz w:val="17"/>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KLE Technological University — SDP Review 2 | Team 48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