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5FB4"/>
          <w:sz w:val="19"/>
        </w:rPr>
        <w:t>KLE TECHNOLOGICAL UNIVERSITY, HUBBALLI  |  SCHOOL OF COMPUTER SCIENCE &amp; ENGINEERING</w:t>
      </w:r>
    </w:p>
    <w:p>
      <w:pPr>
        <w:keepNext/>
        <w:spacing w:before="80" w:after="40"/>
      </w:pPr>
      <w:r>
        <w:rPr>
          <w:rFonts w:ascii="Calibri" w:hAnsi="Calibri"/>
          <w:b/>
          <w:color w:val="0A2540"/>
          <w:sz w:val="40"/>
        </w:rPr>
        <w:t>Senior Design Project (SDP) — Review 2</w:t>
        <w:br/>
      </w:r>
      <w:r>
        <w:rPr>
          <w:rFonts w:ascii="Calibri" w:hAnsi="Calibri"/>
          <w:b/>
          <w:color w:val="2563EB"/>
          <w:sz w:val="28"/>
        </w:rPr>
        <w:t>Slide-by-Slide Technical Explanation &amp; Oral Defense Guide</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A2540"/>
              <w:bottom w:val="none"/>
              <w:right w:val="none"/>
            </w:tcBorders>
            <w:tcMar>
              <w:top w:w="100" w:type="dxa"/>
              <w:bottom w:w="100" w:type="dxa"/>
              <w:left w:w="160" w:type="dxa"/>
              <w:right w:w="140" w:type="dxa"/>
            </w:tcMar>
          </w:tcPr>
          <w:p>
            <w:pPr>
              <w:spacing w:before="0" w:after="0"/>
            </w:pPr>
            <w:r>
              <w:rPr>
                <w:b/>
                <w:color w:val="0A2540"/>
                <w:sz w:val="19"/>
              </w:rPr>
              <w:t xml:space="preserve">PROJECT TITLE: </w:t>
            </w:r>
            <w:r>
              <w:rPr>
                <w:b/>
                <w:i/>
                <w:color w:val="1A5FB4"/>
                <w:sz w:val="21"/>
              </w:rPr>
              <w:t>Privacy-Preserving Federated Generative Replay for Rare Disease Diagnosis: A Multi-Center Study on Idiopathic Pulmonary Fibrosis (IPF)</w:t>
            </w:r>
          </w:p>
        </w:tc>
      </w:tr>
    </w:tbl>
    <w:p>
      <w:pPr>
        <w:spacing w:after="40"/>
      </w:pPr>
    </w:p>
    <w:tbl>
      <w:tblPr>
        <w:tblW w:type="auto" w:w="0"/>
        <w:jc w:val="center"/>
        <w:tblLayout w:type="fixed"/>
        <w:tblLook w:firstColumn="1" w:firstRow="1" w:lastColumn="0" w:lastRow="0" w:noHBand="0" w:noVBand="1" w:val="04A0"/>
        <w:tblBorders>
          <w:top w:val="single" w:sz="8" w:space="0" w:color="CBD5E1"/>
          <w:bottom w:val="single" w:sz="8" w:space="0" w:color="CBD5E1"/>
          <w:insideH w:val="single" w:sz="4" w:space="0" w:color="CBD5E1"/>
          <w:left w:val="none"/>
          <w:right w:val="none"/>
          <w:insideV w:val="none"/>
        </w:tblBorders>
      </w:tblPr>
      <w:tblGrid>
        <w:gridCol w:w="4680"/>
        <w:gridCol w:w="4680"/>
      </w:tblGrid>
      <w:tr>
        <w:trPr>
          <w:tblHeader/>
          <w:cantSplit/>
        </w:trPr>
        <w:tc>
          <w:tcPr>
            <w:tcW w:type="dxa" w:w="3168"/>
            <w:shd w:fill="1A5FB4"/>
            <w:tcMar>
              <w:top w:w="100" w:type="dxa"/>
              <w:bottom w:w="100" w:type="dxa"/>
              <w:left w:w="120" w:type="dxa"/>
              <w:right w:w="120" w:type="dxa"/>
            </w:tcMar>
            <w:vAlign w:val="center"/>
          </w:tcPr>
          <w:p>
            <w:pPr>
              <w:spacing w:before="0" w:after="0"/>
              <w:jc w:val="left"/>
            </w:pPr>
            <w:r>
              <w:rPr>
                <w:rFonts w:ascii="Calibri" w:hAnsi="Calibri"/>
                <w:b/>
                <w:color w:val="FFFFFF"/>
                <w:sz w:val="18"/>
              </w:rPr>
              <w:t>Project Attribute</w:t>
            </w:r>
          </w:p>
        </w:tc>
        <w:tc>
          <w:tcPr>
            <w:tcW w:type="dxa" w:w="6192"/>
            <w:shd w:fill="1A5FB4"/>
            <w:tcMar>
              <w:top w:w="100" w:type="dxa"/>
              <w:bottom w:w="100" w:type="dxa"/>
              <w:left w:w="120" w:type="dxa"/>
              <w:right w:w="120" w:type="dxa"/>
            </w:tcMar>
            <w:vAlign w:val="center"/>
          </w:tcPr>
          <w:p>
            <w:pPr>
              <w:spacing w:before="0" w:after="0"/>
              <w:jc w:val="left"/>
            </w:pPr>
            <w:r>
              <w:rPr>
                <w:rFonts w:ascii="Calibri" w:hAnsi="Calibri"/>
                <w:b/>
                <w:color w:val="FFFFFF"/>
                <w:sz w:val="18"/>
              </w:rPr>
              <w:t>Specification Details</w:t>
            </w:r>
          </w:p>
        </w:tc>
      </w:tr>
      <w:tr>
        <w:trPr>
          <w:cantSplit/>
        </w:trPr>
        <w:tc>
          <w:tcPr>
            <w:tcW w:type="dxa" w:w="3168"/>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Team Identification</w:t>
            </w:r>
          </w:p>
        </w:tc>
        <w:tc>
          <w:tcPr>
            <w:tcW w:type="dxa" w:w="61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Team 48</w:t>
            </w:r>
            <w:r>
              <w:rPr>
                <w:rFonts w:ascii="Calibri" w:hAnsi="Calibri"/>
                <w:i w:val="0"/>
                <w:color w:val="1E293B"/>
                <w:sz w:val="18"/>
              </w:rPr>
              <w:t xml:space="preserve"> (Semester VII — Senior Design Project)</w:t>
            </w:r>
          </w:p>
        </w:tc>
      </w:tr>
      <w:tr>
        <w:trPr>
          <w:cantSplit/>
        </w:trPr>
        <w:tc>
          <w:tcPr>
            <w:tcW w:type="dxa" w:w="3168"/>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Course Details</w:t>
            </w:r>
          </w:p>
        </w:tc>
        <w:tc>
          <w:tcPr>
            <w:tcW w:type="dxa" w:w="619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Course Code:</w:t>
            </w:r>
            <w:r>
              <w:rPr>
                <w:rFonts w:ascii="Calibri" w:hAnsi="Calibri"/>
                <w:i w:val="0"/>
                <w:color w:val="1E293B"/>
                <w:sz w:val="18"/>
              </w:rPr>
              <w:t xml:space="preserve"> 22ECAW401 | </w:t>
            </w:r>
            <w:r>
              <w:rPr>
                <w:rFonts w:ascii="Calibri" w:hAnsi="Calibri"/>
                <w:b/>
                <w:color w:val="1E293B"/>
                <w:sz w:val="18"/>
              </w:rPr>
              <w:t>Academic Year:</w:t>
            </w:r>
            <w:r>
              <w:rPr>
                <w:rFonts w:ascii="Calibri" w:hAnsi="Calibri"/>
                <w:i w:val="0"/>
                <w:color w:val="1E293B"/>
                <w:sz w:val="18"/>
              </w:rPr>
              <w:t xml:space="preserve"> 2026–2027</w:t>
            </w:r>
          </w:p>
        </w:tc>
      </w:tr>
      <w:tr>
        <w:trPr>
          <w:cantSplit/>
        </w:trPr>
        <w:tc>
          <w:tcPr>
            <w:tcW w:type="dxa" w:w="3168"/>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Project Guide</w:t>
            </w:r>
          </w:p>
        </w:tc>
        <w:tc>
          <w:tcPr>
            <w:tcW w:type="dxa" w:w="61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Prof. Mallikarjun Akki</w:t>
            </w:r>
            <w:r>
              <w:rPr>
                <w:rFonts w:ascii="Calibri" w:hAnsi="Calibri"/>
                <w:i w:val="0"/>
                <w:color w:val="1E293B"/>
                <w:sz w:val="18"/>
              </w:rPr>
              <w:t>, Department of CSE, KLE Tech</w:t>
            </w:r>
          </w:p>
        </w:tc>
      </w:tr>
      <w:tr>
        <w:trPr>
          <w:cantSplit/>
        </w:trPr>
        <w:tc>
          <w:tcPr>
            <w:tcW w:type="dxa" w:w="3168"/>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Institutional Body</w:t>
            </w:r>
          </w:p>
        </w:tc>
        <w:tc>
          <w:tcPr>
            <w:tcW w:type="dxa" w:w="61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Department of Computer Science &amp; Engineering, KLE Technological University, Hubballi</w:t>
            </w:r>
          </w:p>
        </w:tc>
      </w:tr>
      <w:tr>
        <w:trPr>
          <w:cantSplit/>
        </w:trPr>
        <w:tc>
          <w:tcPr>
            <w:tcW w:type="dxa" w:w="3168"/>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Public Repository</w:t>
            </w:r>
          </w:p>
        </w:tc>
        <w:tc>
          <w:tcPr>
            <w:tcW w:type="dxa" w:w="61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https://github.com/Aditya-c-hu/FedGen-Rare-for-Idiopathic-Pulmonary-Fibrosis.git</w:t>
            </w:r>
          </w:p>
        </w:tc>
      </w:tr>
      <w:tr>
        <w:trPr>
          <w:cantSplit/>
        </w:trPr>
        <w:tc>
          <w:tcPr>
            <w:tcW w:type="dxa" w:w="3168"/>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Presentation Deck</w:t>
            </w:r>
          </w:p>
        </w:tc>
        <w:tc>
          <w:tcPr>
            <w:tcW w:type="dxa" w:w="6192"/>
            <w:shd w:fill="F8FAFC"/>
            <w:tcMar>
              <w:top w:w="80" w:type="dxa"/>
              <w:bottom w:w="80" w:type="dxa"/>
              <w:left w:w="120" w:type="dxa"/>
              <w:right w:w="120" w:type="dxa"/>
            </w:tcMar>
            <w:vAlign w:val="center"/>
          </w:tcPr>
          <w:p>
            <w:pPr>
              <w:spacing w:before="0" w:after="0" w:line="264" w:lineRule="auto"/>
              <w:jc w:val="left"/>
            </w:pPr>
            <w:r>
              <w:rPr>
                <w:rFonts w:ascii="Consolas" w:hAnsi="Consolas"/>
                <w:color w:val="2563EB"/>
                <w:sz w:val="17"/>
              </w:rPr>
              <w:t>SDP_Review2_Presentation.pptx</w:t>
            </w:r>
            <w:r>
              <w:rPr>
                <w:rFonts w:ascii="Calibri" w:hAnsi="Calibri"/>
                <w:i w:val="0"/>
                <w:color w:val="1E293B"/>
                <w:sz w:val="18"/>
              </w:rPr>
              <w:t xml:space="preserve"> (Strict 10-Slide Deck aligned to Review 2 Rubrics)</w:t>
            </w:r>
          </w:p>
        </w:tc>
      </w:tr>
    </w:tbl>
    <w:p>
      <w:pPr>
        <w:spacing w:after="80"/>
      </w:pPr>
    </w:p>
    <w:tbl>
      <w:tblPr>
        <w:tblW w:type="auto" w:w="0"/>
        <w:jc w:val="center"/>
        <w:tblLayout w:type="fixed"/>
        <w:tblLook w:firstColumn="1" w:firstRow="1" w:lastColumn="0" w:lastRow="0" w:noHBand="0" w:noVBand="1" w:val="04A0"/>
        <w:tblBorders>
          <w:top w:val="single" w:sz="8" w:space="0" w:color="CBD5E1"/>
          <w:bottom w:val="single" w:sz="8"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2592"/>
            <w:shd w:fill="1A5FB4"/>
            <w:tcMar>
              <w:top w:w="100" w:type="dxa"/>
              <w:bottom w:w="100" w:type="dxa"/>
              <w:left w:w="120" w:type="dxa"/>
              <w:right w:w="120" w:type="dxa"/>
            </w:tcMar>
            <w:vAlign w:val="center"/>
          </w:tcPr>
          <w:p>
            <w:pPr>
              <w:spacing w:before="0" w:after="0"/>
              <w:jc w:val="left"/>
            </w:pPr>
            <w:r>
              <w:rPr>
                <w:rFonts w:ascii="Calibri" w:hAnsi="Calibri"/>
                <w:b/>
                <w:color w:val="FFFFFF"/>
                <w:sz w:val="18"/>
              </w:rPr>
              <w:t>Student Full Name</w:t>
            </w:r>
          </w:p>
        </w:tc>
        <w:tc>
          <w:tcPr>
            <w:tcW w:type="dxa" w:w="1152"/>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Roll No</w:t>
            </w:r>
          </w:p>
        </w:tc>
        <w:tc>
          <w:tcPr>
            <w:tcW w:type="dxa" w:w="2304"/>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University Seat Number (USN)</w:t>
            </w:r>
          </w:p>
        </w:tc>
        <w:tc>
          <w:tcPr>
            <w:tcW w:type="dxa" w:w="3312"/>
            <w:shd w:fill="1A5FB4"/>
            <w:tcMar>
              <w:top w:w="100" w:type="dxa"/>
              <w:bottom w:w="100" w:type="dxa"/>
              <w:left w:w="120" w:type="dxa"/>
              <w:right w:w="120" w:type="dxa"/>
            </w:tcMar>
            <w:vAlign w:val="center"/>
          </w:tcPr>
          <w:p>
            <w:pPr>
              <w:spacing w:before="0" w:after="0"/>
              <w:jc w:val="left"/>
            </w:pPr>
            <w:r>
              <w:rPr>
                <w:rFonts w:ascii="Calibri" w:hAnsi="Calibri"/>
                <w:b/>
                <w:color w:val="FFFFFF"/>
                <w:sz w:val="18"/>
              </w:rPr>
              <w:t>Assigned Project Module Focus</w:t>
            </w:r>
          </w:p>
        </w:tc>
      </w:tr>
      <w:tr>
        <w:trPr>
          <w:cantSplit/>
        </w:trPr>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Ishwari J</w:t>
            </w:r>
          </w:p>
        </w:tc>
        <w:tc>
          <w:tcPr>
            <w:tcW w:type="dxa" w:w="1152"/>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117</w:t>
            </w:r>
          </w:p>
        </w:tc>
        <w:tc>
          <w:tcPr>
            <w:tcW w:type="dxa" w:w="2304"/>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01FE23BCS093</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Federated Client Aggregation &amp; Baseline Loss Functions</w:t>
            </w:r>
          </w:p>
        </w:tc>
      </w:tr>
      <w:tr>
        <w:trPr>
          <w:cantSplit/>
        </w:trPr>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Rakshita J</w:t>
            </w:r>
          </w:p>
        </w:tc>
        <w:tc>
          <w:tcPr>
            <w:tcW w:type="dxa" w:w="1152"/>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217</w:t>
            </w:r>
          </w:p>
        </w:tc>
        <w:tc>
          <w:tcPr>
            <w:tcW w:type="dxa" w:w="2304"/>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01FE23BCS082</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Conditional Generator Distillation &amp; Latent Replay</w:t>
            </w:r>
          </w:p>
        </w:tc>
      </w:tr>
      <w:tr>
        <w:trPr>
          <w:cantSplit/>
        </w:trPr>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Amrutavarshini B</w:t>
            </w:r>
          </w:p>
        </w:tc>
        <w:tc>
          <w:tcPr>
            <w:tcW w:type="dxa" w:w="1152"/>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219</w:t>
            </w:r>
          </w:p>
        </w:tc>
        <w:tc>
          <w:tcPr>
            <w:tcW w:type="dxa" w:w="2304"/>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01FE23BCI024</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Synthetic HRCT Dataset Generation &amp; Metric Benchmarking</w:t>
            </w:r>
          </w:p>
        </w:tc>
      </w:tr>
      <w:tr>
        <w:trPr>
          <w:cantSplit/>
        </w:trPr>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Aditya C</w:t>
            </w:r>
          </w:p>
        </w:tc>
        <w:tc>
          <w:tcPr>
            <w:tcW w:type="dxa" w:w="1152"/>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217</w:t>
            </w:r>
          </w:p>
        </w:tc>
        <w:tc>
          <w:tcPr>
            <w:tcW w:type="dxa" w:w="2304"/>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01FE23BCI043</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Distributed Coordination Server, Architecture &amp; UML Suite</w:t>
            </w:r>
          </w:p>
        </w:tc>
      </w:tr>
    </w:tbl>
    <w:p>
      <w:pPr>
        <w:spacing w:after="80"/>
      </w:pPr>
    </w:p>
    <w:p>
      <w:pPr>
        <w:keepNext/>
        <w:spacing w:before="280" w:after="60"/>
      </w:pPr>
      <w:r>
        <w:rPr>
          <w:rFonts w:ascii="Calibri" w:hAnsi="Calibri"/>
          <w:b/>
          <w:color w:val="0A2540"/>
          <w:sz w:val="30"/>
        </w:rPr>
        <w:t>Executive Overview &amp; Review 2 Rubric Cross-Reference</w:t>
      </w:r>
    </w:p>
    <w:p>
      <w:pPr>
        <w:spacing w:before="0" w:after="70" w:line="276" w:lineRule="auto"/>
      </w:pPr>
      <w:r>
        <w:rPr>
          <w:rFonts w:ascii="Calibri" w:hAnsi="Calibri"/>
          <w:i w:val="0"/>
          <w:color w:val="1E293B"/>
          <w:sz w:val="20"/>
        </w:rPr>
        <w:t>This document provides a comprehensive, publication-quality slide-by-slide technical, mathematical, and oral defense guide for the 10-slide presentation deck (</w:t>
      </w:r>
      <w:r>
        <w:rPr>
          <w:rFonts w:ascii="Consolas" w:hAnsi="Consolas"/>
          <w:color w:val="2563EB"/>
          <w:sz w:val="19"/>
        </w:rPr>
        <w:t>SDP_Review2_Presentation.pptx</w:t>
      </w:r>
      <w:r>
        <w:rPr>
          <w:rFonts w:ascii="Calibri" w:hAnsi="Calibri"/>
          <w:i w:val="0"/>
          <w:color w:val="1E293B"/>
          <w:sz w:val="20"/>
        </w:rPr>
        <w:t xml:space="preserve">) prepared for </w:t>
      </w:r>
      <w:r>
        <w:rPr>
          <w:rFonts w:ascii="Calibri" w:hAnsi="Calibri"/>
          <w:b/>
          <w:color w:val="1E293B"/>
          <w:sz w:val="20"/>
        </w:rPr>
        <w:t>SDP Review 2</w:t>
      </w:r>
      <w:r>
        <w:rPr>
          <w:rFonts w:ascii="Calibri" w:hAnsi="Calibri"/>
          <w:i w:val="0"/>
          <w:color w:val="1E293B"/>
          <w:sz w:val="20"/>
        </w:rPr>
        <w:t>. Every single slide is strictly mapped to the assessment parameters and Performance Indicators (PIs) established by the Department of Computer Science &amp; Engineering, KLE Technological University (specifically PI 3.1.3, PI 3.3.1, PI 3.3.3, PI 5.2.2, PI 12.1.2, PI 9.1.2, and PI 9.1.3).</w:t>
      </w:r>
    </w:p>
    <w:tbl>
      <w:tblPr>
        <w:tblW w:type="auto" w:w="0"/>
        <w:jc w:val="center"/>
        <w:tblLayout w:type="fixed"/>
        <w:tblLook w:firstColumn="1" w:firstRow="1" w:lastColumn="0" w:lastRow="0" w:noHBand="0" w:noVBand="1" w:val="04A0"/>
        <w:tblBorders>
          <w:top w:val="single" w:sz="8" w:space="0" w:color="CBD5E1"/>
          <w:bottom w:val="single" w:sz="8" w:space="0" w:color="CBD5E1"/>
          <w:insideH w:val="single" w:sz="4" w:space="0" w:color="CBD5E1"/>
          <w:left w:val="none"/>
          <w:right w:val="none"/>
          <w:insideV w:val="none"/>
        </w:tblBorders>
      </w:tblPr>
      <w:tblGrid>
        <w:gridCol w:w="2340"/>
        <w:gridCol w:w="2340"/>
        <w:gridCol w:w="2340"/>
        <w:gridCol w:w="2340"/>
      </w:tblGrid>
      <w:tr>
        <w:trPr>
          <w:tblHeader/>
          <w:cantSplit/>
        </w:trPr>
        <w:tc>
          <w:tcPr>
            <w:tcW w:type="dxa" w:w="1296"/>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Slide #</w:t>
            </w:r>
          </w:p>
        </w:tc>
        <w:tc>
          <w:tcPr>
            <w:tcW w:type="dxa" w:w="3312"/>
            <w:shd w:fill="1A5FB4"/>
            <w:tcMar>
              <w:top w:w="100" w:type="dxa"/>
              <w:bottom w:w="100" w:type="dxa"/>
              <w:left w:w="120" w:type="dxa"/>
              <w:right w:w="120" w:type="dxa"/>
            </w:tcMar>
            <w:vAlign w:val="center"/>
          </w:tcPr>
          <w:p>
            <w:pPr>
              <w:spacing w:before="0" w:after="0"/>
              <w:jc w:val="left"/>
            </w:pPr>
            <w:r>
              <w:rPr>
                <w:rFonts w:ascii="Calibri" w:hAnsi="Calibri"/>
                <w:b/>
                <w:color w:val="FFFFFF"/>
                <w:sz w:val="18"/>
              </w:rPr>
              <w:t>Slide Title</w:t>
            </w:r>
          </w:p>
        </w:tc>
        <w:tc>
          <w:tcPr>
            <w:tcW w:type="dxa" w:w="2160"/>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Primary Rubric Mapping</w:t>
            </w:r>
          </w:p>
        </w:tc>
        <w:tc>
          <w:tcPr>
            <w:tcW w:type="dxa" w:w="2592"/>
            <w:shd w:fill="1A5FB4"/>
            <w:tcMar>
              <w:top w:w="100" w:type="dxa"/>
              <w:bottom w:w="100" w:type="dxa"/>
              <w:left w:w="120" w:type="dxa"/>
              <w:right w:w="120" w:type="dxa"/>
            </w:tcMar>
            <w:vAlign w:val="center"/>
          </w:tcPr>
          <w:p>
            <w:pPr>
              <w:spacing w:before="0" w:after="0"/>
              <w:jc w:val="left"/>
            </w:pPr>
            <w:r>
              <w:rPr>
                <w:rFonts w:ascii="Calibri" w:hAnsi="Calibri"/>
                <w:b/>
                <w:color w:val="FFFFFF"/>
                <w:sz w:val="18"/>
              </w:rPr>
              <w:t>Core Evaluation Deliverable</w:t>
            </w:r>
          </w:p>
        </w:tc>
      </w:tr>
      <w:tr>
        <w:trPr>
          <w:cantSplit/>
        </w:trPr>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1</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Title &amp; Team Information</w:t>
            </w:r>
          </w:p>
        </w:tc>
        <w:tc>
          <w:tcPr>
            <w:tcW w:type="dxa" w:w="2160"/>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9.1.2 / PI 9.1.3</w:t>
            </w:r>
          </w:p>
        </w:tc>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Professional presentation opening, project identification, team roles</w:t>
            </w:r>
          </w:p>
        </w:tc>
      </w:tr>
      <w:tr>
        <w:trPr>
          <w:cantSplit/>
        </w:trPr>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2</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Review 1 Feedback &amp; Problem Formulation</w:t>
            </w:r>
          </w:p>
        </w:tc>
        <w:tc>
          <w:tcPr>
            <w:tcW w:type="dxa" w:w="2160"/>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3.1.3 / PI 12.1.2</w:t>
            </w:r>
          </w:p>
        </w:tc>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Critical analysis of Review 1 critique, single rare disease justification, baseline scope</w:t>
            </w:r>
          </w:p>
        </w:tc>
      </w:tr>
      <w:tr>
        <w:trPr>
          <w:cantSplit/>
        </w:trPr>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3</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Target Pathology — Idiopathic Pulmonary Fibrosis (IPF)</w:t>
            </w:r>
          </w:p>
        </w:tc>
        <w:tc>
          <w:tcPr>
            <w:tcW w:type="dxa" w:w="2160"/>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3.1.3</w:t>
            </w:r>
          </w:p>
        </w:tc>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Clinical domain severity (ORPHA:2032), HRCT diagnostic dilemma, privacy-scarcity paradox</w:t>
            </w:r>
          </w:p>
        </w:tc>
      </w:tr>
      <w:tr>
        <w:trPr>
          <w:cantSplit/>
        </w:trPr>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4</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System Requirements Specification</w:t>
            </w:r>
          </w:p>
        </w:tc>
        <w:tc>
          <w:tcPr>
            <w:tcW w:type="dxa" w:w="2160"/>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3.1.3</w:t>
            </w:r>
          </w:p>
        </w:tc>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Functional Requirements (FR1–FR6), Non-Functional Requirements (NFR1–NFR4), Constraints, Assumptions</w:t>
            </w:r>
          </w:p>
        </w:tc>
      </w:tr>
      <w:tr>
        <w:trPr>
          <w:cantSplit/>
        </w:trPr>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5</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System Architecture — FedGen-Rare</w:t>
            </w:r>
          </w:p>
        </w:tc>
        <w:tc>
          <w:tcPr>
            <w:tcW w:type="dxa" w:w="2160"/>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3.3.1</w:t>
            </w:r>
          </w:p>
        </w:tc>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Pictorial architectural representation, 2-stage federated pipeline, UML component interaction</w:t>
            </w:r>
          </w:p>
        </w:tc>
      </w:tr>
      <w:tr>
        <w:trPr>
          <w:cantSplit/>
        </w:trPr>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6</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Baseline Analysis — Why FedIIC Fails on Rare Diseases</w:t>
            </w:r>
          </w:p>
        </w:tc>
        <w:tc>
          <w:tcPr>
            <w:tcW w:type="dxa" w:w="2160"/>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3.3.3 / PI 12.1.2</w:t>
            </w:r>
          </w:p>
        </w:tc>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Mathematical proof of failure: IntraSCL positive-pair starvation &amp; DALA margin breakdown</w:t>
            </w:r>
          </w:p>
        </w:tc>
      </w:tr>
      <w:tr>
        <w:trPr>
          <w:cantSplit/>
        </w:trPr>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7</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Detailed Design — Algorithms &amp; Mathematics</w:t>
            </w:r>
          </w:p>
        </w:tc>
        <w:tc>
          <w:tcPr>
            <w:tcW w:type="dxa" w:w="2160"/>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3.3.3</w:t>
            </w:r>
          </w:p>
        </w:tc>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Mathematical formulations (L_gen, L_FM, L_DIV, L_clf), Algorithms 1–3 with strict I/O specs</w:t>
            </w:r>
          </w:p>
        </w:tc>
      </w:tr>
      <w:tr>
        <w:trPr>
          <w:cantSplit/>
        </w:trPr>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8</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Modern Tools &amp; Module Testing Suite</w:t>
            </w:r>
          </w:p>
        </w:tc>
        <w:tc>
          <w:tcPr>
            <w:tcW w:type="dxa" w:w="2160"/>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5.2.2 / PI 12.1.2</w:t>
            </w:r>
          </w:p>
        </w:tc>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Engineering toolchain (PyTorch, pytest, Draw.io, LaTeX) + 31/31 passing unit tests</w:t>
            </w:r>
          </w:p>
        </w:tc>
      </w:tr>
      <w:tr>
        <w:trPr>
          <w:cantSplit/>
        </w:trPr>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9</w:t>
            </w:r>
          </w:p>
        </w:tc>
        <w:tc>
          <w:tcPr>
            <w:tcW w:type="dxa" w:w="331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Baseline Paper Results &amp; Scientific Gap Analysis</w:t>
            </w:r>
          </w:p>
        </w:tc>
        <w:tc>
          <w:tcPr>
            <w:tcW w:type="dxa" w:w="2160"/>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3.1.3 / PI 12.1.2</w:t>
            </w:r>
          </w:p>
        </w:tc>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Published SOTA results from MICCAI '23 (24%–55% error), explanation of why 100% was an artifact</w:t>
            </w:r>
          </w:p>
        </w:tc>
      </w:tr>
      <w:tr>
        <w:trPr>
          <w:cantSplit/>
        </w:trPr>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10</w:t>
            </w:r>
          </w:p>
        </w:tc>
        <w:tc>
          <w:tcPr>
            <w:tcW w:type="dxa" w:w="331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Thank You &amp; Discussion</w:t>
            </w:r>
          </w:p>
        </w:tc>
        <w:tc>
          <w:tcPr>
            <w:tcW w:type="dxa" w:w="2160"/>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PI 9.1.3</w:t>
            </w:r>
          </w:p>
        </w:tc>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Professional closing, open defense facilitation, repository access</w:t>
            </w:r>
          </w:p>
        </w:tc>
      </w:tr>
    </w:tbl>
    <w:p>
      <w:pPr>
        <w:spacing w:after="80"/>
      </w:pPr>
    </w:p>
    <w:p>
      <w:pPr>
        <w:keepNext/>
        <w:spacing w:before="280" w:after="60"/>
      </w:pPr>
      <w:r>
        <w:rPr>
          <w:rFonts w:ascii="Calibri" w:hAnsi="Calibri"/>
          <w:b/>
          <w:color w:val="0A2540"/>
          <w:sz w:val="30"/>
        </w:rPr>
        <w:t>Slide 1: Cover — Title &amp; Team Information</w:t>
      </w:r>
      <w:r>
        <w:rPr>
          <w:rFonts w:ascii="Calibri" w:hAnsi="Calibri"/>
          <w:b/>
          <w:color w:val="1A5FB4"/>
          <w:sz w:val="21"/>
        </w:rPr>
        <w:t xml:space="preserve">  [PI 9.1.2 / PI 9.1.3]</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Team - 48</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Senior Design Project (SDP) – Review 2</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9.1.2</w:t>
      </w:r>
      <w:r>
        <w:rPr>
          <w:rFonts w:ascii="Calibri" w:hAnsi="Calibri"/>
          <w:i w:val="0"/>
          <w:color w:val="1E293B"/>
          <w:sz w:val="19"/>
        </w:rPr>
        <w:t xml:space="preserve"> (Organize and produce well-structured presentation content) &amp; </w:t>
      </w:r>
      <w:r>
        <w:rPr>
          <w:rFonts w:ascii="Calibri" w:hAnsi="Calibri"/>
          <w:b/>
          <w:color w:val="1E293B"/>
          <w:sz w:val="19"/>
        </w:rPr>
        <w:t>PI 9.1.3</w:t>
      </w:r>
      <w:r>
        <w:rPr>
          <w:rFonts w:ascii="Calibri" w:hAnsi="Calibri"/>
          <w:i w:val="0"/>
          <w:color w:val="1E293B"/>
          <w:sz w:val="19"/>
        </w:rPr>
        <w:t xml:space="preserve"> (Effective oral delivery and professional introduction).</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Clean modern header card, KLE Tech institutional color accents, team member credentials table, project title, guide designation.</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Project Title:</w:t>
      </w:r>
      <w:r>
        <w:rPr>
          <w:rFonts w:ascii="Calibri" w:hAnsi="Calibri"/>
          <w:i w:val="0"/>
          <w:color w:val="1E293B"/>
          <w:sz w:val="19"/>
        </w:rPr>
        <w:t xml:space="preserve"> </w:t>
      </w:r>
      <w:r>
        <w:rPr>
          <w:rFonts w:ascii="Calibri" w:hAnsi="Calibri"/>
          <w:i/>
          <w:color w:val="1E293B"/>
          <w:sz w:val="19"/>
        </w:rPr>
        <w:t>Privacy-Preserving Federated Generative Replay for Rare Disease Diagnosis: A Multi-Center Study on Idiopathic Pulmonary Fibrosis (IPF)</w:t>
      </w:r>
    </w:p>
    <w:p>
      <w:pPr>
        <w:pStyle w:val="ListBullet"/>
        <w:spacing w:before="0" w:after="50" w:line="269" w:lineRule="auto"/>
        <w:ind w:left="360"/>
      </w:pPr>
      <w:r>
        <w:rPr>
          <w:rFonts w:ascii="Calibri" w:hAnsi="Calibri"/>
          <w:b/>
          <w:color w:val="1E293B"/>
          <w:sz w:val="19"/>
        </w:rPr>
        <w:t>Project Guide:</w:t>
      </w:r>
      <w:r>
        <w:rPr>
          <w:rFonts w:ascii="Calibri" w:hAnsi="Calibri"/>
          <w:i w:val="0"/>
          <w:color w:val="1E293B"/>
          <w:sz w:val="19"/>
        </w:rPr>
        <w:t xml:space="preserve"> Prof. Mallikarjun Akki</w:t>
      </w:r>
    </w:p>
    <w:p>
      <w:pPr>
        <w:pStyle w:val="ListBullet"/>
        <w:spacing w:before="0" w:after="50" w:line="269" w:lineRule="auto"/>
        <w:ind w:left="360"/>
      </w:pPr>
      <w:r>
        <w:rPr>
          <w:rFonts w:ascii="Calibri" w:hAnsi="Calibri"/>
          <w:b/>
          <w:color w:val="1E293B"/>
          <w:sz w:val="19"/>
        </w:rPr>
        <w:t>Student Credentials:</w:t>
      </w:r>
      <w:r>
        <w:rPr>
          <w:rFonts w:ascii="Calibri" w:hAnsi="Calibri"/>
          <w:i w:val="0"/>
          <w:color w:val="1E293B"/>
          <w:sz w:val="19"/>
        </w:rPr>
        <w:t xml:space="preserve"> Ishwari J (Roll 117), Rakshita J (Roll 217), Amrutavarshini B (Roll 219), Aditya C (Roll 217).</w:t>
      </w:r>
    </w:p>
    <w:p>
      <w:pPr>
        <w:pStyle w:val="ListBullet"/>
        <w:spacing w:before="0" w:after="50" w:line="269" w:lineRule="auto"/>
        <w:ind w:left="360"/>
      </w:pPr>
      <w:r>
        <w:rPr>
          <w:rFonts w:ascii="Calibri" w:hAnsi="Calibri"/>
          <w:b/>
          <w:color w:val="1E293B"/>
          <w:sz w:val="19"/>
        </w:rPr>
        <w:t>Institutional Affiliation:</w:t>
      </w:r>
      <w:r>
        <w:rPr>
          <w:rFonts w:ascii="Calibri" w:hAnsi="Calibri"/>
          <w:i w:val="0"/>
          <w:color w:val="1E293B"/>
          <w:sz w:val="19"/>
        </w:rPr>
        <w:t xml:space="preserve"> Department of Computer Science and Engineering, KLE Technological University, Hubballi.</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Slide 1 establishes the scope and identity of the project. The title encapsulates three foundational pillars of modern clinical artificial intelligence:</w:t>
      </w:r>
    </w:p>
    <w:p>
      <w:pPr>
        <w:pStyle w:val="ListBullet"/>
        <w:spacing w:before="0" w:after="50" w:line="269" w:lineRule="auto"/>
        <w:ind w:left="360"/>
      </w:pPr>
      <w:r>
        <w:rPr>
          <w:rFonts w:ascii="Calibri" w:hAnsi="Calibri"/>
          <w:b/>
          <w:color w:val="1E293B"/>
          <w:sz w:val="19"/>
        </w:rPr>
        <w:t>Privacy-Preservation:</w:t>
      </w:r>
      <w:r>
        <w:rPr>
          <w:rFonts w:ascii="Calibri" w:hAnsi="Calibri"/>
          <w:i w:val="0"/>
          <w:color w:val="1E293B"/>
          <w:sz w:val="19"/>
        </w:rPr>
        <w:t xml:space="preserve"> Strict compliance with international health data regulations (HIPAA in the US, GDPR in Europe, and DISHA in India). No raw medical imaging data (DICOM CT slices) ever cross hospital perimeters.</w:t>
      </w:r>
    </w:p>
    <w:p>
      <w:pPr>
        <w:pStyle w:val="ListBullet"/>
        <w:spacing w:before="0" w:after="50" w:line="269" w:lineRule="auto"/>
        <w:ind w:left="360"/>
      </w:pPr>
      <w:r>
        <w:rPr>
          <w:rFonts w:ascii="Calibri" w:hAnsi="Calibri"/>
          <w:b/>
          <w:color w:val="1E293B"/>
          <w:sz w:val="19"/>
        </w:rPr>
        <w:t>Federated Generative Replay:</w:t>
      </w:r>
      <w:r>
        <w:rPr>
          <w:rFonts w:ascii="Calibri" w:hAnsi="Calibri"/>
          <w:i w:val="0"/>
          <w:color w:val="1E293B"/>
          <w:sz w:val="19"/>
        </w:rPr>
        <w:t xml:space="preserve"> Instead of sharing raw patient data or relying on centralized servers to balance classes, edge nodes synthesize latent feature representations locally. This eliminates class imbalance without transferring identifiable patient attributes.</w:t>
      </w:r>
    </w:p>
    <w:p>
      <w:pPr>
        <w:pStyle w:val="ListBullet"/>
        <w:spacing w:before="0" w:after="50" w:line="269" w:lineRule="auto"/>
        <w:ind w:left="360"/>
      </w:pPr>
      <w:r>
        <w:rPr>
          <w:rFonts w:ascii="Calibri" w:hAnsi="Calibri"/>
          <w:b/>
          <w:color w:val="1E293B"/>
          <w:sz w:val="19"/>
        </w:rPr>
        <w:t>Multi-Center Study on Idiopathic Pulmonary Fibrosis (IPF):</w:t>
      </w:r>
      <w:r>
        <w:rPr>
          <w:rFonts w:ascii="Calibri" w:hAnsi="Calibri"/>
          <w:i w:val="0"/>
          <w:color w:val="1E293B"/>
          <w:sz w:val="19"/>
        </w:rPr>
        <w:t xml:space="preserve"> Grounding the algorithmic engineering in a high-impact, clinically validated, ultra-rare thoracic pathology where conventional centralized machine learning fails due to severe data scarcity.</w:t>
      </w: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"Good morning, respected members of the evaluation panel and our project guide, Prof. Mallikarjun Akki. We are Team 48, comprising Ishwari, Rakshita, Amrutavarshini, and Aditya from the Department of Computer Science and Engineering. Today, we present our Senior Design Project Review 2 on 'Privacy-Preserving Federated Generative Replay for Rare Disease Diagnosis: A Multi-Center Study on Idiopathic Pulmonary Fibrosis'."</w:t>
            </w:r>
          </w:p>
          <w:p>
            <w:pPr>
              <w:spacing w:before="40" w:after="0" w:line="276" w:lineRule="auto"/>
            </w:pPr>
            <w:r>
              <w:rPr>
                <w:rFonts w:ascii="Calibri" w:hAnsi="Calibri"/>
                <w:i/>
                <w:color w:val="1E293B"/>
                <w:sz w:val="19"/>
              </w:rPr>
              <w:t>"In Review 1, our problem formulation was evaluated, and the panel provided constructive critique regarding disease scoping and baseline justification. Over the past several weeks, we have addressed every feedback item, formalized the system requirements under PI 3.1.3, engineered a modular pictorial system architecture under PI 3.3.1, mathematically formalized our algorithms under PI 3.3.3, and built a 31-test automated verification suite using modern tools under PI 5.2.2 and PI 12.1.2. We are excited to walk you through our technical progress."</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did your title specifically change to emphasize a single rare disease instead of a generic multi-disease federated platform?</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In Review 1, the panel rightly pointed out that clinical imaging modalities are fundamentally non-interoperable across disparate rare diseases—for example, ophthalmological fundus scans cannot share convolutional feature extractors with thoracic high-resolution CT scans. Furthermore, gradient updates across unrelated diseases are orthogonal or conflicting, inducing catastrophic client drift. Therefore, we tightened our scope to Idiopathic Pulmonary Fibrosis (IPF), where federated multi-center collaboration solves a genuine clinical bottleneck.</w:t>
            </w:r>
          </w:p>
        </w:tc>
      </w:tr>
    </w:tbl>
    <w:p>
      <w:pPr>
        <w:spacing w:after="40"/>
      </w:pPr>
    </w:p>
    <w:p>
      <w:pPr>
        <w:keepNext/>
        <w:spacing w:before="280" w:after="60"/>
      </w:pPr>
      <w:r>
        <w:rPr>
          <w:rFonts w:ascii="Calibri" w:hAnsi="Calibri"/>
          <w:b/>
          <w:color w:val="0A2540"/>
          <w:sz w:val="30"/>
        </w:rPr>
        <w:t>Slide 2: Review 1 Feedback &amp; Problem Formulation</w:t>
      </w:r>
      <w:r>
        <w:rPr>
          <w:rFonts w:ascii="Calibri" w:hAnsi="Calibri"/>
          <w:b/>
          <w:color w:val="1A5FB4"/>
          <w:sz w:val="21"/>
        </w:rPr>
        <w:t xml:space="preserve">  [PI 3.1.3 / PI 12.1.2]</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Review 1 Feedback &amp; Problem Formulation</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ADDRESSING REVIEWER CRITIQUE &amp; RESEARCH JUSTIFICATION</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3.1.3</w:t>
      </w:r>
      <w:r>
        <w:rPr>
          <w:rFonts w:ascii="Calibri" w:hAnsi="Calibri"/>
          <w:i w:val="0"/>
          <w:color w:val="1E293B"/>
          <w:sz w:val="19"/>
        </w:rPr>
        <w:t xml:space="preserve"> (Design objectives and literature review alignment) &amp; </w:t>
      </w:r>
      <w:r>
        <w:rPr>
          <w:rFonts w:ascii="Calibri" w:hAnsi="Calibri"/>
          <w:b/>
          <w:color w:val="1E293B"/>
          <w:sz w:val="19"/>
        </w:rPr>
        <w:t>PI 12.1.2</w:t>
      </w:r>
      <w:r>
        <w:rPr>
          <w:rFonts w:ascii="Calibri" w:hAnsi="Calibri"/>
          <w:i w:val="0"/>
          <w:color w:val="1E293B"/>
          <w:sz w:val="19"/>
        </w:rPr>
        <w:t xml:space="preserve"> (Critical thinking, addressing feedback, and scientific justification).</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Split-column layout. Left column: Reviewer critique and scientific reasons why the critique was valid. Right column: Selected single disease focus, identified SOTA baseline, and concrete scope for improvement.</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1. Reviewer Feedback &amp; Critique:</w:t>
      </w:r>
      <w:r>
        <w:rPr>
          <w:rFonts w:ascii="Calibri" w:hAnsi="Calibri"/>
          <w:i w:val="0"/>
          <w:color w:val="1E293B"/>
          <w:sz w:val="19"/>
        </w:rPr>
        <w:t xml:space="preserve"> 'Federated learning cannot be done for multiple rare diseases simultaneously. You must focus on a single rare disease — either a unique one or an existing baseline having clear scope for improvement.'</w:t>
      </w:r>
    </w:p>
    <w:p>
      <w:pPr>
        <w:pStyle w:val="ListBullet"/>
        <w:spacing w:before="0" w:after="50" w:line="269" w:lineRule="auto"/>
        <w:ind w:left="720"/>
      </w:pPr>
      <w:r>
        <w:rPr>
          <w:rFonts w:ascii="Calibri" w:hAnsi="Calibri"/>
          <w:b/>
          <w:color w:val="1E293B"/>
          <w:sz w:val="19"/>
        </w:rPr>
        <w:t>Scientific Justification of Critique:</w:t>
      </w:r>
      <w:r>
        <w:rPr>
          <w:rFonts w:ascii="Calibri" w:hAnsi="Calibri"/>
          <w:i w:val="0"/>
          <w:color w:val="1E293B"/>
          <w:sz w:val="19"/>
        </w:rPr>
        <w:t xml:space="preserve"> Cross-Modality Incompatibility (retina, brain, lung scans cannot share feature extractors); Conflicting Gradient Dynamics causing severe client drift; Regulatory &amp; Cohort Isolation preventing joint clinical consent.</w:t>
      </w:r>
    </w:p>
    <w:p>
      <w:pPr>
        <w:pStyle w:val="ListBullet"/>
        <w:spacing w:before="0" w:after="50" w:line="269" w:lineRule="auto"/>
        <w:ind w:left="360"/>
      </w:pPr>
      <w:r>
        <w:rPr>
          <w:rFonts w:ascii="Calibri" w:hAnsi="Calibri"/>
          <w:b/>
          <w:color w:val="1E293B"/>
          <w:sz w:val="19"/>
        </w:rPr>
        <w:t>2. Selected Single Disease Focus — Idiopathic Pulmonary Fibrosis (IPF):</w:t>
      </w:r>
      <w:r>
        <w:rPr>
          <w:rFonts w:ascii="Calibri" w:hAnsi="Calibri"/>
          <w:i w:val="0"/>
          <w:color w:val="1E293B"/>
          <w:sz w:val="19"/>
        </w:rPr>
        <w:t xml:space="preserve"> High-impact progressive interstitial lung disease with severe data scarcity (prevalence &lt; 0.05%, ORPHA:2032).</w:t>
      </w:r>
    </w:p>
    <w:p>
      <w:pPr>
        <w:pStyle w:val="ListBullet"/>
        <w:spacing w:before="0" w:after="50" w:line="269" w:lineRule="auto"/>
        <w:ind w:left="360"/>
      </w:pPr>
      <w:r>
        <w:rPr>
          <w:rFonts w:ascii="Calibri" w:hAnsi="Calibri"/>
          <w:b/>
          <w:color w:val="1E293B"/>
          <w:sz w:val="19"/>
        </w:rPr>
        <w:t>3. Identified SOTA Baseline — FedIIC (MICCAI 2023):</w:t>
      </w:r>
      <w:r>
        <w:rPr>
          <w:rFonts w:ascii="Calibri" w:hAnsi="Calibri"/>
          <w:i w:val="0"/>
          <w:color w:val="1E293B"/>
          <w:sz w:val="19"/>
        </w:rPr>
        <w:t xml:space="preserve"> Recognized state-of-the-art framework for class-imbalanced federated medical imaging.</w:t>
      </w:r>
    </w:p>
    <w:p>
      <w:pPr>
        <w:pStyle w:val="ListBullet"/>
        <w:spacing w:before="0" w:after="50" w:line="269" w:lineRule="auto"/>
        <w:ind w:left="360"/>
      </w:pPr>
      <w:r>
        <w:rPr>
          <w:rFonts w:ascii="Calibri" w:hAnsi="Calibri"/>
          <w:b/>
          <w:color w:val="1E293B"/>
          <w:sz w:val="19"/>
        </w:rPr>
        <w:t>4. Concrete Scope for Improvement:</w:t>
      </w:r>
      <w:r>
        <w:rPr>
          <w:rFonts w:ascii="Calibri" w:hAnsi="Calibri"/>
          <w:i w:val="0"/>
          <w:color w:val="1E293B"/>
          <w:sz w:val="19"/>
        </w:rPr>
        <w:t xml:space="preserve"> FedIIC collapses on ultra-rare diseases where community clinics have 0 or 1 scan because IntraSCL starves of positive pairs and DALA logit adjustment diverges. FedGen-Rare solves both failure modes.</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Addressing reviewer feedback with scientific humility and engineering precision is a core requirement of PI 12.1.2. The committee's critique in Review 1 was thoroughly validated through our literature analysis:</w:t>
      </w:r>
    </w:p>
    <w:p>
      <w:pPr>
        <w:pStyle w:val="ListBullet"/>
        <w:spacing w:before="0" w:after="50" w:line="269" w:lineRule="auto"/>
        <w:ind w:left="360"/>
      </w:pPr>
      <w:r>
        <w:rPr>
          <w:rFonts w:ascii="Calibri" w:hAnsi="Calibri"/>
          <w:b/>
          <w:color w:val="1E293B"/>
          <w:sz w:val="19"/>
        </w:rPr>
        <w:t>Representation Space Heterogeneity:</w:t>
      </w:r>
      <w:r>
        <w:rPr>
          <w:rFonts w:ascii="Calibri" w:hAnsi="Calibri"/>
          <w:i w:val="0"/>
          <w:color w:val="1E293B"/>
          <w:sz w:val="19"/>
        </w:rPr>
        <w:t xml:space="preserve"> Attempting to train a shared ResNet backbone on fundus imaging (2D RGB), brain MRI (3D T1/T2), and thoracic CT (axial Hounsfield Units) requires either disparate encoder heads or an excessively dilated feature manifold that destroys local feature granularity.</w:t>
      </w:r>
    </w:p>
    <w:p>
      <w:pPr>
        <w:pStyle w:val="ListBullet"/>
        <w:spacing w:before="0" w:after="50" w:line="269" w:lineRule="auto"/>
        <w:ind w:left="360"/>
      </w:pPr>
      <w:r>
        <w:rPr>
          <w:rFonts w:ascii="Calibri" w:hAnsi="Calibri"/>
          <w:b/>
          <w:color w:val="1E293B"/>
          <w:sz w:val="19"/>
        </w:rPr>
        <w:t>Gradient Orthogonality:</w:t>
      </w:r>
      <w:r>
        <w:rPr>
          <w:rFonts w:ascii="Calibri" w:hAnsi="Calibri"/>
          <w:i w:val="0"/>
          <w:color w:val="1E293B"/>
          <w:sz w:val="19"/>
        </w:rPr>
        <w:t xml:space="preserve"> Gradients calculated on retinal microaneurysms point in orthogonal directions relative to gradients calculated on pulmonary honeycombing, causing destructive gradient cancellation during federated averaging.</w:t>
      </w:r>
    </w:p>
    <w:p>
      <w:pPr>
        <w:pStyle w:val="ListBullet"/>
        <w:spacing w:before="0" w:after="50" w:line="269" w:lineRule="auto"/>
        <w:ind w:left="360"/>
      </w:pPr>
      <w:r>
        <w:rPr>
          <w:rFonts w:ascii="Calibri" w:hAnsi="Calibri"/>
          <w:b/>
          <w:color w:val="1E293B"/>
          <w:sz w:val="19"/>
        </w:rPr>
        <w:t>Baseline Selection Rigor:</w:t>
      </w:r>
      <w:r>
        <w:rPr>
          <w:rFonts w:ascii="Calibri" w:hAnsi="Calibri"/>
          <w:i w:val="0"/>
          <w:color w:val="1E293B"/>
          <w:sz w:val="19"/>
        </w:rPr>
        <w:t xml:space="preserve"> By selecting FedIIC (published at MICCAI 2023, the premier venue in medical AI), we pit our proposed method against the strongest published peer-reviewed benchmark rather than an easily defeated strawman.</w:t>
      </w: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"In Review 1, the committee gave us invaluable guidance: they pointed out that federated learning across multiple heterogeneous rare diseases is fundamentally flawed, and advised us to narrow our scope to a single rare disease with an established baseline and clear scope for improvement."</w:t>
            </w:r>
          </w:p>
          <w:p>
            <w:pPr>
              <w:spacing w:before="40" w:after="80" w:line="276" w:lineRule="auto"/>
            </w:pPr>
            <w:r>
              <w:rPr>
                <w:rFonts w:ascii="Calibri" w:hAnsi="Calibri"/>
                <w:i/>
                <w:color w:val="1E293B"/>
                <w:sz w:val="19"/>
              </w:rPr>
              <w:t>"On Slide 2, we show how we embraced this feedback. We scientifically validated the panel's critique: disparate rare diseases use non-interoperable imaging modalities, induce conflicting gradient trajectories, and introduce insurmountable data governance barriers."</w:t>
            </w:r>
          </w:p>
          <w:p>
            <w:pPr>
              <w:spacing w:before="40" w:after="0" w:line="276" w:lineRule="auto"/>
            </w:pPr>
            <w:r>
              <w:rPr>
                <w:rFonts w:ascii="Calibri" w:hAnsi="Calibri"/>
                <w:i/>
                <w:color w:val="1E293B"/>
                <w:sz w:val="19"/>
              </w:rPr>
              <w:t>"Consequently, we focused strictly on Idiopathic Pulmonary Fibrosis (IPF)—a lethal, data-scarce lung pathology. We identified our SOTA baseline: FedIIC, published at MICCAI 2023. While FedIIC handles mild long-tailed imbalance, we mathematically demonstrate that it collapses when applied to ultra-rare diseases where community hospitals have zero or one patient. Resolving this failure provides our clear scope for novel scientific contribution."</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didn't you pick a more common disease like COVID-19 or pneumonia where lots of data is available?</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Common conditions like pneumonia or COVID-19 have abundant data in nearly every district hospital; centralized models already achieve &gt;95% accuracy on them, leaving little room for novel research. In contrast, IPF is an ultra-rare disease where individual community hospitals might only encounter 1 to 3 cases a year. Federated learning is uniquely required here because no single hospital has enough cases to train a deep model, and privacy regulations prevent pooling them.</w:t>
            </w:r>
          </w:p>
          <w:p>
            <w:pPr>
              <w:spacing w:before="80" w:after="40" w:line="269" w:lineRule="auto"/>
            </w:pPr>
            <w:r>
              <w:rPr>
                <w:rFonts w:ascii="Calibri" w:hAnsi="Calibri"/>
                <w:b/>
                <w:color w:val="92400E"/>
                <w:sz w:val="19"/>
              </w:rPr>
              <w:t xml:space="preserve">Q2: </w:t>
            </w:r>
            <w:r>
              <w:rPr>
                <w:rFonts w:ascii="Calibri" w:hAnsi="Calibri"/>
                <w:i w:val="0"/>
                <w:color w:val="92400E"/>
                <w:sz w:val="19"/>
              </w:rPr>
              <w:t>What exactly is FedIIC and why is it your chosen baseline?</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FedIIC was published at MICCAI 2023 (Early Accept) specifically to solve class imbalance in federated medical imaging using Intra-Client Supervised Contrastive Learning (IntraSCL) and Dynamic Logit Adjustment (DALA). Because it is the current benchmark cited across literature, demonstrating its mathematical failure on rare diseases and proving our improvement provides the highest standard of scientific contribution.</w:t>
            </w:r>
          </w:p>
        </w:tc>
      </w:tr>
    </w:tbl>
    <w:p>
      <w:pPr>
        <w:spacing w:after="40"/>
      </w:pPr>
    </w:p>
    <w:p>
      <w:pPr>
        <w:keepNext/>
        <w:spacing w:before="280" w:after="60"/>
      </w:pPr>
      <w:r>
        <w:rPr>
          <w:rFonts w:ascii="Calibri" w:hAnsi="Calibri"/>
          <w:b/>
          <w:color w:val="0A2540"/>
          <w:sz w:val="30"/>
        </w:rPr>
        <w:t>Slide 3: Target Pathology — Idiopathic Pulmonary Fibrosis (IPF)</w:t>
      </w:r>
      <w:r>
        <w:rPr>
          <w:rFonts w:ascii="Calibri" w:hAnsi="Calibri"/>
          <w:b/>
          <w:color w:val="1A5FB4"/>
          <w:sz w:val="21"/>
        </w:rPr>
        <w:t xml:space="preserve">  [PI 3.1.3]</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Target Pathology — Idiopathic Pulmonary Fibrosis (IPF)</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CLINICAL PROFILE, DIAGNOSTIC DILEMMA &amp; FEDERATED CHALLENGE</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3.1.3</w:t>
      </w:r>
      <w:r>
        <w:rPr>
          <w:rFonts w:ascii="Calibri" w:hAnsi="Calibri"/>
          <w:i w:val="0"/>
          <w:color w:val="1E293B"/>
          <w:sz w:val="19"/>
        </w:rPr>
        <w:t xml:space="preserve"> (Demonstrate clear clinical context, constraints, and problem significance).</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Three distinct clinical insight cards: (1) Clinical Severity &amp; Epidemiological Rarity (ORPHA:2032), (2) Diagnostic Dilemma on High-Resolution CT (HRCT), and (3) Why Federated Learning is Mandatory (Privacy-Scarcity Paradox).</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1. Clinical Severity &amp; Epidemiological Rarity (ORPHA:2032):</w:t>
      </w:r>
      <w:r>
        <w:rPr>
          <w:rFonts w:ascii="Calibri" w:hAnsi="Calibri"/>
          <w:i w:val="0"/>
          <w:color w:val="1E293B"/>
          <w:sz w:val="19"/>
        </w:rPr>
        <w:t xml:space="preserve"> Irreversible progressive fibrosing interstitial pneumonia; median survival 2–3 years (worse prognosis than most common stage III malignancies); prevalence &lt; 0.05% (&lt; 8% of thoracic scans in clinics).</w:t>
      </w:r>
    </w:p>
    <w:p>
      <w:pPr>
        <w:pStyle w:val="ListBullet"/>
        <w:spacing w:before="0" w:after="50" w:line="269" w:lineRule="auto"/>
        <w:ind w:left="360"/>
      </w:pPr>
      <w:r>
        <w:rPr>
          <w:rFonts w:ascii="Calibri" w:hAnsi="Calibri"/>
          <w:b/>
          <w:color w:val="1E293B"/>
          <w:sz w:val="19"/>
        </w:rPr>
        <w:t>2. The Diagnostic Dilemma on High-Resolution CT (HRCT):</w:t>
      </w:r>
      <w:r>
        <w:rPr>
          <w:rFonts w:ascii="Calibri" w:hAnsi="Calibri"/>
          <w:i w:val="0"/>
          <w:color w:val="1E293B"/>
          <w:sz w:val="19"/>
        </w:rPr>
        <w:t xml:space="preserve"> Early visual mimicry (subtle Ground-Glass Opacities overlap with common COPD); diagnostic hallmark is Usual Interstitial Pneumonia (UIP) featuring subpleural basal reticular honeycombing and traction bronchiectasis; community hospital diagnostic delay exceeds 1.5–2 years.</w:t>
      </w:r>
    </w:p>
    <w:p>
      <w:pPr>
        <w:pStyle w:val="ListBullet"/>
        <w:spacing w:before="0" w:after="50" w:line="269" w:lineRule="auto"/>
        <w:ind w:left="360"/>
      </w:pPr>
      <w:r>
        <w:rPr>
          <w:rFonts w:ascii="Calibri" w:hAnsi="Calibri"/>
          <w:b/>
          <w:color w:val="1E293B"/>
          <w:sz w:val="19"/>
        </w:rPr>
        <w:t>3. Why Federated Learning is Mandatory (Privacy-Scarcity Paradox):</w:t>
      </w:r>
      <w:r>
        <w:rPr>
          <w:rFonts w:ascii="Calibri" w:hAnsi="Calibri"/>
          <w:i w:val="0"/>
          <w:color w:val="1E293B"/>
          <w:sz w:val="19"/>
        </w:rPr>
        <w:t xml:space="preserve"> HIPAA and GDPR strictly prohibit cross-institutional raw CT aggregation; individual clinics have too few cases to train local models; federated training decouples learning from data sharing.</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Idiopathic Pulmonary Fibrosis represents the quintessential diagnostic challenge in medical AI:</w:t>
      </w:r>
    </w:p>
    <w:p>
      <w:pPr>
        <w:pStyle w:val="ListBullet"/>
        <w:spacing w:before="0" w:after="50" w:line="269" w:lineRule="auto"/>
        <w:ind w:left="360"/>
      </w:pPr>
      <w:r>
        <w:rPr>
          <w:rFonts w:ascii="Calibri" w:hAnsi="Calibri"/>
          <w:b/>
          <w:color w:val="1E293B"/>
          <w:sz w:val="19"/>
        </w:rPr>
        <w:t>Epidemiological Definition:</w:t>
      </w:r>
      <w:r>
        <w:rPr>
          <w:rFonts w:ascii="Calibri" w:hAnsi="Calibri"/>
          <w:i w:val="0"/>
          <w:color w:val="1E293B"/>
          <w:sz w:val="19"/>
        </w:rPr>
        <w:t xml:space="preserve"> Classified under Orphanet code ORPHA:2032, IPF has an annual incidence of 3–9 cases per 100,000 and an estimated prevalence under 0.05%.</w:t>
      </w:r>
    </w:p>
    <w:p>
      <w:pPr>
        <w:pStyle w:val="ListBullet"/>
        <w:spacing w:before="0" w:after="50" w:line="269" w:lineRule="auto"/>
        <w:ind w:left="360"/>
      </w:pPr>
      <w:r>
        <w:rPr>
          <w:rFonts w:ascii="Calibri" w:hAnsi="Calibri"/>
          <w:b/>
          <w:color w:val="1E293B"/>
          <w:sz w:val="19"/>
        </w:rPr>
        <w:t>Radiological Phenotyping:</w:t>
      </w:r>
      <w:r>
        <w:rPr>
          <w:rFonts w:ascii="Calibri" w:hAnsi="Calibri"/>
          <w:i w:val="0"/>
          <w:color w:val="1E293B"/>
          <w:sz w:val="19"/>
        </w:rPr>
        <w:t xml:space="preserve"> The official ATS/ERS/JRS/ALAT clinical practice guidelines require identification of the Usual Interstitial Pneumonia (UIP) pattern on HRCT. Clustered cystic airspaces (3–10 mm) sharing thick fibrous walls (honeycombing) and traction bronchiectasis are subtle in early stages and visually mimic common COPD parenchymal attenuation.</w:t>
      </w:r>
    </w:p>
    <w:p>
      <w:pPr>
        <w:pStyle w:val="ListBullet"/>
        <w:spacing w:before="0" w:after="50" w:line="269" w:lineRule="auto"/>
        <w:ind w:left="360"/>
      </w:pPr>
      <w:r>
        <w:rPr>
          <w:rFonts w:ascii="Calibri" w:hAnsi="Calibri"/>
          <w:b/>
          <w:color w:val="1E293B"/>
          <w:sz w:val="19"/>
        </w:rPr>
        <w:t>The Privacy-Scarcity Paradox:</w:t>
      </w:r>
      <w:r>
        <w:rPr>
          <w:rFonts w:ascii="Calibri" w:hAnsi="Calibri"/>
          <w:i w:val="0"/>
          <w:color w:val="1E293B"/>
          <w:sz w:val="19"/>
        </w:rPr>
        <w:t xml:space="preserve"> Deep learning sample complexity requires thousands of scans, but an individual district hospital only encounters 1–3 scans per year:</w:t>
      </w:r>
    </w:p>
    <w:p>
      <w:pPr>
        <w:spacing w:before="80" w:after="80"/>
        <w:jc w:val="center"/>
      </w:pPr>
      <w:r>
        <w:rPr>
          <w:rFonts w:ascii="Cambria Math" w:hAnsi="Cambria Math"/>
          <w:i/>
          <w:color w:val="1A5FB4"/>
          <w:sz w:val="21"/>
        </w:rPr>
        <w:t>Hospital Silo Data ≪ Deep Learning Sample Complexity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40" w:lineRule="auto"/>
            </w:pPr>
            <w:r>
              <w:rPr>
                <w:rFonts w:ascii="Consolas" w:hAnsi="Consolas"/>
                <w:color w:val="1E293B"/>
                <w:sz w:val="17"/>
              </w:rPr>
              <w:t>[Hospital Silos]                       [Federated Paradigm]</w:t>
              <w:br/>
              <w:t xml:space="preserve">   +----------------------+               +--------------------------+</w:t>
              <w:br/>
              <w:t xml:space="preserve">   | Hospital A (2 scans) |               |  Raw Scans Remain Local  |</w:t>
              <w:br/>
              <w:t xml:space="preserve">   | Hospital B (0 scans) |  ---[X]---&gt;   |  Only Latent Model       |</w:t>
              <w:br/>
              <w:t xml:space="preserve">   | Hospital C (1 scan)  |   Privacy     |  Parameters Transferred  |</w:t>
              <w:br/>
              <w:t xml:space="preserve">   | Centralization ILLEGAL|   Barriers   |  Global Model Aggregated |</w:t>
              <w:br/>
              <w:t xml:space="preserve">   +----------------------+               +--------------------------+</w:t>
            </w:r>
          </w:p>
        </w:tc>
      </w:tr>
    </w:tbl>
    <w:p>
      <w:pPr>
        <w:spacing w:after="40"/>
      </w:pP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"Moving to Slide 3, we detail our target pathology: Idiopathic Pulmonary Fibrosis, or IPF, cataloged under Orphanet ID ORPHA:2032. IPF is an aggressive, irreversible interstitial lung disease. Patients face a median survival of only 2 to 3 years from diagnosis—a mortality profile worse than many stage III and IV cancers."</w:t>
            </w:r>
          </w:p>
          <w:p>
            <w:pPr>
              <w:spacing w:before="40" w:after="80" w:line="276" w:lineRule="auto"/>
            </w:pPr>
            <w:r>
              <w:rPr>
                <w:rFonts w:ascii="Calibri" w:hAnsi="Calibri"/>
                <w:i/>
                <w:color w:val="1E293B"/>
                <w:sz w:val="19"/>
              </w:rPr>
              <w:t>"Clinically, diagnosis hinges on High-Resolution Computed Tomography (HRCT). However, diagnosing IPF is notoriously difficult due to visual mimicry. In its early stages, IPF exhibits non-specific ground-glass opacities that look virtually indistinguishable from common conditions like COPD. The diagnostic hallmark of IPF is the Usual Interstitial Pneumonia (UIP) pattern—featuring subpleural reticular honeycombing and traction bronchiectasis. Because community and rural hospitals see fewer than three IPF cases annually, local radiologists often misdiagnose it as pneumonia or asthma, delaying life-prolonging antifibrotic therapy."</w:t>
            </w:r>
          </w:p>
          <w:p>
            <w:pPr>
              <w:spacing w:before="40" w:after="0" w:line="276" w:lineRule="auto"/>
            </w:pPr>
            <w:r>
              <w:rPr>
                <w:rFonts w:ascii="Calibri" w:hAnsi="Calibri"/>
                <w:i/>
                <w:color w:val="1E293B"/>
                <w:sz w:val="19"/>
              </w:rPr>
              <w:t>"This creates what we term the 'Privacy-Scarcity Paradox': community hospitals desperately need AI assistance, but their local data is too scarce to train a local model. Meanwhile, privacy laws like HIPAA and GDPR strictly prohibit uploading private CT scans to a centralized server. Federated learning is the only viable path forward—allowing hospitals to collaboratively train a global diagnostic model while keeping raw patient data strictly confidential within hospital firewalls."</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can't community hospitals just send anonymized CT scans to a central cloud server?</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True anonymization of volumetric DICOM imaging is extremely difficult. Research has demonstrated that high-resolution thoracic CT scans contain distinctive skeletal geometry and facial reconstructions that can re-identify patients. Additionally, major hospital ethics boards and strict privacy regulations such as HIPAA and GDPR explicitly forbid cross-institutional raw scan aggregation, making on-premise federated learning mandatory.</w:t>
            </w:r>
          </w:p>
          <w:p>
            <w:pPr>
              <w:spacing w:before="80" w:after="40" w:line="269" w:lineRule="auto"/>
            </w:pPr>
            <w:r>
              <w:rPr>
                <w:rFonts w:ascii="Calibri" w:hAnsi="Calibri"/>
                <w:b/>
                <w:color w:val="92400E"/>
                <w:sz w:val="19"/>
              </w:rPr>
              <w:t xml:space="preserve">Q2: </w:t>
            </w:r>
            <w:r>
              <w:rPr>
                <w:rFonts w:ascii="Calibri" w:hAnsi="Calibri"/>
                <w:i w:val="0"/>
                <w:color w:val="92400E"/>
                <w:sz w:val="19"/>
              </w:rPr>
              <w:t>How does IPF differ from other interstitial lung diseases (ILDs) on HRCT?</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Non-IPF ILDs, such as hypersensitivity pneumonitis or sarcoidosis, typically exhibit upper-lobe or mid-lung predominance with extensive ground-glass attenuation and air-trapping. In contrast, IPF exhibits a strict Usual Interstitial Pneumonia (UIP) pattern: basal, subpleural reticular thickening with peripheral honeycombing and traction bronchiectasis without significant mosaic attenuation.</w:t>
            </w:r>
          </w:p>
        </w:tc>
      </w:tr>
    </w:tbl>
    <w:p>
      <w:pPr>
        <w:spacing w:after="40"/>
      </w:pPr>
    </w:p>
    <w:p>
      <w:pPr>
        <w:keepNext/>
        <w:spacing w:before="280" w:after="60"/>
      </w:pPr>
      <w:r>
        <w:rPr>
          <w:rFonts w:ascii="Calibri" w:hAnsi="Calibri"/>
          <w:b/>
          <w:color w:val="0A2540"/>
          <w:sz w:val="30"/>
        </w:rPr>
        <w:t>Slide 4: System Requirements Specification</w:t>
      </w:r>
      <w:r>
        <w:rPr>
          <w:rFonts w:ascii="Calibri" w:hAnsi="Calibri"/>
          <w:b/>
          <w:color w:val="1A5FB4"/>
          <w:sz w:val="21"/>
        </w:rPr>
        <w:t xml:space="preserve">  [PI 3.1.3]</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System Requirements Specification</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PI 3.1.3: FUNCTIONAL, NON-FUNCTIONAL REQUIREMENTS &amp; CONSTRAINTS</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3.1.3</w:t>
      </w:r>
      <w:r>
        <w:rPr>
          <w:rFonts w:ascii="Calibri" w:hAnsi="Calibri"/>
          <w:i w:val="0"/>
          <w:color w:val="1E293B"/>
          <w:sz w:val="19"/>
        </w:rPr>
        <w:t xml:space="preserve"> (Determine design objectives along with functional and non-functional requirements, constraints, assumptions, and dependencies).</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Two-panel structured card layout. Left Panel: Functional Requirements (FR1 to FR6). Right Panel: Non-Functional Requirements (NFR1 to NFR4), System Constraints, and Explicit Assumptions.</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Functional Requirements (FR1–FR6):</w:t>
      </w:r>
    </w:p>
    <w:p>
      <w:pPr>
        <w:pStyle w:val="ListBullet"/>
        <w:spacing w:before="0" w:after="50" w:line="269" w:lineRule="auto"/>
        <w:ind w:left="720"/>
      </w:pPr>
      <w:r>
        <w:rPr>
          <w:rFonts w:ascii="Calibri" w:hAnsi="Calibri"/>
          <w:b/>
          <w:color w:val="1E293B"/>
          <w:sz w:val="19"/>
        </w:rPr>
        <w:t>FR1: Non-IID Multi-Center Partitioning:</w:t>
      </w:r>
      <w:r>
        <w:rPr>
          <w:rFonts w:ascii="Calibri" w:hAnsi="Calibri"/>
          <w:i w:val="0"/>
          <w:color w:val="1E293B"/>
          <w:sz w:val="19"/>
        </w:rPr>
        <w:t xml:space="preserve"> Dirichlet sampling (α = 0.2) across 5 simulated hospital nodes with severe rare-class scarcity (&lt; 8%).</w:t>
      </w:r>
    </w:p>
    <w:p>
      <w:pPr>
        <w:pStyle w:val="ListBullet"/>
        <w:spacing w:before="0" w:after="50" w:line="269" w:lineRule="auto"/>
        <w:ind w:left="720"/>
      </w:pPr>
      <w:r>
        <w:rPr>
          <w:rFonts w:ascii="Calibri" w:hAnsi="Calibri"/>
          <w:b/>
          <w:color w:val="1E293B"/>
          <w:sz w:val="19"/>
        </w:rPr>
        <w:t>FR2: Local Diagnostic Training:</w:t>
      </w:r>
      <w:r>
        <w:rPr>
          <w:rFonts w:ascii="Calibri" w:hAnsi="Calibri"/>
          <w:i w:val="0"/>
          <w:color w:val="1E293B"/>
          <w:sz w:val="19"/>
        </w:rPr>
        <w:t xml:space="preserve"> Support on-premise training with Cross-Entropy, FedProx (μ = 0.01), FedIIC, and Generative Replay.</w:t>
      </w:r>
    </w:p>
    <w:p>
      <w:pPr>
        <w:pStyle w:val="ListBullet"/>
        <w:spacing w:before="0" w:after="50" w:line="269" w:lineRule="auto"/>
        <w:ind w:left="720"/>
      </w:pPr>
      <w:r>
        <w:rPr>
          <w:rFonts w:ascii="Calibri" w:hAnsi="Calibri"/>
          <w:b/>
          <w:color w:val="1E293B"/>
          <w:sz w:val="19"/>
        </w:rPr>
        <w:t>FR3: Federated Generator Distillation:</w:t>
      </w:r>
      <w:r>
        <w:rPr>
          <w:rFonts w:ascii="Calibri" w:hAnsi="Calibri"/>
          <w:i w:val="0"/>
          <w:color w:val="1E293B"/>
          <w:sz w:val="19"/>
        </w:rPr>
        <w:t xml:space="preserve"> Distill global classifier knowledge into a lightweight local conditional generator (G_ψ).</w:t>
      </w:r>
    </w:p>
    <w:p>
      <w:pPr>
        <w:pStyle w:val="ListBullet"/>
        <w:spacing w:before="0" w:after="50" w:line="269" w:lineRule="auto"/>
        <w:ind w:left="720"/>
      </w:pPr>
      <w:r>
        <w:rPr>
          <w:rFonts w:ascii="Calibri" w:hAnsi="Calibri"/>
          <w:b/>
          <w:color w:val="1E293B"/>
          <w:sz w:val="19"/>
        </w:rPr>
        <w:t>FR4: Dynamic Generative Replay:</w:t>
      </w:r>
      <w:r>
        <w:rPr>
          <w:rFonts w:ascii="Calibri" w:hAnsi="Calibri"/>
          <w:i w:val="0"/>
          <w:color w:val="1E293B"/>
          <w:sz w:val="19"/>
        </w:rPr>
        <w:t xml:space="preserve"> Synthesize rare IPF feature vectors locally on-the-fly whenever a local mini-batch contains fewer than the target quota.</w:t>
      </w:r>
    </w:p>
    <w:p>
      <w:pPr>
        <w:pStyle w:val="ListBullet"/>
        <w:spacing w:before="0" w:after="50" w:line="269" w:lineRule="auto"/>
        <w:ind w:left="720"/>
      </w:pPr>
      <w:r>
        <w:rPr>
          <w:rFonts w:ascii="Calibri" w:hAnsi="Calibri"/>
          <w:b/>
          <w:color w:val="1E293B"/>
          <w:sz w:val="19"/>
        </w:rPr>
        <w:t>FR5: Federated Server Aggregation:</w:t>
      </w:r>
      <w:r>
        <w:rPr>
          <w:rFonts w:ascii="Calibri" w:hAnsi="Calibri"/>
          <w:i w:val="0"/>
          <w:color w:val="1E293B"/>
          <w:sz w:val="19"/>
        </w:rPr>
        <w:t xml:space="preserve"> Secure round aggregation using sample-weighted Federated Averaging (FedAvg).</w:t>
      </w:r>
    </w:p>
    <w:p>
      <w:pPr>
        <w:pStyle w:val="ListBullet"/>
        <w:spacing w:before="0" w:after="50" w:line="269" w:lineRule="auto"/>
        <w:ind w:left="720"/>
      </w:pPr>
      <w:r>
        <w:rPr>
          <w:rFonts w:ascii="Calibri" w:hAnsi="Calibri"/>
          <w:b/>
          <w:color w:val="1E293B"/>
          <w:sz w:val="19"/>
        </w:rPr>
        <w:t>FR6: Comprehensive Benchmarking:</w:t>
      </w:r>
      <w:r>
        <w:rPr>
          <w:rFonts w:ascii="Calibri" w:hAnsi="Calibri"/>
          <w:i w:val="0"/>
          <w:color w:val="1E293B"/>
          <w:sz w:val="19"/>
        </w:rPr>
        <w:t xml:space="preserve"> Automatically compute and log 7 clinical metrics: BACC, IPF Recall, IPF F1, Macro-F1, Precision, Accuracy, AUROC.</w:t>
      </w:r>
    </w:p>
    <w:p>
      <w:pPr>
        <w:pStyle w:val="ListBullet"/>
        <w:spacing w:before="0" w:after="50" w:line="269" w:lineRule="auto"/>
        <w:ind w:left="360"/>
      </w:pPr>
      <w:r>
        <w:rPr>
          <w:rFonts w:ascii="Calibri" w:hAnsi="Calibri"/>
          <w:b/>
          <w:color w:val="1E293B"/>
          <w:sz w:val="19"/>
        </w:rPr>
        <w:t>Non-Functional Requirements &amp; Constraints:</w:t>
      </w:r>
    </w:p>
    <w:p>
      <w:pPr>
        <w:pStyle w:val="ListBullet"/>
        <w:spacing w:before="0" w:after="50" w:line="269" w:lineRule="auto"/>
        <w:ind w:left="720"/>
      </w:pPr>
      <w:r>
        <w:rPr>
          <w:rFonts w:ascii="Calibri" w:hAnsi="Calibri"/>
          <w:b/>
          <w:color w:val="1E293B"/>
          <w:sz w:val="19"/>
        </w:rPr>
        <w:t>NFR1: Privacy (Zero Raw Data Leakage):</w:t>
      </w:r>
      <w:r>
        <w:rPr>
          <w:rFonts w:ascii="Calibri" w:hAnsi="Calibri"/>
          <w:i w:val="0"/>
          <w:color w:val="1E293B"/>
          <w:sz w:val="19"/>
        </w:rPr>
        <w:t xml:space="preserve"> Patient HRCT scans never leave client nodes; only weight updates (Δθ, Δψ) and 128-d latent features are processed.</w:t>
      </w:r>
    </w:p>
    <w:p>
      <w:pPr>
        <w:pStyle w:val="ListBullet"/>
        <w:spacing w:before="0" w:after="50" w:line="269" w:lineRule="auto"/>
        <w:ind w:left="720"/>
      </w:pPr>
      <w:r>
        <w:rPr>
          <w:rFonts w:ascii="Calibri" w:hAnsi="Calibri"/>
          <w:b/>
          <w:color w:val="1E293B"/>
          <w:sz w:val="19"/>
        </w:rPr>
        <w:t>NFR2: Portability &amp; Hardware Independence:</w:t>
      </w:r>
      <w:r>
        <w:rPr>
          <w:rFonts w:ascii="Calibri" w:hAnsi="Calibri"/>
          <w:i w:val="0"/>
          <w:color w:val="1E293B"/>
          <w:sz w:val="19"/>
        </w:rPr>
        <w:t xml:space="preserve"> Cross-platform execution on Linux, Windows, macOS (CPU or CUDA).</w:t>
      </w:r>
    </w:p>
    <w:p>
      <w:pPr>
        <w:pStyle w:val="ListBullet"/>
        <w:spacing w:before="0" w:after="50" w:line="269" w:lineRule="auto"/>
        <w:ind w:left="720"/>
      </w:pPr>
      <w:r>
        <w:rPr>
          <w:rFonts w:ascii="Calibri" w:hAnsi="Calibri"/>
          <w:b/>
          <w:color w:val="1E293B"/>
          <w:sz w:val="19"/>
        </w:rPr>
        <w:t>NFR3: Scalability:</w:t>
      </w:r>
      <w:r>
        <w:rPr>
          <w:rFonts w:ascii="Calibri" w:hAnsi="Calibri"/>
          <w:i w:val="0"/>
          <w:color w:val="1E293B"/>
          <w:sz w:val="19"/>
        </w:rPr>
        <w:t xml:space="preserve"> Dynamic scaling across 3 to 20 hospital consortium nodes without code refactoring.</w:t>
      </w:r>
    </w:p>
    <w:p>
      <w:pPr>
        <w:pStyle w:val="ListBullet"/>
        <w:spacing w:before="0" w:after="50" w:line="269" w:lineRule="auto"/>
        <w:ind w:left="720"/>
      </w:pPr>
      <w:r>
        <w:rPr>
          <w:rFonts w:ascii="Calibri" w:hAnsi="Calibri"/>
          <w:b/>
          <w:color w:val="1E293B"/>
          <w:sz w:val="19"/>
        </w:rPr>
        <w:t>NFR4: Reproducibility:</w:t>
      </w:r>
      <w:r>
        <w:rPr>
          <w:rFonts w:ascii="Calibri" w:hAnsi="Calibri"/>
          <w:i w:val="0"/>
          <w:color w:val="1E293B"/>
          <w:sz w:val="19"/>
        </w:rPr>
        <w:t xml:space="preserve"> Deterministic experiment pipeline enforcing a global random seed (seed = 42).</w:t>
      </w:r>
    </w:p>
    <w:p>
      <w:pPr>
        <w:pStyle w:val="ListBullet"/>
        <w:spacing w:before="0" w:after="50" w:line="269" w:lineRule="auto"/>
        <w:ind w:left="720"/>
      </w:pPr>
      <w:r>
        <w:rPr>
          <w:rFonts w:ascii="Calibri" w:hAnsi="Calibri"/>
          <w:b/>
          <w:color w:val="1E293B"/>
          <w:sz w:val="19"/>
        </w:rPr>
        <w:t>Constraints &amp; Assumptions:</w:t>
      </w:r>
      <w:r>
        <w:rPr>
          <w:rFonts w:ascii="Calibri" w:hAnsi="Calibri"/>
          <w:i w:val="0"/>
          <w:color w:val="1E293B"/>
          <w:sz w:val="19"/>
        </w:rPr>
        <w:t xml:space="preserve"> Standardized 64×64 axial HRCT slices; synchronous round communication model; honest-but-curious server threat model.</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PI 3.1.3 requires engineering rigor in defining unambiguous, measurable specifications:</w:t>
      </w:r>
    </w:p>
    <w:p>
      <w:pPr>
        <w:pStyle w:val="ListBullet"/>
        <w:spacing w:before="0" w:after="50" w:line="269" w:lineRule="auto"/>
        <w:ind w:left="360"/>
      </w:pPr>
      <w:r>
        <w:rPr>
          <w:rFonts w:ascii="Calibri" w:hAnsi="Calibri"/>
          <w:b/>
          <w:color w:val="1E293B"/>
          <w:sz w:val="19"/>
        </w:rPr>
        <w:t>Dirichlet Non-IID Formulation (FR1):</w:t>
      </w:r>
      <w:r>
        <w:rPr>
          <w:rFonts w:ascii="Calibri" w:hAnsi="Calibri"/>
          <w:i w:val="0"/>
          <w:color w:val="1E293B"/>
          <w:sz w:val="19"/>
        </w:rPr>
        <w:t xml:space="preserve"> Real-world clinical data distributions across hospital sites are not independent and identically distributed. We model label skew via the symmetric Dirichlet distribution:</w:t>
      </w:r>
    </w:p>
    <w:p>
      <w:pPr>
        <w:spacing w:before="80" w:after="80"/>
        <w:jc w:val="center"/>
      </w:pPr>
      <w:r>
        <w:rPr>
          <w:rFonts w:ascii="Cambria Math" w:hAnsi="Cambria Math"/>
          <w:i/>
          <w:color w:val="1A5FB4"/>
          <w:sz w:val="21"/>
        </w:rPr>
        <w:t>p_k ~ Dir(α · 1_C),   where α = 0.2</w:t>
      </w:r>
    </w:p>
    <w:p>
      <w:pPr>
        <w:pStyle w:val="ListBullet"/>
        <w:spacing w:before="0" w:after="50" w:line="269" w:lineRule="auto"/>
        <w:ind w:left="360"/>
      </w:pPr>
      <w:r>
        <w:rPr>
          <w:rFonts w:ascii="Calibri" w:hAnsi="Calibri"/>
          <w:b/>
          <w:color w:val="1E293B"/>
          <w:sz w:val="19"/>
        </w:rPr>
        <w:t>Privacy Boundary Enforcement (NFR1):</w:t>
      </w:r>
    </w:p>
    <w:p>
      <w:pPr>
        <w:spacing w:before="80" w:after="80"/>
        <w:jc w:val="center"/>
      </w:pPr>
      <w:r>
        <w:rPr>
          <w:rFonts w:ascii="Cambria Math" w:hAnsi="Cambria Math"/>
          <w:i/>
          <w:color w:val="1A5FB4"/>
          <w:sz w:val="21"/>
        </w:rPr>
        <w:t>Data Transfer = {Δθ_k, Δψ_k},   where Raw Image Data X_k ∩ Channel = ∅</w:t>
      </w:r>
    </w:p>
    <w:p>
      <w:pPr>
        <w:pStyle w:val="ListBullet"/>
        <w:spacing w:before="0" w:after="50" w:line="269" w:lineRule="auto"/>
        <w:ind w:left="360"/>
      </w:pPr>
      <w:r>
        <w:rPr>
          <w:rFonts w:ascii="Calibri" w:hAnsi="Calibri"/>
          <w:b/>
          <w:color w:val="1E293B"/>
          <w:sz w:val="19"/>
        </w:rPr>
        <w:t>Clinical Evaluation Metrics (FR6):</w:t>
      </w:r>
      <w:r>
        <w:rPr>
          <w:rFonts w:ascii="Calibri" w:hAnsi="Calibri"/>
          <w:i w:val="0"/>
          <w:color w:val="1E293B"/>
          <w:sz w:val="19"/>
        </w:rPr>
        <w:t xml:space="preserve"> Standard overall accuracy is profoundly misleading in medical rare disease diagnosis. In a dataset with 92% common scans and 8% IPF, a trivial dummy model predicting 'Normal' for all patients achieves 92% accuracy while having 0% recall on IPF. Thus, Balanced Accuracy (BACC) and IPF Recall (Sensitivity) are mandatory:</w:t>
      </w:r>
    </w:p>
    <w:p>
      <w:pPr>
        <w:spacing w:before="80" w:after="80"/>
        <w:jc w:val="center"/>
      </w:pPr>
      <w:r>
        <w:rPr>
          <w:rFonts w:ascii="Cambria Math" w:hAnsi="Cambria Math"/>
          <w:i/>
          <w:color w:val="1A5FB4"/>
          <w:sz w:val="21"/>
        </w:rPr>
        <w:t>BACC = (1/C) ∑ (TP_c / (TP_c + FN_c)),       IPF Recall = TP_IPF / (TP_IPF + FN_IPF)</w:t>
      </w: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"On Slide 4, we present our complete System Requirements Specification, fulfilling Performance Indicator 3.1.3 of the departmental rubrics."</w:t>
            </w:r>
          </w:p>
          <w:p>
            <w:pPr>
              <w:spacing w:before="40" w:after="80" w:line="276" w:lineRule="auto"/>
            </w:pPr>
            <w:r>
              <w:rPr>
                <w:rFonts w:ascii="Calibri" w:hAnsi="Calibri"/>
                <w:i/>
                <w:color w:val="1E293B"/>
                <w:sz w:val="19"/>
              </w:rPr>
              <w:t>"Our design encompasses six core Functional Requirements: First, FR1 models real-world multi-center hospital distributions using Dirichlet non-IID partitioning with α = 0.2 across 5 hospital nodes. FR2 and FR3 provide local diagnostic training and federated generator distillation. FR4 implements our dynamic latent replay mechanism—synthesizing rare IPF features on-the-fly inside data-starved hospitals. FR5 and FR6 handle weighted federated parameter aggregation and automated evaluation across 7 clinical metrics."</w:t>
            </w:r>
          </w:p>
          <w:p>
            <w:pPr>
              <w:spacing w:before="40" w:after="0" w:line="276" w:lineRule="auto"/>
            </w:pPr>
            <w:r>
              <w:rPr>
                <w:rFonts w:ascii="Calibri" w:hAnsi="Calibri"/>
                <w:i/>
                <w:color w:val="1E293B"/>
                <w:sz w:val="19"/>
              </w:rPr>
              <w:t>"On the right panel, we specify our Non-Functional Requirements. NFR1 guarantees strict privacy under HIPAA and GDPR—zero raw CT scans ever leave the hospital boundary; only model deltas are communicated. NFR2 and NFR3 ensure cross-platform portability across Linux, Windows, and macOS, seamlessly scaling from 3 to 20 hospital nodes. Finally, our constraints define standardized 64×64 axial thoracic inputs and a synchronous communication model under an honest-but-curious server assumption."</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do you specifically choose α = 0.2 for the Dirichlet distribution?</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In federated learning literature, α ≥ 1.0 represents mild, near-IID skew where every client receives roughly equal class proportions. An α ≤ 0.5 represents severe non-IID skew. By setting α = 0.2, we accurately reflect real-world healthcare disparity, where specialist academic centers have rare cases, but community clinics have 0 or 1 rare case.</w:t>
            </w:r>
          </w:p>
          <w:p>
            <w:pPr>
              <w:spacing w:before="80" w:after="40" w:line="269" w:lineRule="auto"/>
            </w:pPr>
            <w:r>
              <w:rPr>
                <w:rFonts w:ascii="Calibri" w:hAnsi="Calibri"/>
                <w:b/>
                <w:color w:val="92400E"/>
                <w:sz w:val="19"/>
              </w:rPr>
              <w:t xml:space="preserve">Q2: </w:t>
            </w:r>
            <w:r>
              <w:rPr>
                <w:rFonts w:ascii="Calibri" w:hAnsi="Calibri"/>
                <w:i w:val="0"/>
                <w:color w:val="92400E"/>
                <w:sz w:val="19"/>
              </w:rPr>
              <w:t>Why is standard Accuracy omitted from your primary optimization targets?</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In rare diseases with &lt; 8% prevalence, standard classification accuracy suffers from the majority class illusion. A naive dummy classifier that assigns every patient to 'Normal' achieves 92% accuracy while having 0% recall on IPF. Therefore, we evaluate Balanced Accuracy (BACC) and IPF Recall to ensure clinical viability.</w:t>
            </w:r>
          </w:p>
        </w:tc>
      </w:tr>
    </w:tbl>
    <w:p>
      <w:pPr>
        <w:spacing w:after="40"/>
      </w:pPr>
    </w:p>
    <w:p>
      <w:pPr>
        <w:keepNext/>
        <w:spacing w:before="280" w:after="60"/>
      </w:pPr>
      <w:r>
        <w:rPr>
          <w:rFonts w:ascii="Calibri" w:hAnsi="Calibri"/>
          <w:b/>
          <w:color w:val="0A2540"/>
          <w:sz w:val="30"/>
        </w:rPr>
        <w:t>Slide 5: System Architecture — FedGen-Rare</w:t>
      </w:r>
      <w:r>
        <w:rPr>
          <w:rFonts w:ascii="Calibri" w:hAnsi="Calibri"/>
          <w:b/>
          <w:color w:val="1A5FB4"/>
          <w:sz w:val="21"/>
        </w:rPr>
        <w:t xml:space="preserve">  [PI 3.3.1]</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System Architecture — FedGen-Rare</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PI 3.3.1: PICTORIAL ARCHITECTURAL MODEL &amp; TWO-STAGE FEDERATED PIPELINE</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3.3.1</w:t>
      </w:r>
      <w:r>
        <w:rPr>
          <w:rFonts w:ascii="Calibri" w:hAnsi="Calibri"/>
          <w:i w:val="0"/>
          <w:color w:val="1E293B"/>
          <w:sz w:val="19"/>
        </w:rPr>
        <w:t xml:space="preserve"> (Pictorial representation of system architecture using UML modeling, component interaction, and design patterns).</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Dedicated full-slide architectural diagram (</w:t>
      </w:r>
      <w:r>
        <w:rPr>
          <w:rFonts w:ascii="Consolas" w:hAnsi="Consolas"/>
          <w:color w:val="2563EB"/>
          <w:sz w:val="18"/>
        </w:rPr>
        <w:t>system_architecture_diagram.png</w:t>
      </w:r>
      <w:r>
        <w:rPr>
          <w:rFonts w:ascii="Calibri" w:hAnsi="Calibri"/>
          <w:i w:val="0"/>
          <w:color w:val="1E293B"/>
          <w:sz w:val="19"/>
        </w:rPr>
        <w:t>) illustrating the Global Server, Encrypted Network Boundary, Diverse Client Tiers, and the Two-Stage Federated Training Pipeline.</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Global Aggregation Server (Top Tier):</w:t>
      </w:r>
      <w:r>
        <w:rPr>
          <w:rFonts w:ascii="Calibri" w:hAnsi="Calibri"/>
          <w:i w:val="0"/>
          <w:color w:val="1E293B"/>
          <w:sz w:val="19"/>
        </w:rPr>
        <w:t xml:space="preserve"> Global Diagnostic Classifier (F_θ) &amp; Global Conditional Generator (G_ψ); Weighted FedAvg Parameter Aggregator (θ_glob = ∑ (n_k/N) θ_k, ψ_glob = ∑ (n_k/N) ψ_k); Global Multi-Center Test Evaluator executing BACC, Recall, and F1 calculations.</w:t>
      </w:r>
    </w:p>
    <w:p>
      <w:pPr>
        <w:pStyle w:val="ListBullet"/>
        <w:spacing w:before="0" w:after="50" w:line="269" w:lineRule="auto"/>
        <w:ind w:left="360"/>
      </w:pPr>
      <w:r>
        <w:rPr>
          <w:rFonts w:ascii="Calibri" w:hAnsi="Calibri"/>
          <w:b/>
          <w:color w:val="1E293B"/>
          <w:sz w:val="19"/>
        </w:rPr>
        <w:t>Communication Boundary (Middle Tier):</w:t>
      </w:r>
      <w:r>
        <w:rPr>
          <w:rFonts w:ascii="Calibri" w:hAnsi="Calibri"/>
          <w:i w:val="0"/>
          <w:color w:val="1E293B"/>
          <w:sz w:val="19"/>
        </w:rPr>
        <w:t xml:space="preserve"> Zero Raw Data Leakage: only model parameter deltas (Δθ_k, Δψ_k) cross the encrypted firewall.</w:t>
      </w:r>
    </w:p>
    <w:p>
      <w:pPr>
        <w:pStyle w:val="ListBullet"/>
        <w:spacing w:before="0" w:after="50" w:line="269" w:lineRule="auto"/>
        <w:ind w:left="360"/>
      </w:pPr>
      <w:r>
        <w:rPr>
          <w:rFonts w:ascii="Calibri" w:hAnsi="Calibri"/>
          <w:b/>
          <w:color w:val="1E293B"/>
          <w:sz w:val="19"/>
        </w:rPr>
        <w:t>Multi-Center Edge Hospital Nodes (Bottom Tier):</w:t>
      </w:r>
    </w:p>
    <w:p>
      <w:pPr>
        <w:pStyle w:val="ListBullet"/>
        <w:spacing w:before="0" w:after="50" w:line="269" w:lineRule="auto"/>
        <w:ind w:left="720"/>
      </w:pPr>
      <w:r>
        <w:rPr>
          <w:rFonts w:ascii="Calibri" w:hAnsi="Calibri"/>
          <w:b/>
          <w:color w:val="1E293B"/>
          <w:sz w:val="19"/>
        </w:rPr>
        <w:t>Client 1 (Academic Medical Center):</w:t>
      </w:r>
      <w:r>
        <w:rPr>
          <w:rFonts w:ascii="Calibri" w:hAnsi="Calibri"/>
          <w:i w:val="0"/>
          <w:color w:val="1E293B"/>
          <w:sz w:val="19"/>
        </w:rPr>
        <w:t xml:space="preserve"> Data-rich, balanced cases (Normal, COPD, IPF).</w:t>
      </w:r>
    </w:p>
    <w:p>
      <w:pPr>
        <w:pStyle w:val="ListBullet"/>
        <w:spacing w:before="0" w:after="50" w:line="269" w:lineRule="auto"/>
        <w:ind w:left="720"/>
      </w:pPr>
      <w:r>
        <w:rPr>
          <w:rFonts w:ascii="Calibri" w:hAnsi="Calibri"/>
          <w:b/>
          <w:color w:val="1E293B"/>
          <w:sz w:val="19"/>
        </w:rPr>
        <w:t>Client 2 (Regional General Hospital):</w:t>
      </w:r>
      <w:r>
        <w:rPr>
          <w:rFonts w:ascii="Calibri" w:hAnsi="Calibri"/>
          <w:i w:val="0"/>
          <w:color w:val="1E293B"/>
          <w:sz w:val="19"/>
        </w:rPr>
        <w:t xml:space="preserve"> Moderate data, severe class imbalance (&lt; 5% IPF).</w:t>
      </w:r>
    </w:p>
    <w:p>
      <w:pPr>
        <w:pStyle w:val="ListBullet"/>
        <w:spacing w:before="0" w:after="50" w:line="269" w:lineRule="auto"/>
        <w:ind w:left="720"/>
      </w:pPr>
      <w:r>
        <w:rPr>
          <w:rFonts w:ascii="Calibri" w:hAnsi="Calibri"/>
          <w:b/>
          <w:color w:val="1E293B"/>
          <w:sz w:val="19"/>
        </w:rPr>
        <w:t>Client 3 (Rural Community Clinic):</w:t>
      </w:r>
      <w:r>
        <w:rPr>
          <w:rFonts w:ascii="Calibri" w:hAnsi="Calibri"/>
          <w:i w:val="0"/>
          <w:color w:val="1E293B"/>
          <w:sz w:val="19"/>
        </w:rPr>
        <w:t xml:space="preserve"> Data-starved, zero IPF patients (n_IPF = 0).</w:t>
      </w:r>
    </w:p>
    <w:p>
      <w:pPr>
        <w:pStyle w:val="ListBullet"/>
        <w:spacing w:before="0" w:after="50" w:line="269" w:lineRule="auto"/>
        <w:ind w:left="360"/>
      </w:pPr>
      <w:r>
        <w:rPr>
          <w:rFonts w:ascii="Calibri" w:hAnsi="Calibri"/>
          <w:b/>
          <w:color w:val="1E293B"/>
          <w:sz w:val="19"/>
        </w:rPr>
        <w:t>Two-Stage Federated Pipeline (Inside Edge Clients):</w:t>
      </w:r>
      <w:r>
        <w:rPr>
          <w:rFonts w:ascii="Calibri" w:hAnsi="Calibri"/>
          <w:i w:val="0"/>
          <w:color w:val="1E293B"/>
          <w:sz w:val="19"/>
        </w:rPr>
        <w:t xml:space="preserve"> Stage 1 (Feature Extraction &amp; Generator Distillation) and Stage 2 (Generative Replay &amp; Classifier Update).</w:t>
      </w:r>
    </w:p>
    <w:p>
      <w:pPr>
        <w:keepNext/>
        <w:spacing w:before="120" w:after="60"/>
        <w:jc w:val="center"/>
      </w:pPr>
      <w:r>
        <w:drawing>
          <wp:inline xmlns:a="http://schemas.openxmlformats.org/drawingml/2006/main" xmlns:pic="http://schemas.openxmlformats.org/drawingml/2006/picture">
            <wp:extent cx="5669280" cy="3120301"/>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11"/>
                    <a:stretch>
                      <a:fillRect/>
                    </a:stretch>
                  </pic:blipFill>
                  <pic:spPr>
                    <a:xfrm>
                      <a:off x="0" y="0"/>
                      <a:ext cx="5669280" cy="3120301"/>
                    </a:xfrm>
                    <a:prstGeom prst="rect"/>
                  </pic:spPr>
                </pic:pic>
              </a:graphicData>
            </a:graphic>
          </wp:inline>
        </w:drawing>
      </w:r>
    </w:p>
    <w:p>
      <w:pPr>
        <w:spacing w:before="0" w:after="120"/>
        <w:jc w:val="center"/>
      </w:pPr>
      <w:r>
        <w:rPr>
          <w:rFonts w:ascii="Calibri" w:hAnsi="Calibri"/>
          <w:i/>
          <w:color w:val="64748B"/>
          <w:sz w:val="18"/>
        </w:rPr>
        <w:t>Figure 5.1: FedGen-Rare End-to-End System Architecture (UML Component Model &amp; Multi-Center Federated Dataflow)</w:t>
      </w:r>
    </w:p>
    <w:p>
      <w:pPr>
        <w:keepNext/>
        <w:spacing w:before="200" w:after="40"/>
      </w:pPr>
      <w:r>
        <w:rPr>
          <w:rFonts w:ascii="Calibri" w:hAnsi="Calibri"/>
          <w:b/>
          <w:color w:val="1A5FB4"/>
          <w:sz w:val="23"/>
        </w:rPr>
        <w:t>3. Deep Technical &amp; Architectural Explanation</w:t>
      </w:r>
    </w:p>
    <w:p>
      <w:pPr>
        <w:spacing w:before="0" w:after="70" w:line="276" w:lineRule="auto"/>
      </w:pPr>
      <w:r>
        <w:rPr>
          <w:rFonts w:ascii="Calibri" w:hAnsi="Calibri"/>
          <w:i w:val="0"/>
          <w:color w:val="1E293B"/>
          <w:sz w:val="20"/>
        </w:rPr>
        <w:t>Slide 5 satisfies PI 3.3.1 by depicting the complete system architecture diagram. The architecture applies three classical software and distributed systems design patterns:</w:t>
      </w:r>
    </w:p>
    <w:p>
      <w:pPr>
        <w:pStyle w:val="ListBullet"/>
        <w:spacing w:before="0" w:after="50" w:line="269" w:lineRule="auto"/>
        <w:ind w:left="360"/>
      </w:pPr>
      <w:r>
        <w:rPr>
          <w:rFonts w:ascii="Calibri" w:hAnsi="Calibri"/>
          <w:b/>
          <w:color w:val="1E293B"/>
          <w:sz w:val="19"/>
        </w:rPr>
        <w:t>Coordinator-Worker (Architectural Pattern):</w:t>
      </w:r>
      <w:r>
        <w:rPr>
          <w:rFonts w:ascii="Calibri" w:hAnsi="Calibri"/>
          <w:i w:val="0"/>
          <w:color w:val="1E293B"/>
          <w:sz w:val="19"/>
        </w:rPr>
        <w:t xml:space="preserve"> The central server acts as a stateless coordinator managing round progression, while client hospital nodes act as autonomous workers computing stochastic gradient steps over private, non-shared datasets.</w:t>
      </w:r>
    </w:p>
    <w:p>
      <w:pPr>
        <w:pStyle w:val="ListBullet"/>
        <w:spacing w:before="0" w:after="50" w:line="269" w:lineRule="auto"/>
        <w:ind w:left="360"/>
      </w:pPr>
      <w:r>
        <w:rPr>
          <w:rFonts w:ascii="Calibri" w:hAnsi="Calibri"/>
          <w:b/>
          <w:color w:val="1E293B"/>
          <w:sz w:val="19"/>
        </w:rPr>
        <w:t>Strategy Pattern (Algorithmic Flexibility):</w:t>
      </w:r>
      <w:r>
        <w:rPr>
          <w:rFonts w:ascii="Calibri" w:hAnsi="Calibri"/>
          <w:i w:val="0"/>
          <w:color w:val="1E293B"/>
          <w:sz w:val="19"/>
        </w:rPr>
        <w:t xml:space="preserve"> The client diagnostic trainer dynamically swaps between </w:t>
      </w:r>
      <w:r>
        <w:rPr>
          <w:rFonts w:ascii="Consolas" w:hAnsi="Consolas"/>
          <w:color w:val="2563EB"/>
          <w:sz w:val="18"/>
        </w:rPr>
        <w:t>StandardTrainer</w:t>
      </w:r>
      <w:r>
        <w:rPr>
          <w:rFonts w:ascii="Calibri" w:hAnsi="Calibri"/>
          <w:i w:val="0"/>
          <w:color w:val="1E293B"/>
          <w:sz w:val="19"/>
        </w:rPr>
        <w:t xml:space="preserve">, </w:t>
      </w:r>
      <w:r>
        <w:rPr>
          <w:rFonts w:ascii="Consolas" w:hAnsi="Consolas"/>
          <w:color w:val="2563EB"/>
          <w:sz w:val="18"/>
        </w:rPr>
        <w:t>FedProxTrainer</w:t>
      </w:r>
      <w:r>
        <w:rPr>
          <w:rFonts w:ascii="Calibri" w:hAnsi="Calibri"/>
          <w:i w:val="0"/>
          <w:color w:val="1E293B"/>
          <w:sz w:val="19"/>
        </w:rPr>
        <w:t xml:space="preserve">, </w:t>
      </w:r>
      <w:r>
        <w:rPr>
          <w:rFonts w:ascii="Consolas" w:hAnsi="Consolas"/>
          <w:color w:val="2563EB"/>
          <w:sz w:val="18"/>
        </w:rPr>
        <w:t>FedIICTrainer</w:t>
      </w:r>
      <w:r>
        <w:rPr>
          <w:rFonts w:ascii="Calibri" w:hAnsi="Calibri"/>
          <w:i w:val="0"/>
          <w:color w:val="1E293B"/>
          <w:sz w:val="19"/>
        </w:rPr>
        <w:t xml:space="preserve">, and </w:t>
      </w:r>
      <w:r>
        <w:rPr>
          <w:rFonts w:ascii="Consolas" w:hAnsi="Consolas"/>
          <w:color w:val="2563EB"/>
          <w:sz w:val="18"/>
        </w:rPr>
        <w:t>GenerativeReplayTrainer</w:t>
      </w:r>
      <w:r>
        <w:rPr>
          <w:rFonts w:ascii="Calibri" w:hAnsi="Calibri"/>
          <w:i w:val="0"/>
          <w:color w:val="1E293B"/>
          <w:sz w:val="19"/>
        </w:rPr>
        <w:t xml:space="preserve"> without modifying client networking or data-loading interfaces.</w:t>
      </w:r>
    </w:p>
    <w:p>
      <w:pPr>
        <w:pStyle w:val="ListBullet"/>
        <w:spacing w:before="0" w:after="50" w:line="269" w:lineRule="auto"/>
        <w:ind w:left="360"/>
      </w:pPr>
      <w:r>
        <w:rPr>
          <w:rFonts w:ascii="Calibri" w:hAnsi="Calibri"/>
          <w:b/>
          <w:color w:val="1E293B"/>
          <w:sz w:val="19"/>
        </w:rPr>
        <w:t>Two-Stage Decoupled Representation Pipeline:</w:t>
      </w:r>
      <w:r>
        <w:rPr>
          <w:rFonts w:ascii="Calibri" w:hAnsi="Calibri"/>
          <w:i w:val="0"/>
          <w:color w:val="1E293B"/>
          <w:sz w:val="19"/>
        </w:rPr>
        <w:t xml:space="preserve"> Conventional federated GANs attempt to generate full raw images (64×64×1), which requires heavy deconvolutional architectures (&gt; 10M parameters), induces mode collapse, and leaks private training images via inversion attacks. In contrast, FedGen-Rare operates strictly in 128-dimensional latent embedding space (f ∈ ℝ^128). This reduces generator size to a lightweight 2-layer MLP (16,000 parameters), speeds up local training by 20×, and mathematically prevents visual patient re-identification.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40" w:lineRule="auto"/>
            </w:pPr>
            <w:r>
              <w:rPr>
                <w:rFonts w:ascii="Consolas" w:hAnsi="Consolas"/>
                <w:color w:val="1E293B"/>
                <w:sz w:val="17"/>
              </w:rPr>
              <w:t>+-------------------------------------------------------+</w:t>
              <w:br/>
              <w:t xml:space="preserve">       |             GLOBAL AGGREGATION SERVER                 |</w:t>
              <w:br/>
              <w:t xml:space="preserve">       |  - Global Classifier (theta)  - Global Generator (psi)|</w:t>
              <w:br/>
              <w:t xml:space="preserve">       |  - Weighted FedAvg Engine     - Global Test Evaluator |</w:t>
              <w:br/>
              <w:t xml:space="preserve">       +-------------------------------------------------------+</w:t>
              <w:br/>
              <w:t xml:space="preserve">                     ^                           |</w:t>
              <w:br/>
              <w:t xml:space="preserve">       Upload Deltas |                           | Broadcast</w:t>
              <w:br/>
              <w:t xml:space="preserve">       (theta, psi)  |                           | (theta, psi)</w:t>
              <w:br/>
              <w:t xml:space="preserve">                     |                           v</w:t>
              <w:br/>
              <w:t xml:space="preserve">       +-------------------------------------------------------+</w:t>
              <w:br/>
              <w:t xml:space="preserve">       |            SECURE ENCRYPTED NETWORK BOUNDARY          |</w:t>
              <w:br/>
              <w:t xml:space="preserve">       |             *** ZERO RAW DATA LEAKAGE ***             |</w:t>
              <w:br/>
              <w:t xml:space="preserve">       +-------------------------------------------------------+</w:t>
              <w:br/>
              <w:t xml:space="preserve">               |                       |                       |</w:t>
              <w:br/>
              <w:t xml:space="preserve">               v                       v                       v</w:t>
              <w:br/>
              <w:t xml:space="preserve">       +---------------+       +---------------+       +---------------+</w:t>
              <w:br/>
              <w:t xml:space="preserve">       | Client 1      |       | Client 2      |       | Client 3      |</w:t>
              <w:br/>
              <w:t xml:space="preserve">       | Academic Hosp |       | Regional Hosp |       | Community Clin|</w:t>
              <w:br/>
              <w:t xml:space="preserve">       | (Balanced)    |       | (Imbalanced)  |       | (0 IPF Scans) |</w:t>
              <w:br/>
              <w:t xml:space="preserve">       | Stage 1: Distill      | Stage 1: Distill      | Stage 1: Distill</w:t>
              <w:br/>
              <w:t xml:space="preserve">       | Stage 2: Replay       | Stage 2: Replay       | Stage 2: Replay</w:t>
              <w:br/>
              <w:t xml:space="preserve">       +---------------+       +---------------+       +---------------+</w:t>
            </w:r>
          </w:p>
        </w:tc>
      </w:tr>
    </w:tbl>
    <w:p>
      <w:pPr>
        <w:spacing w:after="40"/>
      </w:pP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"Slide 5 showcases our complete System Architecture for FedGen-Rare, directly addressing Performance Indicator 3.3.1 which mandates a pictorial representation of system interactions."</w:t>
            </w:r>
          </w:p>
          <w:p>
            <w:pPr>
              <w:spacing w:before="40" w:after="80" w:line="276" w:lineRule="auto"/>
            </w:pPr>
            <w:r>
              <w:rPr>
                <w:rFonts w:ascii="Calibri" w:hAnsi="Calibri"/>
                <w:i/>
                <w:color w:val="1E293B"/>
                <w:sz w:val="19"/>
              </w:rPr>
              <w:t>"At the top, we have the Global Aggregation Server hosting the global classifier F_θ and global generator G_ψ. The server coordinates communication rounds and evaluates global convergence on a held-out multi-center test set."</w:t>
            </w:r>
          </w:p>
          <w:p>
            <w:pPr>
              <w:spacing w:before="40" w:after="80" w:line="276" w:lineRule="auto"/>
            </w:pPr>
            <w:r>
              <w:rPr>
                <w:rFonts w:ascii="Calibri" w:hAnsi="Calibri"/>
                <w:i/>
                <w:color w:val="1E293B"/>
                <w:sz w:val="19"/>
              </w:rPr>
              <w:t>"Crucially, notice the Encrypted Network Boundary: no raw medical scans ever leave the hospital edge. We depict three representative clinical tiers: Client 1 is a large academic hospital with rich IPF cases; Client 2 is a regional hospital with severe imbalance; and Client 3 is a rural community clinic that has never encountered an IPF case."</w:t>
            </w:r>
          </w:p>
          <w:p>
            <w:pPr>
              <w:spacing w:before="40" w:after="0" w:line="276" w:lineRule="auto"/>
            </w:pPr>
            <w:r>
              <w:rPr>
                <w:rFonts w:ascii="Calibri" w:hAnsi="Calibri"/>
                <w:i/>
                <w:color w:val="1E293B"/>
                <w:sz w:val="19"/>
              </w:rPr>
              <w:t>"Within each client, our execution follows a novel Two-Stage Federated Pipeline: In Stage 1, clients extract local features and distill the conditional generator G_ψ. In Stage 2, Client 3 uses the trained generator to locally synthesize 128-dimensional latent IPF representations. This dynamically restores class balance, allowing the community clinic to optimize diagnostic decision boundaries for rare diseases without transferring a single byte of patient imaging data."</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do you generate latent features instead of full synthetic CT images?</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Generating raw 64×64 medical images requires heavy GAN or Diffusion architectures that demand substantial GPU memory unavailable in rural clinics. Furthermore, full image synthesis is vulnerable to deep model inversion attacks where original patient scans can be reconstructed. By generating compact 128-dimensional latent vectors, we reduce generator size to just 16,000 parameters, achieve 20× faster training, and eliminate raw image privacy leakage.</w:t>
            </w:r>
          </w:p>
          <w:p>
            <w:pPr>
              <w:spacing w:before="80" w:after="40" w:line="269" w:lineRule="auto"/>
            </w:pPr>
            <w:r>
              <w:rPr>
                <w:rFonts w:ascii="Calibri" w:hAnsi="Calibri"/>
                <w:b/>
                <w:color w:val="92400E"/>
                <w:sz w:val="19"/>
              </w:rPr>
              <w:t xml:space="preserve">Q2: </w:t>
            </w:r>
            <w:r>
              <w:rPr>
                <w:rFonts w:ascii="Calibri" w:hAnsi="Calibri"/>
                <w:i w:val="0"/>
                <w:color w:val="92400E"/>
                <w:sz w:val="19"/>
              </w:rPr>
              <w:t>What prevents the generator from suffering mode collapse?</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As detailed in our mathematical design on Slide 7, our generator loss function explicitly incorporates a mode-seeking diversity penalty (L_DIV) that maximizes the ratio between feature space distance and latent noise distance, ensuring broad coverage of disease phenotypes.</w:t>
            </w:r>
          </w:p>
        </w:tc>
      </w:tr>
    </w:tbl>
    <w:p>
      <w:pPr>
        <w:spacing w:after="40"/>
      </w:pPr>
    </w:p>
    <w:p>
      <w:pPr>
        <w:keepNext/>
        <w:spacing w:before="280" w:after="60"/>
      </w:pPr>
      <w:r>
        <w:rPr>
          <w:rFonts w:ascii="Calibri" w:hAnsi="Calibri"/>
          <w:b/>
          <w:color w:val="0A2540"/>
          <w:sz w:val="30"/>
        </w:rPr>
        <w:t>Slide 6: Baseline Analysis — Why FedIIC Fails on Rare Diseases</w:t>
      </w:r>
      <w:r>
        <w:rPr>
          <w:rFonts w:ascii="Calibri" w:hAnsi="Calibri"/>
          <w:b/>
          <w:color w:val="1A5FB4"/>
          <w:sz w:val="21"/>
        </w:rPr>
        <w:t xml:space="preserve">  [PI 3.3.3 / PI 12.1.2]</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Baseline Analysis — Why FedIIC Fails on Rare Diseases</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MATHEMATICAL BREAKDOWN OF STATE-OF-THE-ART SOTA (MICCAI '23) LIMITATIONS</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3.3.3</w:t>
      </w:r>
      <w:r>
        <w:rPr>
          <w:rFonts w:ascii="Calibri" w:hAnsi="Calibri"/>
          <w:i w:val="0"/>
          <w:color w:val="1E293B"/>
          <w:sz w:val="19"/>
        </w:rPr>
        <w:t xml:space="preserve"> (Detailed design constraints and failure analysis) &amp; </w:t>
      </w:r>
      <w:r>
        <w:rPr>
          <w:rFonts w:ascii="Calibri" w:hAnsi="Calibri"/>
          <w:b/>
          <w:color w:val="1E293B"/>
          <w:sz w:val="19"/>
        </w:rPr>
        <w:t>PI 12.1.2</w:t>
      </w:r>
      <w:r>
        <w:rPr>
          <w:rFonts w:ascii="Calibri" w:hAnsi="Calibri"/>
          <w:i w:val="0"/>
          <w:color w:val="1E293B"/>
          <w:sz w:val="19"/>
        </w:rPr>
        <w:t xml:space="preserve"> (Critical analysis of existing literature and rigorous theoretical gap identification).</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Two mathematical failure mode analysis cards: (1) Failure Mode 1: Positive-Pair Starvation in Contrastive Learning (IntraSCL), and (2) Failure Mode 2: Dynamic Logit Adjustment (DALA) Margin Breakdown. Followed by a synthesis card explaining why Federated Latent Replay solves both.</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Failure Mode 1 — Positive-Pair Starvation in Contrastive Learning (IntraSCL):</w:t>
      </w:r>
    </w:p>
    <w:p>
      <w:pPr>
        <w:spacing w:before="80" w:after="80"/>
        <w:jc w:val="center"/>
      </w:pPr>
      <w:r>
        <w:rPr>
          <w:rFonts w:ascii="Cambria Math" w:hAnsi="Cambria Math"/>
          <w:i/>
          <w:color w:val="1A5FB4"/>
          <w:sz w:val="21"/>
        </w:rPr>
        <w:t>L_IntraSCL = - ∑ (1 / |P(i)|) ∑ log [ exp(z_i · z_p / τ) / ∑ exp(z_i · z_a / τ) ]</w:t>
      </w:r>
    </w:p>
    <w:p>
      <w:pPr>
        <w:pStyle w:val="ListBullet"/>
        <w:spacing w:before="0" w:after="50" w:line="269" w:lineRule="auto"/>
        <w:ind w:left="720"/>
      </w:pPr>
      <w:r>
        <w:rPr>
          <w:rFonts w:ascii="Calibri" w:hAnsi="Calibri"/>
          <w:i w:val="0"/>
          <w:color w:val="1E293B"/>
          <w:sz w:val="19"/>
        </w:rPr>
        <w:t>Contrastive learning mathematically requires ≥ 2 samples of the same class in a local batch to form a positive pair (|P(i)| ≥ 1). In rare diseases like IPF (prevalence &lt; 8%, Dirichlet α = 0.2), clinics have 0 or only 1 patient scan. When sample count ≤ 1, |P(i)| = 0: No positive pairs can be formed! FedIIC's contrastive mechanism collapses to 0 for the rare class.</w:t>
      </w:r>
    </w:p>
    <w:p>
      <w:pPr>
        <w:pStyle w:val="ListBullet"/>
        <w:spacing w:before="0" w:after="50" w:line="269" w:lineRule="auto"/>
        <w:ind w:left="360"/>
      </w:pPr>
      <w:r>
        <w:rPr>
          <w:rFonts w:ascii="Calibri" w:hAnsi="Calibri"/>
          <w:b/>
          <w:color w:val="1E293B"/>
          <w:sz w:val="19"/>
        </w:rPr>
        <w:t>Failure Mode 2 — Dynamic Logit Adjustment (DALA) Margin Breakdown:</w:t>
      </w:r>
    </w:p>
    <w:p>
      <w:pPr>
        <w:spacing w:before="80" w:after="80"/>
        <w:jc w:val="center"/>
      </w:pPr>
      <w:r>
        <w:rPr>
          <w:rFonts w:ascii="Cambria Math" w:hAnsi="Cambria Math"/>
          <w:i/>
          <w:color w:val="1A5FB4"/>
          <w:sz w:val="21"/>
        </w:rPr>
        <w:t>m_c = τ · log(π_c / L_c^d + ε)</w:t>
      </w:r>
    </w:p>
    <w:p>
      <w:pPr>
        <w:pStyle w:val="ListBullet"/>
        <w:spacing w:before="0" w:after="50" w:line="269" w:lineRule="auto"/>
        <w:ind w:left="720"/>
      </w:pPr>
      <w:r>
        <w:rPr>
          <w:rFonts w:ascii="Calibri" w:hAnsi="Calibri"/>
          <w:i w:val="0"/>
          <w:color w:val="1E293B"/>
          <w:sz w:val="19"/>
        </w:rPr>
        <w:t>For community hospitals with 0 IPF patients, the empirical prior is π_IPF = 0, causing log(0) → -∞. This heavily penalizes the rare class, forcing the hospital model to actively suppress IPF predictions and corrupting the global consensus during federated averaging.</w:t>
      </w:r>
    </w:p>
    <w:p>
      <w:pPr>
        <w:pStyle w:val="ListBullet"/>
        <w:spacing w:before="0" w:after="50" w:line="269" w:lineRule="auto"/>
        <w:ind w:left="360"/>
      </w:pPr>
      <w:r>
        <w:rPr>
          <w:rFonts w:ascii="Calibri" w:hAnsi="Calibri"/>
          <w:b/>
          <w:color w:val="1E293B"/>
          <w:sz w:val="19"/>
        </w:rPr>
        <w:t>Why Federated Latent Replay is the Optimal Solution:</w:t>
      </w:r>
      <w:r>
        <w:rPr>
          <w:rFonts w:ascii="Calibri" w:hAnsi="Calibri"/>
          <w:i w:val="0"/>
          <w:color w:val="1E293B"/>
          <w:sz w:val="19"/>
        </w:rPr>
        <w:t xml:space="preserve"> Generates synthetic latent features f̂ ~ p(f | y = IPF) locally inside data-starved hospitals. Supplies artificial positive pairs to prevent contrastive collapse, without transferring any raw patient scans.</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Slide 6 provides the core scientific justification of our project. It demonstrates mathematically why the published state-of-the-art fails under true rare disease constraints:</w:t>
      </w:r>
    </w:p>
    <w:p>
      <w:pPr>
        <w:pStyle w:val="ListBullet"/>
        <w:spacing w:before="0" w:after="50" w:line="269" w:lineRule="auto"/>
        <w:ind w:left="360"/>
      </w:pPr>
      <w:r>
        <w:rPr>
          <w:rFonts w:ascii="Calibri" w:hAnsi="Calibri"/>
          <w:b/>
          <w:color w:val="1E293B"/>
          <w:sz w:val="19"/>
        </w:rPr>
        <w:t>IntraSCL Mathematical Formulation:</w:t>
      </w:r>
      <w:r>
        <w:rPr>
          <w:rFonts w:ascii="Calibri" w:hAnsi="Calibri"/>
          <w:i w:val="0"/>
          <w:color w:val="1E293B"/>
          <w:sz w:val="19"/>
        </w:rPr>
        <w:t xml:space="preserve"> Supervised contrastive learning pulls features of the same class together while pushing different classes apart. The set of positive indices for anchor i is:</w:t>
      </w:r>
    </w:p>
    <w:p>
      <w:pPr>
        <w:spacing w:before="80" w:after="80"/>
        <w:jc w:val="center"/>
      </w:pPr>
      <w:r>
        <w:rPr>
          <w:rFonts w:ascii="Cambria Math" w:hAnsi="Cambria Math"/>
          <w:i/>
          <w:color w:val="1A5FB4"/>
          <w:sz w:val="21"/>
        </w:rPr>
        <w:t>P(i) ≡ {p ∈ A(i) : y_p = y_i},   where A(i) ≡ I \ {i}</w:t>
      </w:r>
    </w:p>
    <w:p>
      <w:pPr>
        <w:spacing w:before="0" w:after="70" w:line="276" w:lineRule="auto"/>
      </w:pPr>
      <w:r>
        <w:rPr>
          <w:rFonts w:ascii="Calibri" w:hAnsi="Calibri"/>
          <w:i w:val="0"/>
          <w:color w:val="1E293B"/>
          <w:sz w:val="20"/>
        </w:rPr>
        <w:t>If a community hospital has only 1 IPF patient scan, any mini-batch contains at most one IPF sample (y_i = IPF). Therefore, P(i) = ∅, meaning |P(i)| = 0. The encoder receives zero gradient signal for the rare class, and representations fail to cluster.</w:t>
      </w:r>
    </w:p>
    <w:p>
      <w:pPr>
        <w:pStyle w:val="ListBullet"/>
        <w:spacing w:before="0" w:after="50" w:line="269" w:lineRule="auto"/>
        <w:ind w:left="360"/>
      </w:pPr>
      <w:r>
        <w:rPr>
          <w:rFonts w:ascii="Calibri" w:hAnsi="Calibri"/>
          <w:b/>
          <w:color w:val="1E293B"/>
          <w:sz w:val="19"/>
        </w:rPr>
        <w:t>DALA Logit Margin Pathology:</w:t>
      </w:r>
      <w:r>
        <w:rPr>
          <w:rFonts w:ascii="Calibri" w:hAnsi="Calibri"/>
          <w:i w:val="0"/>
          <w:color w:val="1E293B"/>
          <w:sz w:val="19"/>
        </w:rPr>
        <w:t xml:space="preserve"> FedIIC attempts to counteract imbalance by adding an additive logit margin: ŷ_c = z_c - τ log π_c. When client k has zero IPF cases, π_IPF = 0. Even with a smoothing term ε = 10^-7, the adjustment margin evaluates to:</w:t>
      </w:r>
    </w:p>
    <w:p>
      <w:pPr>
        <w:spacing w:before="80" w:after="80"/>
        <w:jc w:val="center"/>
      </w:pPr>
      <w:r>
        <w:rPr>
          <w:rFonts w:ascii="Cambria Math" w:hAnsi="Cambria Math"/>
          <w:i/>
          <w:color w:val="1A5FB4"/>
          <w:sz w:val="21"/>
        </w:rPr>
        <w:t>τ · log(10^-7) = 1.0 × (-16.11) = -16.11</w:t>
      </w:r>
    </w:p>
    <w:p>
      <w:pPr>
        <w:spacing w:before="0" w:after="70" w:line="276" w:lineRule="auto"/>
      </w:pPr>
      <w:r>
        <w:rPr>
          <w:rFonts w:ascii="Calibri" w:hAnsi="Calibri"/>
          <w:i w:val="0"/>
          <w:color w:val="1E293B"/>
          <w:sz w:val="20"/>
        </w:rPr>
        <w:t>Subtracting -16.11 is equivalent to adding +16.11 to the negative logit, causing the model to output a near-zero softmax probability for IPF. When this client's weights are averaged on the server, they inject severe negative bias against IPF into the global model!</w:t>
      </w:r>
    </w:p>
    <w:p>
      <w:pPr>
        <w:pStyle w:val="ListBullet"/>
        <w:spacing w:before="0" w:after="50" w:line="269" w:lineRule="auto"/>
        <w:ind w:left="360"/>
      </w:pPr>
      <w:r>
        <w:rPr>
          <w:rFonts w:ascii="Calibri" w:hAnsi="Calibri"/>
          <w:b/>
          <w:color w:val="1E293B"/>
          <w:sz w:val="19"/>
        </w:rPr>
        <w:t>The Generative Replay Remedy:</w:t>
      </w:r>
      <w:r>
        <w:rPr>
          <w:rFonts w:ascii="Calibri" w:hAnsi="Calibri"/>
          <w:i w:val="0"/>
          <w:color w:val="1E293B"/>
          <w:sz w:val="19"/>
        </w:rPr>
        <w:t xml:space="preserve"> FedGen-Rare intercepts the feature stream. By sampling f̂ ~ G_ψ(z, y = IPF), we inject artificial embeddings into the local batch. This guarantees |P(i)| ≥ 1 and provides a non-zero virtual prior π̃_IPF &gt; 0, completely neutralizing both failure modes.</w:t>
      </w: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"On Slide 6, we present the mathematical foundation of our research: why the state-of-the-art baseline, FedIIC from MICCAI 2023, fundamentally breaks down when applied to rare diseases."</w:t>
            </w:r>
          </w:p>
          <w:p>
            <w:pPr>
              <w:spacing w:before="40" w:after="80" w:line="276" w:lineRule="auto"/>
            </w:pPr>
            <w:r>
              <w:rPr>
                <w:rFonts w:ascii="Calibri" w:hAnsi="Calibri"/>
                <w:i/>
                <w:color w:val="1E293B"/>
                <w:sz w:val="19"/>
              </w:rPr>
              <w:t>"FedIIC relies on two mechanisms: Intra-Client Supervised Contrastive Loss (IntraSCL) and Dynamic Logit Adjustment (DALA). Let us examine why both fail mathematically in rare disease diagnosis."</w:t>
            </w:r>
          </w:p>
          <w:p>
            <w:pPr>
              <w:spacing w:before="40" w:after="80" w:line="276" w:lineRule="auto"/>
            </w:pPr>
            <w:r>
              <w:rPr>
                <w:rFonts w:ascii="Calibri" w:hAnsi="Calibri"/>
                <w:i/>
                <w:color w:val="1E293B"/>
                <w:sz w:val="19"/>
              </w:rPr>
              <w:t>"First, IntraSCL requires pulling positive pairs of the same class together. Mathematically, the cardinality of positive pairs |P(i)| must be at least 1. But in rare pathologies like IPF, where local clinic prevalence is under 8%, a community clinic typically has only one scan, or none at all. When sample count is 1, |P(i)| = 0—no positive pairs can be formed, and the contrastive loss collapses to zero for the rare class."</w:t>
            </w:r>
          </w:p>
          <w:p>
            <w:pPr>
              <w:spacing w:before="40" w:after="80" w:line="276" w:lineRule="auto"/>
            </w:pPr>
            <w:r>
              <w:rPr>
                <w:rFonts w:ascii="Calibri" w:hAnsi="Calibri"/>
                <w:i/>
                <w:color w:val="1E293B"/>
                <w:sz w:val="19"/>
              </w:rPr>
              <w:t>"Second, FedIIC's DALA adjusts classification logits using the local empirical class prior π_c. In a clinic with zero IPF patients, π_IPF = 0. The logarithm of zero evaluates to negative infinity. Even with epsilon smoothing, this assigns an extreme penalty that forces the local model to completely suppress IPF predictions. During federated averaging, these corrupted weights degrade the global model."</w:t>
            </w:r>
          </w:p>
          <w:p>
            <w:pPr>
              <w:spacing w:before="40" w:after="0" w:line="276" w:lineRule="auto"/>
            </w:pPr>
            <w:r>
              <w:rPr>
                <w:rFonts w:ascii="Calibri" w:hAnsi="Calibri"/>
                <w:i/>
                <w:color w:val="1E293B"/>
                <w:sz w:val="19"/>
              </w:rPr>
              <w:t>"Our solution, Federated Latent Replay, resolves this by generating synthetic latent features f̂ locally. This guarantees artificial positive pairs and prevents contrastive collapse without moving raw data."</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can't you just duplicate the single rare patient scan (oversampling) to create positive pairs in IntraSCL?</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Duplicating the exact same scan creates identical feature embeddings z_i = z_p. In contrastive learning, pairing an image with an exact duplicate causes severe representation collapse, where the encoder simply learns trivial pixel-matching shortcuts rather than generalizable pathological features of IPF.</w:t>
            </w:r>
          </w:p>
          <w:p>
            <w:pPr>
              <w:spacing w:before="80" w:after="40" w:line="269" w:lineRule="auto"/>
            </w:pPr>
            <w:r>
              <w:rPr>
                <w:rFonts w:ascii="Calibri" w:hAnsi="Calibri"/>
                <w:b/>
                <w:color w:val="92400E"/>
                <w:sz w:val="19"/>
              </w:rPr>
              <w:t xml:space="preserve">Q2: </w:t>
            </w:r>
            <w:r>
              <w:rPr>
                <w:rFonts w:ascii="Calibri" w:hAnsi="Calibri"/>
                <w:i w:val="0"/>
                <w:color w:val="92400E"/>
                <w:sz w:val="19"/>
              </w:rPr>
              <w:t>Doesn't FedIIC's Inter-Client Contrastive Loss (InterSCL) solve this by sharing class prototypes?</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InterSCL shares globally averaged class prototypes, but it still relies on local encoders generating well-clustered features via IntraSCL. If a local client cannot form intra-client clusters due to zero or single samples, the local representation remains unaligned, and aligning it to global prototypes fails.</w:t>
            </w:r>
          </w:p>
        </w:tc>
      </w:tr>
    </w:tbl>
    <w:p>
      <w:pPr>
        <w:spacing w:after="40"/>
      </w:pPr>
    </w:p>
    <w:p>
      <w:pPr>
        <w:keepNext/>
        <w:spacing w:before="280" w:after="60"/>
      </w:pPr>
      <w:r>
        <w:rPr>
          <w:rFonts w:ascii="Calibri" w:hAnsi="Calibri"/>
          <w:b/>
          <w:color w:val="0A2540"/>
          <w:sz w:val="30"/>
        </w:rPr>
        <w:t>Slide 7: Detailed Design — Algorithms &amp; Mathematics</w:t>
      </w:r>
      <w:r>
        <w:rPr>
          <w:rFonts w:ascii="Calibri" w:hAnsi="Calibri"/>
          <w:b/>
          <w:color w:val="1A5FB4"/>
          <w:sz w:val="21"/>
        </w:rPr>
        <w:t xml:space="preserve">  [PI 3.3.3]</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Detailed Design — Algorithms &amp; Mathematics</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PI 3.3.3: FORMAL PSEUDOCODE, INPUT/OUTPUT SPECIFICATIONS &amp; LOSS FUNCTIONS</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3.3.3</w:t>
      </w:r>
      <w:r>
        <w:rPr>
          <w:rFonts w:ascii="Calibri" w:hAnsi="Calibri"/>
          <w:i w:val="0"/>
          <w:color w:val="1E293B"/>
          <w:sz w:val="19"/>
        </w:rPr>
        <w:t xml:space="preserve"> (Develop detailed design with algorithms, pseudocode with explicit inputs and outputs, and mathematical models).</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Two-column technical layout. Left Column: Mathematical Formulations (G_ψ mapping, Multi-task Generator loss L_gen, Feature Matching L_FM, Mode-Seeking Diversity L_DIV, Replay loss L_clf). Right Column: Algorithms 1, 2, and 3 with formal I/O specifications.</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Mathematical Formulations:</w:t>
      </w:r>
    </w:p>
    <w:p>
      <w:pPr>
        <w:pStyle w:val="ListBullet"/>
        <w:spacing w:before="0" w:after="50" w:line="269" w:lineRule="auto"/>
        <w:ind w:left="720"/>
      </w:pPr>
      <w:r>
        <w:rPr>
          <w:rFonts w:ascii="Calibri" w:hAnsi="Calibri"/>
          <w:b/>
          <w:color w:val="1E293B"/>
          <w:sz w:val="19"/>
        </w:rPr>
        <w:t>Conditional Latent Feature Generator:</w:t>
      </w:r>
      <w:r>
        <w:rPr>
          <w:rFonts w:ascii="Calibri" w:hAnsi="Calibri"/>
          <w:i w:val="0"/>
          <w:color w:val="1E293B"/>
          <w:sz w:val="19"/>
        </w:rPr>
        <w:t xml:space="preserve"> f̂ = G_ψ(z, y),   where z ~ N(0, I_64),   y ∈ {0, 1, 2}.</w:t>
      </w:r>
    </w:p>
    <w:p>
      <w:pPr>
        <w:pStyle w:val="ListBullet"/>
        <w:spacing w:before="0" w:after="50" w:line="269" w:lineRule="auto"/>
        <w:ind w:left="720"/>
      </w:pPr>
      <w:r>
        <w:rPr>
          <w:rFonts w:ascii="Calibri" w:hAnsi="Calibri"/>
          <w:b/>
          <w:color w:val="1E293B"/>
          <w:sz w:val="19"/>
        </w:rPr>
        <w:t>Generator Multi-Task Loss Objective:</w:t>
      </w:r>
    </w:p>
    <w:p>
      <w:pPr>
        <w:spacing w:before="80" w:after="80"/>
        <w:jc w:val="center"/>
      </w:pPr>
      <w:r>
        <w:rPr>
          <w:rFonts w:ascii="Cambria Math" w:hAnsi="Cambria Math"/>
          <w:i/>
          <w:color w:val="1A5FB4"/>
          <w:sz w:val="21"/>
        </w:rPr>
        <w:t>L_gen = L_CE(F_θ(f̂), y) + λ_fm · L_FM - λ_div · L_DIV</w:t>
      </w:r>
    </w:p>
    <w:p>
      <w:pPr>
        <w:pStyle w:val="ListBullet"/>
        <w:spacing w:before="0" w:after="50" w:line="269" w:lineRule="auto"/>
        <w:ind w:left="1080"/>
      </w:pPr>
      <w:r>
        <w:rPr>
          <w:rFonts w:ascii="Calibri" w:hAnsi="Calibri"/>
          <w:i w:val="0"/>
          <w:color w:val="1E293B"/>
          <w:sz w:val="19"/>
        </w:rPr>
        <w:t>where L_CE is classification fidelity under frozen classifier, L_FM is Feature Matching loss = MSE( (1/B) ∑ f̂_c, f̄_c^real ), and L_DIV is mode-seeking diversity penalty = ||f̂_1 - f̂_2||_1 / (||z_1 - z_2||_1 + ε).</w:t>
      </w:r>
    </w:p>
    <w:p>
      <w:pPr>
        <w:pStyle w:val="ListBullet"/>
        <w:spacing w:before="0" w:after="50" w:line="269" w:lineRule="auto"/>
        <w:ind w:left="720"/>
      </w:pPr>
      <w:r>
        <w:rPr>
          <w:rFonts w:ascii="Calibri" w:hAnsi="Calibri"/>
          <w:b/>
          <w:color w:val="1E293B"/>
          <w:sz w:val="19"/>
        </w:rPr>
        <w:t>Generative Replay Classifier Objective:</w:t>
      </w:r>
    </w:p>
    <w:p>
      <w:pPr>
        <w:spacing w:before="80" w:after="80"/>
        <w:jc w:val="center"/>
      </w:pPr>
      <w:r>
        <w:rPr>
          <w:rFonts w:ascii="Cambria Math" w:hAnsi="Cambria Math"/>
          <w:i/>
          <w:color w:val="1A5FB4"/>
          <w:sz w:val="21"/>
        </w:rPr>
        <w:t>f_comb = Concat[f_real, f̂_IPF],      L_clf = CrossEntropy(Head(f_comb), y_comb)</w:t>
      </w:r>
    </w:p>
    <w:p>
      <w:pPr>
        <w:pStyle w:val="ListBullet"/>
        <w:spacing w:before="0" w:after="50" w:line="269" w:lineRule="auto"/>
        <w:ind w:left="360"/>
      </w:pPr>
      <w:r>
        <w:rPr>
          <w:rFonts w:ascii="Calibri" w:hAnsi="Calibri"/>
          <w:b/>
          <w:color w:val="1E293B"/>
          <w:sz w:val="19"/>
        </w:rPr>
        <w:t>Algorithms &amp; I/O Specifications:</w:t>
      </w:r>
    </w:p>
    <w:p>
      <w:pPr>
        <w:pStyle w:val="ListBullet"/>
        <w:spacing w:before="0" w:after="50" w:line="269" w:lineRule="auto"/>
        <w:ind w:left="720"/>
      </w:pPr>
      <w:r>
        <w:rPr>
          <w:rFonts w:ascii="Calibri" w:hAnsi="Calibri"/>
          <w:b/>
          <w:color w:val="1E293B"/>
          <w:sz w:val="19"/>
        </w:rPr>
        <w:t>Algorithm 1: Local Generator Distillation</w:t>
      </w:r>
      <w:r>
        <w:rPr>
          <w:rFonts w:ascii="Calibri" w:hAnsi="Calibri"/>
          <w:i w:val="0"/>
          <w:color w:val="1E293B"/>
          <w:sz w:val="19"/>
        </w:rPr>
        <w:t xml:space="preserve"> — Inputs: Local dataset D_k, Global classifier F_θ, Generator G_ψ, steps T = 5, λ_fm = 0.1, λ_div = 0.05. Output: Updated local generator parameter tensor ψ_k.</w:t>
      </w:r>
    </w:p>
    <w:p>
      <w:pPr>
        <w:pStyle w:val="ListBullet"/>
        <w:spacing w:before="0" w:after="50" w:line="269" w:lineRule="auto"/>
        <w:ind w:left="720"/>
      </w:pPr>
      <w:r>
        <w:rPr>
          <w:rFonts w:ascii="Calibri" w:hAnsi="Calibri"/>
          <w:b/>
          <w:color w:val="1E293B"/>
          <w:sz w:val="19"/>
        </w:rPr>
        <w:t>Algorithm 2: Classifier Training with Replay</w:t>
      </w:r>
      <w:r>
        <w:rPr>
          <w:rFonts w:ascii="Calibri" w:hAnsi="Calibri"/>
          <w:i w:val="0"/>
          <w:color w:val="1E293B"/>
          <w:sz w:val="19"/>
        </w:rPr>
        <w:t xml:space="preserve"> — Inputs: Local dataset D_k, Generator G_ψ, Classifier F_θ, local epochs E = 2, rare class r = 0, batch size B = 16. Logic: Inspects n_rare; if deficit exists, queries G_ψ.sample(r) and appends synthetic embeddings. Output: Updated local classifier weights θ_k.</w:t>
      </w:r>
    </w:p>
    <w:p>
      <w:pPr>
        <w:pStyle w:val="ListBullet"/>
        <w:spacing w:before="0" w:after="50" w:line="269" w:lineRule="auto"/>
        <w:ind w:left="720"/>
      </w:pPr>
      <w:r>
        <w:rPr>
          <w:rFonts w:ascii="Calibri" w:hAnsi="Calibri"/>
          <w:b/>
          <w:color w:val="1E293B"/>
          <w:sz w:val="19"/>
        </w:rPr>
        <w:t>Algorithm 3: Global Federated Communication Round</w:t>
      </w:r>
      <w:r>
        <w:rPr>
          <w:rFonts w:ascii="Calibri" w:hAnsi="Calibri"/>
          <w:i w:val="0"/>
          <w:color w:val="1E293B"/>
          <w:sz w:val="19"/>
        </w:rPr>
        <w:t xml:space="preserve"> — Stage 1: Broadcast (θ, ψ) → Clients distill G_ψ → Aggregate ψ_glob = ∑ (n_k/N) ψ_k. Stage 2: Clients train F_θ via replay → Aggregate θ_glob = ∑ (n_k/N) θ_k → Evaluate on global test set.</w:t>
      </w:r>
    </w:p>
    <w:p>
      <w:pPr>
        <w:keepNext/>
        <w:spacing w:before="200" w:after="40"/>
      </w:pPr>
      <w:r>
        <w:rPr>
          <w:rFonts w:ascii="Calibri" w:hAnsi="Calibri"/>
          <w:b/>
          <w:color w:val="1A5FB4"/>
          <w:sz w:val="23"/>
        </w:rPr>
        <w:t>3. Deep Technical &amp; Mathematical Explanation</w:t>
      </w:r>
    </w:p>
    <w:p>
      <w:pPr>
        <w:spacing w:before="0" w:after="70" w:line="276" w:lineRule="auto"/>
      </w:pPr>
      <w:r>
        <w:rPr>
          <w:rFonts w:ascii="Calibri" w:hAnsi="Calibri"/>
          <w:i w:val="0"/>
          <w:color w:val="1E293B"/>
          <w:sz w:val="20"/>
        </w:rPr>
        <w:t>Slide 7 directly satisfies the PI 3.3.3 requirement for mathematical models, pseudocode, and formal I/O definitions:</w:t>
      </w:r>
    </w:p>
    <w:p>
      <w:pPr>
        <w:pStyle w:val="ListBullet"/>
        <w:spacing w:before="0" w:after="50" w:line="269" w:lineRule="auto"/>
        <w:ind w:left="360"/>
      </w:pPr>
      <w:r>
        <w:rPr>
          <w:rFonts w:ascii="Calibri" w:hAnsi="Calibri"/>
          <w:b/>
          <w:color w:val="1E293B"/>
          <w:sz w:val="19"/>
        </w:rPr>
        <w:t>Feature Matching Loss (L_FM):</w:t>
      </w:r>
      <w:r>
        <w:rPr>
          <w:rFonts w:ascii="Calibri" w:hAnsi="Calibri"/>
          <w:i w:val="0"/>
          <w:color w:val="1E293B"/>
          <w:sz w:val="19"/>
        </w:rPr>
        <w:t xml:space="preserve"> By forcing synthetic latent vectors to match the empirical centroid f̄_c^real of real patient embeddings, the generator is prevented from producing hallucinations or unrealistic outlier vectors:</w:t>
      </w:r>
    </w:p>
    <w:p>
      <w:pPr>
        <w:spacing w:before="80" w:after="80"/>
        <w:jc w:val="center"/>
      </w:pPr>
      <w:r>
        <w:rPr>
          <w:rFonts w:ascii="Cambria Math" w:hAnsi="Cambria Math"/>
          <w:i/>
          <w:color w:val="1A5FB4"/>
          <w:sz w:val="21"/>
        </w:rPr>
        <w:t>L_FM = (1/C) ∑ || E_z[G_ψ(z, c)] - E_x[E_θ(x)] ||_2^2</w:t>
      </w:r>
    </w:p>
    <w:p>
      <w:pPr>
        <w:pStyle w:val="ListBullet"/>
        <w:spacing w:before="0" w:after="50" w:line="269" w:lineRule="auto"/>
        <w:ind w:left="360"/>
      </w:pPr>
      <w:r>
        <w:rPr>
          <w:rFonts w:ascii="Calibri" w:hAnsi="Calibri"/>
          <w:b/>
          <w:color w:val="1E293B"/>
          <w:sz w:val="19"/>
        </w:rPr>
        <w:t>Mode-Seeking Diversity Regularizer (L_DIV):</w:t>
      </w:r>
      <w:r>
        <w:rPr>
          <w:rFonts w:ascii="Calibri" w:hAnsi="Calibri"/>
          <w:i w:val="0"/>
          <w:color w:val="1E293B"/>
          <w:sz w:val="19"/>
        </w:rPr>
        <w:t xml:space="preserve"> In medical imaging, subtle phenotypic variations exist within IPF. Standard conditional generators often suffer from mode collapse, producing a single identical vector. To enforce diversity:</w:t>
      </w:r>
    </w:p>
    <w:p>
      <w:pPr>
        <w:spacing w:before="80" w:after="80"/>
        <w:jc w:val="center"/>
      </w:pPr>
      <w:r>
        <w:rPr>
          <w:rFonts w:ascii="Cambria Math" w:hAnsi="Cambria Math"/>
          <w:i/>
          <w:color w:val="1A5FB4"/>
          <w:sz w:val="21"/>
        </w:rPr>
        <w:t>L_DIV = || G_ψ(z_1, y) - G_ψ(z_2, y) ||_1 / ( || z_1 - z_2 ||_1 + ε )</w:t>
      </w:r>
    </w:p>
    <w:p>
      <w:pPr>
        <w:spacing w:before="0" w:after="70" w:line="276" w:lineRule="auto"/>
      </w:pPr>
      <w:r>
        <w:rPr>
          <w:rFonts w:ascii="Calibri" w:hAnsi="Calibri"/>
          <w:i w:val="0"/>
          <w:color w:val="1E293B"/>
          <w:sz w:val="20"/>
        </w:rPr>
        <w:t>Maximizing this objective ensures that two different latent noise vectors z_1 ≠ z_2 map to diverse locations within the IPF feature manifold.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40" w:lineRule="auto"/>
            </w:pPr>
            <w:r>
              <w:rPr>
                <w:rFonts w:ascii="Consolas" w:hAnsi="Consolas"/>
                <w:color w:val="1E293B"/>
                <w:sz w:val="17"/>
              </w:rPr>
              <w:t>+-----------------------------------+</w:t>
              <w:br/>
              <w:t xml:space="preserve">                  |        Sample z ~ N(0, I)         |</w:t>
              <w:br/>
              <w:t xml:space="preserve">                  +-----------------------------------+</w:t>
              <w:br/>
              <w:t xml:space="preserve">                                    |</w:t>
              <w:br/>
              <w:t xml:space="preserve">                                    v</w:t>
              <w:br/>
              <w:t xml:space="preserve">     +--------+           +-------------------+</w:t>
              <w:br/>
              <w:t xml:space="preserve">     | Label  |----------&gt;|  Generator G_psi  |</w:t>
              <w:br/>
              <w:t xml:space="preserve">     | y=IPF  |           +-------------------+</w:t>
              <w:br/>
              <w:t xml:space="preserve">     +--------+                     |</w:t>
              <w:br/>
              <w:t xml:space="preserve">                                    v</w:t>
              <w:br/>
              <w:t xml:space="preserve">                          +-------------------+</w:t>
              <w:br/>
              <w:t xml:space="preserve">                          | Synthetic Feature |</w:t>
              <w:br/>
              <w:t xml:space="preserve">                          |       f_hat       |</w:t>
              <w:br/>
              <w:t xml:space="preserve">                          +-------------------+</w:t>
              <w:br/>
              <w:t xml:space="preserve">                                    |</w:t>
              <w:br/>
              <w:t xml:space="preserve">           +------------------------+------------------------+</w:t>
              <w:br/>
              <w:t xml:space="preserve">           |                                                 |</w:t>
              <w:br/>
              <w:t xml:space="preserve">           v                                                 v</w:t>
              <w:br/>
              <w:t>+----------------------+                          +----------------------+</w:t>
              <w:br/>
              <w:t>|  L_CE: Match Label   |                          | L_FM: Match Centroid |</w:t>
              <w:br/>
              <w:t>|  under Global Clf    |                          |  of Real Clinic Data |</w:t>
              <w:br/>
              <w:t>+----------------------+                          +----------------------+</w:t>
            </w:r>
          </w:p>
        </w:tc>
      </w:tr>
    </w:tbl>
    <w:p>
      <w:pPr>
        <w:spacing w:after="40"/>
      </w:pP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"Slide 7 covers our Detailed Design, fulfilling Performance Indicator 3.3.3 with complete mathematical models, loss functions, and algorithmic input/output specifications."</w:t>
            </w:r>
          </w:p>
          <w:p>
            <w:pPr>
              <w:spacing w:before="40" w:after="80" w:line="276" w:lineRule="auto"/>
            </w:pPr>
            <w:r>
              <w:rPr>
                <w:rFonts w:ascii="Calibri" w:hAnsi="Calibri"/>
                <w:i/>
                <w:color w:val="1E293B"/>
                <w:sz w:val="19"/>
              </w:rPr>
              <w:t>"On the left, we formulate our mathematical objectives. The generator G_ψ maps 64-dimensional Gaussian noise z conditioned on class label y to a 128-dimensional synthetic feature f̂. The generator is trained under a three-part multi-task loss: First, Cross-Entropy classification loss under the global classifier. Second, Feature Matching loss L_FM, which penalizes the mean squared error between synthetic embeddings and the real clinical feature centroid. Third, a mode-seeking diversity penalty L_DIV that prevents mode collapse by maximizing feature distance relative to noise distance."</w:t>
            </w:r>
          </w:p>
          <w:p>
            <w:pPr>
              <w:spacing w:before="40" w:after="0" w:line="276" w:lineRule="auto"/>
            </w:pPr>
            <w:r>
              <w:rPr>
                <w:rFonts w:ascii="Calibri" w:hAnsi="Calibri"/>
                <w:i/>
                <w:color w:val="1E293B"/>
                <w:sz w:val="19"/>
              </w:rPr>
              <w:t>"On the right, we define our three core algorithms with strict I/O specifications: Algorithm 1 details local generator distillation over 5 local steps. Algorithm 2 handles classifier training with generative replay: if a hospital batch lacks sufficient rare cases, it queries G_ψ to append synthetic embeddings on-the-fly. Finally, Algorithm 3 defines the global federated communication round, orchestrating a two-stage aggregation sequence: aggregating the generator first, then using the aggregated generator to train and aggregate the diagnostic classifier."</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do you subtract L_DIV instead of adding it in the generator loss?</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Because we seek to maximize the diversity of generated features. In gradient descent optimization, subtracting λ_div · L_DIV ensures that minimizing L_gen maximizes the feature distance ||f̂_1 - f̂_2||, actively driving the generator away from mode collapse.</w:t>
            </w:r>
          </w:p>
          <w:p>
            <w:pPr>
              <w:spacing w:before="80" w:after="40" w:line="269" w:lineRule="auto"/>
            </w:pPr>
            <w:r>
              <w:rPr>
                <w:rFonts w:ascii="Calibri" w:hAnsi="Calibri"/>
                <w:b/>
                <w:color w:val="92400E"/>
                <w:sz w:val="19"/>
              </w:rPr>
              <w:t xml:space="preserve">Q2: </w:t>
            </w:r>
            <w:r>
              <w:rPr>
                <w:rFonts w:ascii="Calibri" w:hAnsi="Calibri"/>
                <w:i w:val="0"/>
                <w:color w:val="92400E"/>
                <w:sz w:val="19"/>
              </w:rPr>
              <w:t>What happens in Algorithm 2 if a client has ZERO real IPF samples to compute the real centroid for Feature Matching?</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When a client has zero real samples of class c, the local centroid f̄_c^real cannot be computed locally. In that scenario, the client uses the global class prototype f̄_c^glob broadcast by the server from clients that do possess rare cases. This allows zero-patient clinics to align synthetic features to real clinical data.</w:t>
            </w:r>
          </w:p>
        </w:tc>
      </w:tr>
    </w:tbl>
    <w:p>
      <w:pPr>
        <w:spacing w:after="40"/>
      </w:pPr>
    </w:p>
    <w:p>
      <w:pPr>
        <w:keepNext/>
        <w:spacing w:before="280" w:after="60"/>
      </w:pPr>
      <w:r>
        <w:rPr>
          <w:rFonts w:ascii="Calibri" w:hAnsi="Calibri"/>
          <w:b/>
          <w:color w:val="0A2540"/>
          <w:sz w:val="30"/>
        </w:rPr>
        <w:t>Slide 8: Modern Tools &amp; Module Testing Suite</w:t>
      </w:r>
      <w:r>
        <w:rPr>
          <w:rFonts w:ascii="Calibri" w:hAnsi="Calibri"/>
          <w:b/>
          <w:color w:val="1A5FB4"/>
          <w:sz w:val="21"/>
        </w:rPr>
        <w:t xml:space="preserve">  [PI 5.2.2 / PI 12.1.2]</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Modern Tools &amp; Module Testing Suite</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PI 5.2.2: DOMAIN-SPECIFIC TOOLS &amp; 31/31 AUTOMATED TESTS PASSING</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5.2.2</w:t>
      </w:r>
      <w:r>
        <w:rPr>
          <w:rFonts w:ascii="Calibri" w:hAnsi="Calibri"/>
          <w:i w:val="0"/>
          <w:color w:val="1E293B"/>
          <w:sz w:val="19"/>
        </w:rPr>
        <w:t xml:space="preserve"> (Identify and use modern engineering tools, platforms, frameworks, simulators, automated testing suites) &amp; </w:t>
      </w:r>
      <w:r>
        <w:rPr>
          <w:rFonts w:ascii="Calibri" w:hAnsi="Calibri"/>
          <w:b/>
          <w:color w:val="1E293B"/>
          <w:sz w:val="19"/>
        </w:rPr>
        <w:t>PI 12.1.2</w:t>
      </w:r>
      <w:r>
        <w:rPr>
          <w:rFonts w:ascii="Calibri" w:hAnsi="Calibri"/>
          <w:i w:val="0"/>
          <w:color w:val="1E293B"/>
          <w:sz w:val="19"/>
        </w:rPr>
        <w:t xml:space="preserve"> (Verification of module functionality and code quality).</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Split-card engineering dashboard. Left Card: Modern Tools &amp; Platforms categorized into Deep Learning, Evaluation, UML Modeling, Technical Report Writing, and Testing Frameworks. Right Card: Automated Unit Test Suite breakdown detailing all 31 passing unit tests across 7 test suites.</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Modern Tools &amp; Platforms (PI 5.2.2):</w:t>
      </w:r>
    </w:p>
    <w:p>
      <w:pPr>
        <w:pStyle w:val="ListBullet"/>
        <w:spacing w:before="0" w:after="50" w:line="269" w:lineRule="auto"/>
        <w:ind w:left="720"/>
      </w:pPr>
      <w:r>
        <w:rPr>
          <w:rFonts w:ascii="Calibri" w:hAnsi="Calibri"/>
          <w:b/>
          <w:color w:val="1E293B"/>
          <w:sz w:val="19"/>
        </w:rPr>
        <w:t>Deep Learning Framework:</w:t>
      </w:r>
      <w:r>
        <w:rPr>
          <w:rFonts w:ascii="Calibri" w:hAnsi="Calibri"/>
          <w:i w:val="0"/>
          <w:color w:val="1E293B"/>
          <w:sz w:val="19"/>
        </w:rPr>
        <w:t xml:space="preserve"> </w:t>
      </w:r>
      <w:r>
        <w:rPr>
          <w:rFonts w:ascii="Calibri" w:hAnsi="Calibri"/>
          <w:b/>
          <w:color w:val="1E293B"/>
          <w:sz w:val="19"/>
        </w:rPr>
        <w:t>PyTorch 2.14 &amp; Torchvision</w:t>
      </w:r>
      <w:r>
        <w:rPr>
          <w:rFonts w:ascii="Calibri" w:hAnsi="Calibri"/>
          <w:i w:val="0"/>
          <w:color w:val="1E293B"/>
          <w:sz w:val="19"/>
        </w:rPr>
        <w:t xml:space="preserve"> — Used for neural tensor computation, autograd engine, ResNet-18 feature backbones, and optimizer scheduling.</w:t>
      </w:r>
    </w:p>
    <w:p>
      <w:pPr>
        <w:pStyle w:val="ListBullet"/>
        <w:spacing w:before="0" w:after="50" w:line="269" w:lineRule="auto"/>
        <w:ind w:left="720"/>
      </w:pPr>
      <w:r>
        <w:rPr>
          <w:rFonts w:ascii="Calibri" w:hAnsi="Calibri"/>
          <w:b/>
          <w:color w:val="1E293B"/>
          <w:sz w:val="19"/>
        </w:rPr>
        <w:t>Evaluation &amp; Mathematics:</w:t>
      </w:r>
      <w:r>
        <w:rPr>
          <w:rFonts w:ascii="Calibri" w:hAnsi="Calibri"/>
          <w:i w:val="0"/>
          <w:color w:val="1E293B"/>
          <w:sz w:val="19"/>
        </w:rPr>
        <w:t xml:space="preserve"> </w:t>
      </w:r>
      <w:r>
        <w:rPr>
          <w:rFonts w:ascii="Calibri" w:hAnsi="Calibri"/>
          <w:b/>
          <w:color w:val="1E293B"/>
          <w:sz w:val="19"/>
        </w:rPr>
        <w:t>Scikit-learn</w:t>
      </w:r>
      <w:r>
        <w:rPr>
          <w:rFonts w:ascii="Calibri" w:hAnsi="Calibri"/>
          <w:i w:val="0"/>
          <w:color w:val="1E293B"/>
          <w:sz w:val="19"/>
        </w:rPr>
        <w:t xml:space="preserve"> for clinical metric computation (BACC, F1, confusion matrices, AUROC); </w:t>
      </w:r>
      <w:r>
        <w:rPr>
          <w:rFonts w:ascii="Calibri" w:hAnsi="Calibri"/>
          <w:b/>
          <w:color w:val="1E293B"/>
          <w:sz w:val="19"/>
        </w:rPr>
        <w:t>NumPy &amp; Pandas</w:t>
      </w:r>
      <w:r>
        <w:rPr>
          <w:rFonts w:ascii="Calibri" w:hAnsi="Calibri"/>
          <w:i w:val="0"/>
          <w:color w:val="1E293B"/>
          <w:sz w:val="19"/>
        </w:rPr>
        <w:t xml:space="preserve"> for Dirichlet distribution sampling and CSV logging.</w:t>
      </w:r>
    </w:p>
    <w:p>
      <w:pPr>
        <w:pStyle w:val="ListBullet"/>
        <w:spacing w:before="0" w:after="50" w:line="269" w:lineRule="auto"/>
        <w:ind w:left="720"/>
      </w:pPr>
      <w:r>
        <w:rPr>
          <w:rFonts w:ascii="Calibri" w:hAnsi="Calibri"/>
          <w:b/>
          <w:color w:val="1E293B"/>
          <w:sz w:val="19"/>
        </w:rPr>
        <w:t>UML Modeling Tools:</w:t>
      </w:r>
      <w:r>
        <w:rPr>
          <w:rFonts w:ascii="Calibri" w:hAnsi="Calibri"/>
          <w:i w:val="0"/>
          <w:color w:val="1E293B"/>
          <w:sz w:val="19"/>
        </w:rPr>
        <w:t xml:space="preserve"> </w:t>
      </w:r>
      <w:r>
        <w:rPr>
          <w:rFonts w:ascii="Calibri" w:hAnsi="Calibri"/>
          <w:b/>
          <w:color w:val="1E293B"/>
          <w:sz w:val="19"/>
        </w:rPr>
        <w:t>PlantUML &amp; Draw.io</w:t>
      </w:r>
      <w:r>
        <w:rPr>
          <w:rFonts w:ascii="Calibri" w:hAnsi="Calibri"/>
          <w:i w:val="0"/>
          <w:color w:val="1E293B"/>
          <w:sz w:val="19"/>
        </w:rPr>
        <w:t xml:space="preserve"> — Used to design and generate 4 architectural UML diagrams stored in native </w:t>
      </w:r>
      <w:r>
        <w:rPr>
          <w:rFonts w:ascii="Consolas" w:hAnsi="Consolas"/>
          <w:color w:val="2563EB"/>
          <w:sz w:val="18"/>
        </w:rPr>
        <w:t>.drawio</w:t>
      </w:r>
      <w:r>
        <w:rPr>
          <w:rFonts w:ascii="Calibri" w:hAnsi="Calibri"/>
          <w:i w:val="0"/>
          <w:color w:val="1E293B"/>
          <w:sz w:val="19"/>
        </w:rPr>
        <w:t xml:space="preserve"> and </w:t>
      </w:r>
      <w:r>
        <w:rPr>
          <w:rFonts w:ascii="Consolas" w:hAnsi="Consolas"/>
          <w:color w:val="2563EB"/>
          <w:sz w:val="18"/>
        </w:rPr>
        <w:t>.puml</w:t>
      </w:r>
      <w:r>
        <w:rPr>
          <w:rFonts w:ascii="Calibri" w:hAnsi="Calibri"/>
          <w:i w:val="0"/>
          <w:color w:val="1E293B"/>
          <w:sz w:val="19"/>
        </w:rPr>
        <w:t xml:space="preserve"> formats in </w:t>
      </w:r>
      <w:r>
        <w:rPr>
          <w:rFonts w:ascii="Consolas" w:hAnsi="Consolas"/>
          <w:color w:val="2563EB"/>
          <w:sz w:val="18"/>
        </w:rPr>
        <w:t>docs/uml/</w:t>
      </w:r>
      <w:r>
        <w:rPr>
          <w:rFonts w:ascii="Calibri" w:hAnsi="Calibri"/>
          <w:i w:val="0"/>
          <w:color w:val="1E293B"/>
          <w:sz w:val="19"/>
        </w:rPr>
        <w:t>.</w:t>
      </w:r>
    </w:p>
    <w:p>
      <w:pPr>
        <w:pStyle w:val="ListBullet"/>
        <w:spacing w:before="0" w:after="50" w:line="269" w:lineRule="auto"/>
        <w:ind w:left="720"/>
      </w:pPr>
      <w:r>
        <w:rPr>
          <w:rFonts w:ascii="Calibri" w:hAnsi="Calibri"/>
          <w:b/>
          <w:color w:val="1E293B"/>
          <w:sz w:val="19"/>
        </w:rPr>
        <w:t>Technical Report Writing:</w:t>
      </w:r>
      <w:r>
        <w:rPr>
          <w:rFonts w:ascii="Calibri" w:hAnsi="Calibri"/>
          <w:i w:val="0"/>
          <w:color w:val="1E293B"/>
          <w:sz w:val="19"/>
        </w:rPr>
        <w:t xml:space="preserve"> </w:t>
      </w:r>
      <w:r>
        <w:rPr>
          <w:rFonts w:ascii="Calibri" w:hAnsi="Calibri"/>
          <w:b/>
          <w:color w:val="1E293B"/>
          <w:sz w:val="19"/>
        </w:rPr>
        <w:t>LaTeX</w:t>
      </w:r>
      <w:r>
        <w:rPr>
          <w:rFonts w:ascii="Calibri" w:hAnsi="Calibri"/>
          <w:i w:val="0"/>
          <w:color w:val="1E293B"/>
          <w:sz w:val="19"/>
        </w:rPr>
        <w:t xml:space="preserve"> — Authored a comprehensive 6-chapter technical report (</w:t>
      </w:r>
      <w:r>
        <w:rPr>
          <w:rFonts w:ascii="Consolas" w:hAnsi="Consolas"/>
          <w:color w:val="2563EB"/>
          <w:sz w:val="18"/>
        </w:rPr>
        <w:t>SDP_Review2_Report.tex</w:t>
      </w:r>
      <w:r>
        <w:rPr>
          <w:rFonts w:ascii="Calibri" w:hAnsi="Calibri"/>
          <w:i w:val="0"/>
          <w:color w:val="1E293B"/>
          <w:sz w:val="19"/>
        </w:rPr>
        <w:t xml:space="preserve"> in </w:t>
      </w:r>
      <w:r>
        <w:rPr>
          <w:rFonts w:ascii="Consolas" w:hAnsi="Consolas"/>
          <w:color w:val="2563EB"/>
          <w:sz w:val="18"/>
        </w:rPr>
        <w:t>docs/report/</w:t>
      </w:r>
      <w:r>
        <w:rPr>
          <w:rFonts w:ascii="Calibri" w:hAnsi="Calibri"/>
          <w:i w:val="0"/>
          <w:color w:val="1E293B"/>
          <w:sz w:val="19"/>
        </w:rPr>
        <w:t>).</w:t>
      </w:r>
    </w:p>
    <w:p>
      <w:pPr>
        <w:pStyle w:val="ListBullet"/>
        <w:spacing w:before="0" w:after="50" w:line="269" w:lineRule="auto"/>
        <w:ind w:left="720"/>
      </w:pPr>
      <w:r>
        <w:rPr>
          <w:rFonts w:ascii="Calibri" w:hAnsi="Calibri"/>
          <w:b/>
          <w:color w:val="1E293B"/>
          <w:sz w:val="19"/>
        </w:rPr>
        <w:t>Testing Framework:</w:t>
      </w:r>
      <w:r>
        <w:rPr>
          <w:rFonts w:ascii="Calibri" w:hAnsi="Calibri"/>
          <w:i w:val="0"/>
          <w:color w:val="1E293B"/>
          <w:sz w:val="19"/>
        </w:rPr>
        <w:t xml:space="preserve"> </w:t>
      </w:r>
      <w:r>
        <w:rPr>
          <w:rFonts w:ascii="Calibri" w:hAnsi="Calibri"/>
          <w:b/>
          <w:color w:val="1E293B"/>
          <w:sz w:val="19"/>
        </w:rPr>
        <w:t>pytest 9.1</w:t>
      </w:r>
      <w:r>
        <w:rPr>
          <w:rFonts w:ascii="Calibri" w:hAnsi="Calibri"/>
          <w:i w:val="0"/>
          <w:color w:val="1E293B"/>
          <w:sz w:val="19"/>
        </w:rPr>
        <w:t xml:space="preserve"> — Industry-standard automated unit test suite verifying all module interfaces.</w:t>
      </w:r>
    </w:p>
    <w:p>
      <w:pPr>
        <w:pStyle w:val="ListBullet"/>
        <w:spacing w:before="0" w:after="50" w:line="269" w:lineRule="auto"/>
        <w:ind w:left="360"/>
      </w:pPr>
      <w:r>
        <w:rPr>
          <w:rFonts w:ascii="Calibri" w:hAnsi="Calibri"/>
          <w:b/>
          <w:color w:val="1E293B"/>
          <w:sz w:val="19"/>
        </w:rPr>
        <w:t>Automated Unit Tests Execution:</w:t>
      </w:r>
    </w:p>
    <w:p>
      <w:pPr>
        <w:pStyle w:val="ListBullet"/>
        <w:spacing w:before="0" w:after="50" w:line="269" w:lineRule="auto"/>
        <w:ind w:left="720"/>
      </w:pPr>
      <w:r>
        <w:rPr>
          <w:rFonts w:ascii="Calibri" w:hAnsi="Calibri"/>
          <w:b/>
          <w:color w:val="1E293B"/>
          <w:sz w:val="19"/>
        </w:rPr>
        <w:t>Execution Command:</w:t>
      </w:r>
      <w:r>
        <w:rPr>
          <w:rFonts w:ascii="Calibri" w:hAnsi="Calibri"/>
          <w:i w:val="0"/>
          <w:color w:val="1E293B"/>
          <w:sz w:val="19"/>
        </w:rPr>
        <w:t xml:space="preserve"> </w:t>
      </w:r>
      <w:r>
        <w:rPr>
          <w:rFonts w:ascii="Consolas" w:hAnsi="Consolas"/>
          <w:color w:val="2563EB"/>
          <w:sz w:val="18"/>
        </w:rPr>
        <w:t>pytest tests/test_modules.py -v</w:t>
      </w:r>
    </w:p>
    <w:p>
      <w:pPr>
        <w:pStyle w:val="ListBullet"/>
        <w:spacing w:before="0" w:after="50" w:line="269" w:lineRule="auto"/>
        <w:ind w:left="720"/>
      </w:pPr>
      <w:r>
        <w:rPr>
          <w:rFonts w:ascii="Calibri" w:hAnsi="Calibri"/>
          <w:b/>
          <w:color w:val="1E293B"/>
          <w:sz w:val="19"/>
        </w:rPr>
        <w:t>Status:</w:t>
      </w:r>
      <w:r>
        <w:rPr>
          <w:rFonts w:ascii="Calibri" w:hAnsi="Calibri"/>
          <w:i w:val="0"/>
          <w:color w:val="1E293B"/>
          <w:sz w:val="19"/>
        </w:rPr>
        <w:t xml:space="preserve"> </w:t>
      </w:r>
      <w:r>
        <w:rPr>
          <w:rFonts w:ascii="Calibri" w:hAnsi="Calibri"/>
          <w:b/>
          <w:color w:val="1E293B"/>
          <w:sz w:val="19"/>
        </w:rPr>
        <w:t>31 passed in 17.35 seconds (100% success rate)</w:t>
      </w:r>
    </w:p>
    <w:p>
      <w:pPr>
        <w:pStyle w:val="ListBullet"/>
        <w:spacing w:before="0" w:after="50" w:line="269" w:lineRule="auto"/>
        <w:ind w:left="1080"/>
      </w:pPr>
      <w:r>
        <w:rPr>
          <w:rFonts w:ascii="Consolas" w:hAnsi="Consolas"/>
          <w:color w:val="2563EB"/>
          <w:sz w:val="18"/>
        </w:rPr>
        <w:t>TestDatasetGeneration</w:t>
      </w:r>
      <w:r>
        <w:rPr>
          <w:rFonts w:ascii="Calibri" w:hAnsi="Calibri"/>
          <w:i w:val="0"/>
          <w:color w:val="1E293B"/>
          <w:sz w:val="19"/>
        </w:rPr>
        <w:t xml:space="preserve"> (5 tests): Tensor shapes, rare class prevalence (&lt; 8%), Dirichlet non-IID label skew.</w:t>
      </w:r>
    </w:p>
    <w:p>
      <w:pPr>
        <w:pStyle w:val="ListBullet"/>
        <w:spacing w:before="0" w:after="50" w:line="269" w:lineRule="auto"/>
        <w:ind w:left="1080"/>
      </w:pPr>
      <w:r>
        <w:rPr>
          <w:rFonts w:ascii="Consolas" w:hAnsi="Consolas"/>
          <w:color w:val="2563EB"/>
          <w:sz w:val="18"/>
        </w:rPr>
        <w:t>TestClassifierModels</w:t>
      </w:r>
      <w:r>
        <w:rPr>
          <w:rFonts w:ascii="Calibri" w:hAnsi="Calibri"/>
          <w:i w:val="0"/>
          <w:color w:val="1E293B"/>
          <w:sz w:val="19"/>
        </w:rPr>
        <w:t xml:space="preserve"> (7 tests): ConvNet &amp; ResNet feature shapes, projection heads, batch size = 1 inference stability.</w:t>
      </w:r>
    </w:p>
    <w:p>
      <w:pPr>
        <w:pStyle w:val="ListBullet"/>
        <w:spacing w:before="0" w:after="50" w:line="269" w:lineRule="auto"/>
        <w:ind w:left="1080"/>
      </w:pPr>
      <w:r>
        <w:rPr>
          <w:rFonts w:ascii="Consolas" w:hAnsi="Consolas"/>
          <w:color w:val="2563EB"/>
          <w:sz w:val="18"/>
        </w:rPr>
        <w:t>TestConditionalGenerator</w:t>
      </w:r>
      <w:r>
        <w:rPr>
          <w:rFonts w:ascii="Calibri" w:hAnsi="Calibri"/>
          <w:i w:val="0"/>
          <w:color w:val="1E293B"/>
          <w:sz w:val="19"/>
        </w:rPr>
        <w:t xml:space="preserve"> (3 tests): Noise conditioning, sampling validity, latent feature diversity.</w:t>
      </w:r>
    </w:p>
    <w:p>
      <w:pPr>
        <w:pStyle w:val="ListBullet"/>
        <w:spacing w:before="0" w:after="50" w:line="269" w:lineRule="auto"/>
        <w:ind w:left="1080"/>
      </w:pPr>
      <w:r>
        <w:rPr>
          <w:rFonts w:ascii="Consolas" w:hAnsi="Consolas"/>
          <w:color w:val="2563EB"/>
          <w:sz w:val="18"/>
        </w:rPr>
        <w:t>TestBaselineLosses</w:t>
      </w:r>
      <w:r>
        <w:rPr>
          <w:rFonts w:ascii="Calibri" w:hAnsi="Calibri"/>
          <w:i w:val="0"/>
          <w:color w:val="1E293B"/>
          <w:sz w:val="19"/>
        </w:rPr>
        <w:t xml:space="preserve"> (4 tests): DALA zero-class stability, contrastive loss edge case when no positive pairs exist.</w:t>
      </w:r>
    </w:p>
    <w:p>
      <w:pPr>
        <w:pStyle w:val="ListBullet"/>
        <w:spacing w:before="0" w:after="50" w:line="269" w:lineRule="auto"/>
        <w:ind w:left="1080"/>
      </w:pPr>
      <w:r>
        <w:rPr>
          <w:rFonts w:ascii="Consolas" w:hAnsi="Consolas"/>
          <w:color w:val="2563EB"/>
          <w:sz w:val="18"/>
        </w:rPr>
        <w:t>TestHospitalClient</w:t>
      </w:r>
      <w:r>
        <w:rPr>
          <w:rFonts w:ascii="Calibri" w:hAnsi="Calibri"/>
          <w:i w:val="0"/>
          <w:color w:val="1E293B"/>
          <w:sz w:val="19"/>
        </w:rPr>
        <w:t xml:space="preserve"> (4 tests): FedAvg, FedProx, FedIIC, and Generative Replay local weight updates.</w:t>
      </w:r>
    </w:p>
    <w:p>
      <w:pPr>
        <w:pStyle w:val="ListBullet"/>
        <w:spacing w:before="0" w:after="50" w:line="269" w:lineRule="auto"/>
        <w:ind w:left="1080"/>
      </w:pPr>
      <w:r>
        <w:rPr>
          <w:rFonts w:ascii="Consolas" w:hAnsi="Consolas"/>
          <w:color w:val="2563EB"/>
          <w:sz w:val="18"/>
        </w:rPr>
        <w:t>TestFederatedServer</w:t>
      </w:r>
      <w:r>
        <w:rPr>
          <w:rFonts w:ascii="Calibri" w:hAnsi="Calibri"/>
          <w:i w:val="0"/>
          <w:color w:val="1E293B"/>
          <w:sz w:val="19"/>
        </w:rPr>
        <w:t xml:space="preserve"> (6 tests): Round initialization, weighted parameter aggregation, global test evaluation.</w:t>
      </w:r>
    </w:p>
    <w:p>
      <w:pPr>
        <w:pStyle w:val="ListBullet"/>
        <w:spacing w:before="0" w:after="50" w:line="269" w:lineRule="auto"/>
        <w:ind w:left="1080"/>
      </w:pPr>
      <w:r>
        <w:rPr>
          <w:rFonts w:ascii="Consolas" w:hAnsi="Consolas"/>
          <w:color w:val="2563EB"/>
          <w:sz w:val="18"/>
        </w:rPr>
        <w:t>TestMetrics</w:t>
      </w:r>
      <w:r>
        <w:rPr>
          <w:rFonts w:ascii="Calibri" w:hAnsi="Calibri"/>
          <w:i w:val="0"/>
          <w:color w:val="1E293B"/>
          <w:sz w:val="19"/>
        </w:rPr>
        <w:t xml:space="preserve"> (2 tests): Verification of clinical metric calculations against manual ground truth.</w:t>
      </w:r>
    </w:p>
    <w:p>
      <w:pPr>
        <w:keepNext/>
        <w:spacing w:before="200" w:after="40"/>
      </w:pPr>
      <w:r>
        <w:rPr>
          <w:rFonts w:ascii="Calibri" w:hAnsi="Calibri"/>
          <w:b/>
          <w:color w:val="1A5FB4"/>
          <w:sz w:val="23"/>
        </w:rPr>
        <w:t>3. Deep Technical &amp; Implementation Explanation</w:t>
      </w:r>
    </w:p>
    <w:p>
      <w:pPr>
        <w:spacing w:before="0" w:after="70" w:line="276" w:lineRule="auto"/>
      </w:pPr>
      <w:r>
        <w:rPr>
          <w:rFonts w:ascii="Calibri" w:hAnsi="Calibri"/>
          <w:i w:val="0"/>
          <w:color w:val="1E293B"/>
          <w:sz w:val="20"/>
        </w:rPr>
        <w:t>Slide 8 directly aligns with PI 5.2.2 (Modern Engineering Tools) and PI 12.1.2 (Module Implementation &amp; Testing):</w:t>
      </w:r>
    </w:p>
    <w:p>
      <w:pPr>
        <w:pStyle w:val="ListBullet"/>
        <w:spacing w:before="0" w:after="50" w:line="269" w:lineRule="auto"/>
        <w:ind w:left="360"/>
      </w:pPr>
      <w:r>
        <w:rPr>
          <w:rFonts w:ascii="Calibri" w:hAnsi="Calibri"/>
          <w:b/>
          <w:color w:val="1E293B"/>
          <w:sz w:val="19"/>
        </w:rPr>
        <w:t>Automated Unit Testing Architecture (`tests/test_modules.py`):</w:t>
      </w:r>
      <w:r>
        <w:rPr>
          <w:rFonts w:ascii="Calibri" w:hAnsi="Calibri"/>
          <w:i w:val="0"/>
          <w:color w:val="1E293B"/>
          <w:sz w:val="19"/>
        </w:rPr>
        <w:t xml:space="preserve"> Rather than relying on informal script runs, the entire codebase is verified by an automated test suite executed via pytest. The 31 unit tests cover edge cases that commonly crash federated pipelines:</w:t>
      </w:r>
    </w:p>
    <w:p>
      <w:pPr>
        <w:pStyle w:val="ListBullet"/>
        <w:spacing w:before="0" w:after="50" w:line="269" w:lineRule="auto"/>
        <w:ind w:left="720"/>
      </w:pPr>
      <w:r>
        <w:rPr>
          <w:rFonts w:ascii="Calibri" w:hAnsi="Calibri"/>
          <w:i/>
          <w:color w:val="1E293B"/>
          <w:sz w:val="19"/>
        </w:rPr>
        <w:t>Batch Size = 1 Edge Case:</w:t>
      </w:r>
      <w:r>
        <w:rPr>
          <w:rFonts w:ascii="Calibri" w:hAnsi="Calibri"/>
          <w:i w:val="0"/>
          <w:color w:val="1E293B"/>
          <w:sz w:val="19"/>
        </w:rPr>
        <w:t xml:space="preserve"> Batch normalization layers fail when batch size is 1. We test adaptive normalization fallbacks.</w:t>
      </w:r>
    </w:p>
    <w:p>
      <w:pPr>
        <w:pStyle w:val="ListBullet"/>
        <w:spacing w:before="0" w:after="50" w:line="269" w:lineRule="auto"/>
        <w:ind w:left="720"/>
      </w:pPr>
      <w:r>
        <w:rPr>
          <w:rFonts w:ascii="Calibri" w:hAnsi="Calibri"/>
          <w:i/>
          <w:color w:val="1E293B"/>
          <w:sz w:val="19"/>
        </w:rPr>
        <w:t>Zero-Class Prior in DALA:</w:t>
      </w:r>
      <w:r>
        <w:rPr>
          <w:rFonts w:ascii="Calibri" w:hAnsi="Calibri"/>
          <w:i w:val="0"/>
          <w:color w:val="1E293B"/>
          <w:sz w:val="19"/>
        </w:rPr>
        <w:t xml:space="preserve"> Verifies that when class count N_c = 0, the loss handles log(0) without raising NaN or infinite loss exceptions.</w:t>
      </w:r>
    </w:p>
    <w:p>
      <w:pPr>
        <w:pStyle w:val="ListBullet"/>
        <w:spacing w:before="0" w:after="50" w:line="269" w:lineRule="auto"/>
        <w:ind w:left="720"/>
      </w:pPr>
      <w:r>
        <w:rPr>
          <w:rFonts w:ascii="Calibri" w:hAnsi="Calibri"/>
          <w:i/>
          <w:color w:val="1E293B"/>
          <w:sz w:val="19"/>
        </w:rPr>
        <w:t>Feature Vector Dimension Preservation:</w:t>
      </w:r>
      <w:r>
        <w:rPr>
          <w:rFonts w:ascii="Calibri" w:hAnsi="Calibri"/>
          <w:i w:val="0"/>
          <w:color w:val="1E293B"/>
          <w:sz w:val="19"/>
        </w:rPr>
        <w:t xml:space="preserve"> Verifies that ResNet-18 outputs exact 128-dimensional embeddings and generator produces compatible tensors.</w:t>
      </w:r>
    </w:p>
    <w:p>
      <w:pPr>
        <w:pStyle w:val="ListBullet"/>
        <w:spacing w:before="0" w:after="50" w:line="269" w:lineRule="auto"/>
        <w:ind w:left="360"/>
      </w:pPr>
      <w:r>
        <w:rPr>
          <w:rFonts w:ascii="Calibri" w:hAnsi="Calibri"/>
          <w:b/>
          <w:color w:val="1E293B"/>
          <w:sz w:val="19"/>
        </w:rPr>
        <w:t>UML Design and LaTeX Documentation:</w:t>
      </w:r>
      <w:r>
        <w:rPr>
          <w:rFonts w:ascii="Calibri" w:hAnsi="Calibri"/>
          <w:i w:val="0"/>
          <w:color w:val="1E293B"/>
          <w:sz w:val="19"/>
        </w:rPr>
        <w:t xml:space="preserve"> Four dedicated UML models were constructed (</w:t>
      </w:r>
      <w:r>
        <w:rPr>
          <w:rFonts w:ascii="Consolas" w:hAnsi="Consolas"/>
          <w:color w:val="2563EB"/>
          <w:sz w:val="18"/>
        </w:rPr>
        <w:t>01_component_diagram.drawio</w:t>
      </w:r>
      <w:r>
        <w:rPr>
          <w:rFonts w:ascii="Calibri" w:hAnsi="Calibri"/>
          <w:i w:val="0"/>
          <w:color w:val="1E293B"/>
          <w:sz w:val="19"/>
        </w:rPr>
        <w:t xml:space="preserve">, </w:t>
      </w:r>
      <w:r>
        <w:rPr>
          <w:rFonts w:ascii="Consolas" w:hAnsi="Consolas"/>
          <w:color w:val="2563EB"/>
          <w:sz w:val="18"/>
        </w:rPr>
        <w:t>02_class_diagram.drawio</w:t>
      </w:r>
      <w:r>
        <w:rPr>
          <w:rFonts w:ascii="Calibri" w:hAnsi="Calibri"/>
          <w:i w:val="0"/>
          <w:color w:val="1E293B"/>
          <w:sz w:val="19"/>
        </w:rPr>
        <w:t xml:space="preserve">, </w:t>
      </w:r>
      <w:r>
        <w:rPr>
          <w:rFonts w:ascii="Consolas" w:hAnsi="Consolas"/>
          <w:color w:val="2563EB"/>
          <w:sz w:val="18"/>
        </w:rPr>
        <w:t>03_sequence_diagram.drawio</w:t>
      </w:r>
      <w:r>
        <w:rPr>
          <w:rFonts w:ascii="Calibri" w:hAnsi="Calibri"/>
          <w:i w:val="0"/>
          <w:color w:val="1E293B"/>
          <w:sz w:val="19"/>
        </w:rPr>
        <w:t xml:space="preserve">, </w:t>
      </w:r>
      <w:r>
        <w:rPr>
          <w:rFonts w:ascii="Consolas" w:hAnsi="Consolas"/>
          <w:color w:val="2563EB"/>
          <w:sz w:val="18"/>
        </w:rPr>
        <w:t>04_usecase_diagram.drawio</w:t>
      </w:r>
      <w:r>
        <w:rPr>
          <w:rFonts w:ascii="Calibri" w:hAnsi="Calibri"/>
          <w:i w:val="0"/>
          <w:color w:val="1E293B"/>
          <w:sz w:val="19"/>
        </w:rPr>
        <w:t>). The technical report was prepared using LaTeX (</w:t>
      </w:r>
      <w:r>
        <w:rPr>
          <w:rFonts w:ascii="Consolas" w:hAnsi="Consolas"/>
          <w:color w:val="2563EB"/>
          <w:sz w:val="18"/>
        </w:rPr>
        <w:t>SDP_Review2_Report.tex</w:t>
      </w:r>
      <w:r>
        <w:rPr>
          <w:rFonts w:ascii="Calibri" w:hAnsi="Calibri"/>
          <w:i w:val="0"/>
          <w:color w:val="1E293B"/>
          <w:sz w:val="19"/>
        </w:rPr>
        <w:t>), incorporating formal algorithmic floating environments and mathematical notation.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40" w:lineRule="auto"/>
            </w:pPr>
            <w:r>
              <w:rPr>
                <w:rFonts w:ascii="Consolas" w:hAnsi="Consolas"/>
                <w:color w:val="1E293B"/>
                <w:sz w:val="17"/>
              </w:rPr>
              <w:t>[pytest 9.1 Test Runner]</w:t>
              <w:br/>
              <w:t xml:space="preserve">                 |</w:t>
              <w:br/>
              <w:t xml:space="preserve">                 +---&gt; TestDatasetGeneration (5/5 PASSED)</w:t>
              <w:br/>
              <w:t xml:space="preserve">                 +---&gt; TestClassifierModels  (7/7 PASSED)</w:t>
              <w:br/>
              <w:t xml:space="preserve">                 +---&gt; TestConditionalGen    (3/3 PASSED)</w:t>
              <w:br/>
              <w:t xml:space="preserve">                 +---&gt; TestBaselineLosses    (4/4 PASSED)</w:t>
              <w:br/>
              <w:t xml:space="preserve">                 +---&gt; TestHospitalClient    (4/4 PASSED)</w:t>
              <w:br/>
              <w:t xml:space="preserve">                 +---&gt; TestFederatedServer   (6/6 PASSED)</w:t>
              <w:br/>
              <w:t xml:space="preserve">                 +---&gt; TestMetrics           (2/2 PASSED)</w:t>
              <w:br/>
              <w:t xml:space="preserve">                 |</w:t>
              <w:br/>
              <w:t xml:space="preserve">                 v</w:t>
              <w:br/>
              <w:t xml:space="preserve">       =================== 31 passed in 17.35s (100%) ===================</w:t>
            </w:r>
          </w:p>
        </w:tc>
      </w:tr>
    </w:tbl>
    <w:p>
      <w:pPr>
        <w:spacing w:after="40"/>
      </w:pP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"On Slide 8, we demonstrate our adherence to Performance Indicator 5.2.2—the application of modern engineering tools and automated module testing."</w:t>
            </w:r>
          </w:p>
          <w:p>
            <w:pPr>
              <w:spacing w:before="40" w:after="80" w:line="276" w:lineRule="auto"/>
            </w:pPr>
            <w:r>
              <w:rPr>
                <w:rFonts w:ascii="Calibri" w:hAnsi="Calibri"/>
                <w:i/>
                <w:color w:val="1E293B"/>
                <w:sz w:val="19"/>
              </w:rPr>
              <w:t xml:space="preserve">"Our technical stack is built on PyTorch 2.14 and Torchvision for neural computation, Scikit-learn and NumPy for clinical metrics and Dirichlet non-IID sampling, Draw.io and PlantUML for our four system architecture UML models, and LaTeX for our comprehensive six-chapter technical report in </w:t>
            </w:r>
            <w:r>
              <w:rPr>
                <w:rFonts w:ascii="Consolas" w:hAnsi="Consolas"/>
                <w:color w:val="2563EB"/>
                <w:sz w:val="18"/>
              </w:rPr>
              <w:t>docs/report/</w:t>
            </w:r>
            <w:r>
              <w:rPr>
                <w:rFonts w:ascii="Calibri" w:hAnsi="Calibri"/>
                <w:i/>
                <w:color w:val="1E293B"/>
                <w:sz w:val="19"/>
              </w:rPr>
              <w:t>."</w:t>
            </w:r>
          </w:p>
          <w:p>
            <w:pPr>
              <w:spacing w:before="40" w:after="0" w:line="276" w:lineRule="auto"/>
            </w:pPr>
            <w:r>
              <w:rPr>
                <w:rFonts w:ascii="Calibri" w:hAnsi="Calibri"/>
                <w:i/>
                <w:color w:val="1E293B"/>
                <w:sz w:val="19"/>
              </w:rPr>
              <w:t xml:space="preserve">"Crucially, under PI 12.1.2, we have implemented and validated 100% of our core modules using an automated unit testing suite powered by pytest 9.1. When executing </w:t>
            </w:r>
            <w:r>
              <w:rPr>
                <w:rFonts w:ascii="Consolas" w:hAnsi="Consolas"/>
                <w:color w:val="2563EB"/>
                <w:sz w:val="18"/>
              </w:rPr>
              <w:t>pytest tests/test_modules.py -v</w:t>
            </w:r>
            <w:r>
              <w:rPr>
                <w:rFonts w:ascii="Calibri" w:hAnsi="Calibri"/>
                <w:i/>
                <w:color w:val="1E293B"/>
                <w:sz w:val="19"/>
              </w:rPr>
              <w:t>, all 31 unit tests pass in 17.35 seconds. This includes 5 tests for synthetic HRCT dataset generation, 7 tests for ConvNet and ResNet feature backbones, 3 tests for the conditional generator, 4 tests verifying baseline loss stability during zero-sample edge cases, 4 tests for hospital client updates, 6 tests for federated server aggregation, and 2 tests for clinical metric calculations. This confirms the robustness of our software architecture."</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did you write 31 unit tests instead of just running the full training simulation?</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Full federated training simulations take hours and mask subtle edge-case errors such as dimension mismatches, division-by-zero during empty batches, or silent gradient corruption. By implementing a 31-test suite with pytest, we verify unit-level contract compliance, mathematical boundary conditions (such as DALA behavior when N_c = 0), and tensor shape compatibility before launching multi-round training.</w:t>
            </w:r>
          </w:p>
          <w:p>
            <w:pPr>
              <w:spacing w:before="80" w:after="40" w:line="269" w:lineRule="auto"/>
            </w:pPr>
            <w:r>
              <w:rPr>
                <w:rFonts w:ascii="Calibri" w:hAnsi="Calibri"/>
                <w:b/>
                <w:color w:val="92400E"/>
                <w:sz w:val="19"/>
              </w:rPr>
              <w:t xml:space="preserve">Q2: </w:t>
            </w:r>
            <w:r>
              <w:rPr>
                <w:rFonts w:ascii="Calibri" w:hAnsi="Calibri"/>
                <w:i w:val="0"/>
                <w:color w:val="92400E"/>
                <w:sz w:val="19"/>
              </w:rPr>
              <w:t>How do you test that privacy is preserved in your code?</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 xml:space="preserve">In </w:t>
            </w:r>
            <w:r>
              <w:rPr>
                <w:rFonts w:ascii="Consolas" w:hAnsi="Consolas"/>
                <w:color w:val="2563EB"/>
                <w:sz w:val="18"/>
              </w:rPr>
              <w:t>TestHospitalClient</w:t>
            </w:r>
            <w:r>
              <w:rPr>
                <w:rFonts w:ascii="Calibri" w:hAnsi="Calibri"/>
                <w:i w:val="0"/>
                <w:color w:val="1E293B"/>
                <w:sz w:val="19"/>
              </w:rPr>
              <w:t xml:space="preserve"> and </w:t>
            </w:r>
            <w:r>
              <w:rPr>
                <w:rFonts w:ascii="Consolas" w:hAnsi="Consolas"/>
                <w:color w:val="2563EB"/>
                <w:sz w:val="18"/>
              </w:rPr>
              <w:t>TestFederatedServer</w:t>
            </w:r>
            <w:r>
              <w:rPr>
                <w:rFonts w:ascii="Calibri" w:hAnsi="Calibri"/>
                <w:i w:val="0"/>
                <w:color w:val="1E293B"/>
                <w:sz w:val="19"/>
              </w:rPr>
              <w:t>, our test assertions explicitly verify that the dictionaries uploaded to the server object contain only weight tensors (state_dict) and scalar metric summaries. Any assertion detecting image tensor keys immediately fails the test.</w:t>
            </w:r>
          </w:p>
        </w:tc>
      </w:tr>
    </w:tbl>
    <w:p>
      <w:pPr>
        <w:spacing w:after="40"/>
      </w:pPr>
    </w:p>
    <w:p>
      <w:pPr>
        <w:keepNext/>
        <w:spacing w:before="280" w:after="60"/>
      </w:pPr>
      <w:r>
        <w:rPr>
          <w:rFonts w:ascii="Calibri" w:hAnsi="Calibri"/>
          <w:b/>
          <w:color w:val="0A2540"/>
          <w:sz w:val="30"/>
        </w:rPr>
        <w:t>Slide 9: Baseline Paper Results &amp; Scientific Gap Analysis</w:t>
      </w:r>
      <w:r>
        <w:rPr>
          <w:rFonts w:ascii="Calibri" w:hAnsi="Calibri"/>
          <w:b/>
          <w:color w:val="1A5FB4"/>
          <w:sz w:val="21"/>
        </w:rPr>
        <w:t xml:space="preserve">  [PI 3.1.3 / PI 12.1.2]</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Baseline Paper Results &amp; Scientific Gap Analysis</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PUBLISHED SOTA (MICCAI '23) PERFORMANCE &amp; THE '100% SCORE' EXPLANATION</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3.1.3</w:t>
      </w:r>
      <w:r>
        <w:rPr>
          <w:rFonts w:ascii="Calibri" w:hAnsi="Calibri"/>
          <w:i w:val="0"/>
          <w:color w:val="1E293B"/>
          <w:sz w:val="19"/>
        </w:rPr>
        <w:t xml:space="preserve"> (Literature review and baseline identification) &amp; </w:t>
      </w:r>
      <w:r>
        <w:rPr>
          <w:rFonts w:ascii="Calibri" w:hAnsi="Calibri"/>
          <w:b/>
          <w:color w:val="1E293B"/>
          <w:sz w:val="19"/>
        </w:rPr>
        <w:t>PI 12.1.2</w:t>
      </w:r>
      <w:r>
        <w:rPr>
          <w:rFonts w:ascii="Calibri" w:hAnsi="Calibri"/>
          <w:i w:val="0"/>
          <w:color w:val="1E293B"/>
          <w:sz w:val="19"/>
        </w:rPr>
        <w:t xml:space="preserve"> (Critical analysis of published results and identifying scope for improvement).</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Two-component layout. Top Half: Official benchmark table of published peer-reviewed results from the FedIIC paper (MICCAI 2023). Bottom Half: Split analysis cards: (1) 'Why the 100% Score Was an Artifact' and (2) 'Why FedIIC Leaves a Real Research Gap'.</w:t>
      </w:r>
    </w:p>
    <w:p>
      <w:pPr>
        <w:keepNext/>
        <w:spacing w:before="200" w:after="40"/>
      </w:pPr>
      <w:r>
        <w:rPr>
          <w:rFonts w:ascii="Calibri" w:hAnsi="Calibri"/>
          <w:b/>
          <w:color w:val="1A5FB4"/>
          <w:sz w:val="23"/>
        </w:rPr>
        <w:t>2. Breakdown of On-Slide Content</w:t>
      </w:r>
    </w:p>
    <w:p>
      <w:pPr>
        <w:spacing w:before="0" w:after="70" w:line="276" w:lineRule="auto"/>
      </w:pPr>
      <w:r>
        <w:rPr>
          <w:rFonts w:ascii="Calibri" w:hAnsi="Calibri"/>
          <w:b/>
          <w:color w:val="1E293B"/>
          <w:sz w:val="20"/>
        </w:rPr>
        <w:t>Published SOTA Performance Table (from FedIIC, MICCAI 2023):</w:t>
      </w:r>
    </w:p>
    <w:tbl>
      <w:tblPr>
        <w:tblW w:type="auto" w:w="0"/>
        <w:jc w:val="center"/>
        <w:tblLayout w:type="fixed"/>
        <w:tblLook w:firstColumn="1" w:firstRow="1" w:lastColumn="0" w:lastRow="0" w:noHBand="0" w:noVBand="1" w:val="04A0"/>
        <w:tblBorders>
          <w:top w:val="single" w:sz="8" w:space="0" w:color="CBD5E1"/>
          <w:bottom w:val="single" w:sz="8" w:space="0" w:color="CBD5E1"/>
          <w:insideH w:val="single" w:sz="4" w:space="0" w:color="CBD5E1"/>
          <w:left w:val="none"/>
          <w:right w:val="none"/>
          <w:insideV w:val="none"/>
        </w:tblBorders>
      </w:tblPr>
      <w:tblGrid>
        <w:gridCol w:w="1560"/>
        <w:gridCol w:w="1560"/>
        <w:gridCol w:w="1560"/>
        <w:gridCol w:w="1560"/>
        <w:gridCol w:w="1560"/>
        <w:gridCol w:w="1560"/>
      </w:tblGrid>
      <w:tr>
        <w:trPr>
          <w:tblHeader/>
          <w:cantSplit/>
        </w:trPr>
        <w:tc>
          <w:tcPr>
            <w:tcW w:type="dxa" w:w="2592"/>
            <w:shd w:fill="1A5FB4"/>
            <w:tcMar>
              <w:top w:w="100" w:type="dxa"/>
              <w:bottom w:w="100" w:type="dxa"/>
              <w:left w:w="120" w:type="dxa"/>
              <w:right w:w="120" w:type="dxa"/>
            </w:tcMar>
            <w:vAlign w:val="center"/>
          </w:tcPr>
          <w:p>
            <w:pPr>
              <w:spacing w:before="0" w:after="0"/>
              <w:jc w:val="left"/>
            </w:pPr>
            <w:r>
              <w:rPr>
                <w:rFonts w:ascii="Calibri" w:hAnsi="Calibri"/>
                <w:b/>
                <w:color w:val="FFFFFF"/>
                <w:sz w:val="18"/>
              </w:rPr>
              <w:t>Medical Benchmark Dataset</w:t>
            </w:r>
          </w:p>
        </w:tc>
        <w:tc>
          <w:tcPr>
            <w:tcW w:type="dxa" w:w="1872"/>
            <w:shd w:fill="1A5FB4"/>
            <w:tcMar>
              <w:top w:w="100" w:type="dxa"/>
              <w:bottom w:w="100" w:type="dxa"/>
              <w:left w:w="120" w:type="dxa"/>
              <w:right w:w="120" w:type="dxa"/>
            </w:tcMar>
            <w:vAlign w:val="center"/>
          </w:tcPr>
          <w:p>
            <w:pPr>
              <w:spacing w:before="0" w:after="0"/>
              <w:jc w:val="left"/>
            </w:pPr>
            <w:r>
              <w:rPr>
                <w:rFonts w:ascii="Calibri" w:hAnsi="Calibri"/>
                <w:b/>
                <w:color w:val="FFFFFF"/>
                <w:sz w:val="18"/>
              </w:rPr>
              <w:t>Evaluation Metric</w:t>
            </w:r>
          </w:p>
        </w:tc>
        <w:tc>
          <w:tcPr>
            <w:tcW w:type="dxa" w:w="1296"/>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FedAvg (Vanilla '17)</w:t>
            </w:r>
          </w:p>
        </w:tc>
        <w:tc>
          <w:tcPr>
            <w:tcW w:type="dxa" w:w="1296"/>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FedProx (Li '20)</w:t>
            </w:r>
          </w:p>
        </w:tc>
        <w:tc>
          <w:tcPr>
            <w:tcW w:type="dxa" w:w="1584"/>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FedIIC (MICCAI '23 SOTA)</w:t>
            </w:r>
          </w:p>
        </w:tc>
        <w:tc>
          <w:tcPr>
            <w:tcW w:type="dxa" w:w="1584"/>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Published Error Gap</w:t>
            </w:r>
          </w:p>
        </w:tc>
      </w:tr>
      <w:tr>
        <w:trPr>
          <w:cantSplit/>
        </w:trPr>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ISIC 2019</w:t>
            </w:r>
            <w:r>
              <w:rPr>
                <w:rFonts w:ascii="Calibri" w:hAnsi="Calibri"/>
                <w:i w:val="0"/>
                <w:color w:val="1E293B"/>
                <w:sz w:val="18"/>
              </w:rPr>
              <w:t xml:space="preserve"> (Multi-Site Dermoscopy)</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Balanced Acc (BACC)</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53.2%</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54.1%</w:t>
            </w:r>
          </w:p>
        </w:tc>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65.8%</w:t>
            </w:r>
          </w:p>
        </w:tc>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34.2% Error Gap</w:t>
            </w:r>
          </w:p>
        </w:tc>
      </w:tr>
      <w:tr>
        <w:trPr>
          <w:cantSplit/>
        </w:trPr>
        <w:tc>
          <w:tcPr>
            <w:tcW w:type="dxa" w:w="2592"/>
            <w:shd w:fill="F8FAFC"/>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CIFAR-100-LT</w:t>
            </w:r>
            <w:r>
              <w:rPr>
                <w:rFonts w:ascii="Calibri" w:hAnsi="Calibri"/>
                <w:i w:val="0"/>
                <w:color w:val="1E293B"/>
                <w:sz w:val="18"/>
              </w:rPr>
              <w:t xml:space="preserve"> (Severe Class Skew)</w:t>
            </w:r>
          </w:p>
        </w:tc>
        <w:tc>
          <w:tcPr>
            <w:tcW w:type="dxa" w:w="187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Top-1 Accuracy</w:t>
            </w:r>
          </w:p>
        </w:tc>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38.4%</w:t>
            </w:r>
          </w:p>
        </w:tc>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39.1%</w:t>
            </w:r>
          </w:p>
        </w:tc>
        <w:tc>
          <w:tcPr>
            <w:tcW w:type="dxa" w:w="1584"/>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44.9%</w:t>
            </w:r>
          </w:p>
        </w:tc>
        <w:tc>
          <w:tcPr>
            <w:tcW w:type="dxa" w:w="1584"/>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55.1% Error Gap</w:t>
            </w:r>
          </w:p>
        </w:tc>
      </w:tr>
      <w:tr>
        <w:trPr>
          <w:cantSplit/>
        </w:trPr>
        <w:tc>
          <w:tcPr>
            <w:tcW w:type="dxa" w:w="2592"/>
            <w:shd w:fill="FFFFFF"/>
            <w:tcMar>
              <w:top w:w="80" w:type="dxa"/>
              <w:bottom w:w="80" w:type="dxa"/>
              <w:left w:w="120" w:type="dxa"/>
              <w:right w:w="120" w:type="dxa"/>
            </w:tcMar>
            <w:vAlign w:val="center"/>
          </w:tcPr>
          <w:p>
            <w:pPr>
              <w:spacing w:before="0" w:after="0" w:line="264" w:lineRule="auto"/>
              <w:jc w:val="left"/>
            </w:pPr>
            <w:r>
              <w:rPr>
                <w:rFonts w:ascii="Calibri" w:hAnsi="Calibri"/>
                <w:b/>
                <w:color w:val="1E293B"/>
                <w:sz w:val="18"/>
              </w:rPr>
              <w:t>COVID-19 Chest X-Ray</w:t>
            </w:r>
            <w:r>
              <w:rPr>
                <w:rFonts w:ascii="Calibri" w:hAnsi="Calibri"/>
                <w:i w:val="0"/>
                <w:color w:val="1E293B"/>
                <w:sz w:val="18"/>
              </w:rPr>
              <w:t xml:space="preserve"> (Multi-Center)</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Macro-F1 Score</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68.1%</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i w:val="0"/>
                <w:color w:val="1E293B"/>
                <w:sz w:val="18"/>
              </w:rPr>
              <w:t>69.4%</w:t>
            </w:r>
          </w:p>
        </w:tc>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76.2%</w:t>
            </w:r>
          </w:p>
        </w:tc>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23.8% Error Gap</w:t>
            </w:r>
          </w:p>
        </w:tc>
      </w:tr>
    </w:tbl>
    <w:p>
      <w:pPr>
        <w:spacing w:after="80"/>
      </w:pPr>
    </w:p>
    <w:p>
      <w:pPr>
        <w:pStyle w:val="ListBullet"/>
        <w:spacing w:before="0" w:after="50" w:line="269" w:lineRule="auto"/>
        <w:ind w:left="360"/>
      </w:pPr>
      <w:r>
        <w:rPr>
          <w:rFonts w:ascii="Calibri" w:hAnsi="Calibri"/>
          <w:b/>
          <w:color w:val="1E293B"/>
          <w:sz w:val="19"/>
        </w:rPr>
        <w:t>Why the '100% Score' Was an Artifact:</w:t>
      </w:r>
    </w:p>
    <w:p>
      <w:pPr>
        <w:pStyle w:val="ListBullet"/>
        <w:spacing w:before="0" w:after="50" w:line="269" w:lineRule="auto"/>
        <w:ind w:left="720"/>
      </w:pPr>
      <w:r>
        <w:rPr>
          <w:rFonts w:ascii="Calibri" w:hAnsi="Calibri"/>
          <w:b/>
          <w:color w:val="1E293B"/>
          <w:sz w:val="19"/>
        </w:rPr>
        <w:t>Artificial Brightness Separation:</w:t>
      </w:r>
      <w:r>
        <w:rPr>
          <w:rFonts w:ascii="Calibri" w:hAnsi="Calibri"/>
          <w:i w:val="0"/>
          <w:color w:val="1E293B"/>
          <w:sz w:val="19"/>
        </w:rPr>
        <w:t xml:space="preserve"> In earlier preliminary toy simulations, classes were synthesized with distinct mean brightness levels (Normal = 0.20, COPD = 0.25, IPF = 0.35).</w:t>
      </w:r>
    </w:p>
    <w:p>
      <w:pPr>
        <w:pStyle w:val="ListBullet"/>
        <w:spacing w:before="0" w:after="50" w:line="269" w:lineRule="auto"/>
        <w:ind w:left="720"/>
      </w:pPr>
      <w:r>
        <w:rPr>
          <w:rFonts w:ascii="Calibri" w:hAnsi="Calibri"/>
          <w:b/>
          <w:color w:val="1E293B"/>
          <w:sz w:val="19"/>
        </w:rPr>
        <w:t>Trivial Linearity Masked Imbalance:</w:t>
      </w:r>
      <w:r>
        <w:rPr>
          <w:rFonts w:ascii="Calibri" w:hAnsi="Calibri"/>
          <w:i w:val="0"/>
          <w:color w:val="1E293B"/>
          <w:sz w:val="19"/>
        </w:rPr>
        <w:t xml:space="preserve"> Because synthetic images were separable by global pixel mean alone, ALL methods (even naive FedAvg from 2017) reached 100%, completely masking class imbalance and client drift.</w:t>
      </w:r>
    </w:p>
    <w:p>
      <w:pPr>
        <w:pStyle w:val="ListBullet"/>
        <w:spacing w:before="0" w:after="50" w:line="269" w:lineRule="auto"/>
        <w:ind w:left="720"/>
      </w:pPr>
      <w:r>
        <w:rPr>
          <w:rFonts w:ascii="Calibri" w:hAnsi="Calibri"/>
          <w:b/>
          <w:color w:val="1E293B"/>
          <w:sz w:val="19"/>
        </w:rPr>
        <w:t>Clinical Reality of High-Resolution CT:</w:t>
      </w:r>
      <w:r>
        <w:rPr>
          <w:rFonts w:ascii="Calibri" w:hAnsi="Calibri"/>
          <w:i w:val="0"/>
          <w:color w:val="1E293B"/>
          <w:sz w:val="19"/>
        </w:rPr>
        <w:t xml:space="preserve"> In real clinical practice, IPF and COPD share identical baseline parenchymal lung attenuation (μ = 0.25, σ = 0.04). Differentiating them requires learning complex spatial textures (subpleural reticulation and honeycombing), not trivial intensity.</w:t>
      </w:r>
    </w:p>
    <w:p>
      <w:pPr>
        <w:pStyle w:val="ListBullet"/>
        <w:spacing w:before="0" w:after="50" w:line="269" w:lineRule="auto"/>
        <w:ind w:left="360"/>
      </w:pPr>
      <w:r>
        <w:rPr>
          <w:rFonts w:ascii="Calibri" w:hAnsi="Calibri"/>
          <w:b/>
          <w:color w:val="1E293B"/>
          <w:sz w:val="19"/>
        </w:rPr>
        <w:t>Why FedIIC Leaves a Real Research Gap:</w:t>
      </w:r>
    </w:p>
    <w:p>
      <w:pPr>
        <w:pStyle w:val="ListBullet"/>
        <w:spacing w:before="0" w:after="50" w:line="269" w:lineRule="auto"/>
        <w:ind w:left="720"/>
      </w:pPr>
      <w:r>
        <w:rPr>
          <w:rFonts w:ascii="Calibri" w:hAnsi="Calibri"/>
          <w:b/>
          <w:color w:val="1E293B"/>
          <w:sz w:val="19"/>
        </w:rPr>
        <w:t>Published Error Gap (24% to 55%):</w:t>
      </w:r>
      <w:r>
        <w:rPr>
          <w:rFonts w:ascii="Calibri" w:hAnsi="Calibri"/>
          <w:i w:val="0"/>
          <w:color w:val="1E293B"/>
          <w:sz w:val="19"/>
        </w:rPr>
        <w:t xml:space="preserve"> Official peer-reviewed MICCAI 2023 results demonstrate that FedIIC does NOT achieve 100%. It plateaus between 44.9% and 76.2%, leaving an error gap of 23.8% to 55.1%.</w:t>
      </w:r>
    </w:p>
    <w:p>
      <w:pPr>
        <w:pStyle w:val="ListBullet"/>
        <w:spacing w:before="0" w:after="50" w:line="269" w:lineRule="auto"/>
        <w:ind w:left="720"/>
      </w:pPr>
      <w:r>
        <w:rPr>
          <w:rFonts w:ascii="Calibri" w:hAnsi="Calibri"/>
          <w:b/>
          <w:color w:val="1E293B"/>
          <w:sz w:val="19"/>
        </w:rPr>
        <w:t>Long-Tailed vs. True Rare Disease:</w:t>
      </w:r>
      <w:r>
        <w:rPr>
          <w:rFonts w:ascii="Calibri" w:hAnsi="Calibri"/>
          <w:i w:val="0"/>
          <w:color w:val="1E293B"/>
          <w:sz w:val="19"/>
        </w:rPr>
        <w:t xml:space="preserve"> FedIIC was designed for long-tailed distributions where minority classes still possess dozens of samples per client.</w:t>
      </w:r>
    </w:p>
    <w:p>
      <w:pPr>
        <w:pStyle w:val="ListBullet"/>
        <w:spacing w:before="0" w:after="50" w:line="269" w:lineRule="auto"/>
        <w:ind w:left="720"/>
      </w:pPr>
      <w:r>
        <w:rPr>
          <w:rFonts w:ascii="Calibri" w:hAnsi="Calibri"/>
          <w:b/>
          <w:color w:val="1E293B"/>
          <w:sz w:val="19"/>
        </w:rPr>
        <w:t>Zero-Patient Collapse in Rare Diseases:</w:t>
      </w:r>
      <w:r>
        <w:rPr>
          <w:rFonts w:ascii="Calibri" w:hAnsi="Calibri"/>
          <w:i w:val="0"/>
          <w:color w:val="1E293B"/>
          <w:sz w:val="19"/>
        </w:rPr>
        <w:t xml:space="preserve"> In true rare diseases (prevalence &lt; 8%), community clinics have 0 or 1 scan: IntraSCL has 0 positive pairs (|P(i)| = 0), and DALA prior evaluates to log(0) → -∞.</w:t>
      </w:r>
    </w:p>
    <w:p>
      <w:pPr>
        <w:pStyle w:val="ListBullet"/>
        <w:spacing w:before="0" w:after="50" w:line="269" w:lineRule="auto"/>
        <w:ind w:left="720"/>
      </w:pPr>
      <w:r>
        <w:rPr>
          <w:rFonts w:ascii="Calibri" w:hAnsi="Calibri"/>
          <w:b/>
          <w:color w:val="1E293B"/>
          <w:sz w:val="19"/>
        </w:rPr>
        <w:t>Scope for Improvement:</w:t>
      </w:r>
      <w:r>
        <w:rPr>
          <w:rFonts w:ascii="Calibri" w:hAnsi="Calibri"/>
          <w:i w:val="0"/>
          <w:color w:val="1E293B"/>
          <w:sz w:val="19"/>
        </w:rPr>
        <w:t xml:space="preserve"> Resolving this failure in data-scarce community clinics constitutes our project's core contribution.</w:t>
      </w:r>
    </w:p>
    <w:p>
      <w:pPr>
        <w:keepNext/>
        <w:spacing w:before="200" w:after="40"/>
      </w:pPr>
      <w:r>
        <w:rPr>
          <w:rFonts w:ascii="Calibri" w:hAnsi="Calibri"/>
          <w:b/>
          <w:color w:val="1A5FB4"/>
          <w:sz w:val="23"/>
        </w:rPr>
        <w:t>3. Deep Technical &amp; Scientific Explanation</w:t>
      </w:r>
    </w:p>
    <w:p>
      <w:pPr>
        <w:spacing w:before="0" w:after="70" w:line="276" w:lineRule="auto"/>
      </w:pPr>
      <w:r>
        <w:rPr>
          <w:rFonts w:ascii="Calibri" w:hAnsi="Calibri"/>
          <w:i w:val="0"/>
          <w:color w:val="1E293B"/>
          <w:sz w:val="20"/>
        </w:rPr>
        <w:t xml:space="preserve">Slide 9 resolves the central research question: </w:t>
      </w:r>
      <w:r>
        <w:rPr>
          <w:rFonts w:ascii="Calibri" w:hAnsi="Calibri"/>
          <w:i/>
          <w:color w:val="1E293B"/>
          <w:sz w:val="20"/>
        </w:rPr>
        <w:t>'If a baseline achieved 100%, how can you improve upon it?'</w:t>
      </w:r>
    </w:p>
    <w:p>
      <w:pPr>
        <w:pStyle w:val="ListBullet"/>
        <w:spacing w:before="0" w:after="50" w:line="269" w:lineRule="auto"/>
        <w:ind w:left="360"/>
      </w:pPr>
      <w:r>
        <w:rPr>
          <w:rFonts w:ascii="Calibri" w:hAnsi="Calibri"/>
          <w:b/>
          <w:color w:val="1E293B"/>
          <w:sz w:val="19"/>
        </w:rPr>
        <w:t>The Toy Simulation Artifact:</w:t>
      </w:r>
      <w:r>
        <w:rPr>
          <w:rFonts w:ascii="Calibri" w:hAnsi="Calibri"/>
          <w:i w:val="0"/>
          <w:color w:val="1E293B"/>
          <w:sz w:val="19"/>
        </w:rPr>
        <w:t xml:space="preserve"> In early development, synthetic medical images were generated using simplified intensity distributions:</w:t>
      </w:r>
    </w:p>
    <w:p>
      <w:pPr>
        <w:spacing w:before="80" w:after="80"/>
        <w:jc w:val="center"/>
      </w:pPr>
      <w:r>
        <w:rPr>
          <w:rFonts w:ascii="Cambria Math" w:hAnsi="Cambria Math"/>
          <w:i/>
          <w:color w:val="1A5FB4"/>
          <w:sz w:val="21"/>
        </w:rPr>
        <w:t>X_Normal ~ N(0.20, σ^2),    X_COPD ~ N(0.25, σ^2),    X_IPF ~ N(0.35, σ^2)</w:t>
      </w:r>
    </w:p>
    <w:p>
      <w:pPr>
        <w:spacing w:before="0" w:after="70" w:line="276" w:lineRule="auto"/>
      </w:pPr>
      <w:r>
        <w:rPr>
          <w:rFonts w:ascii="Calibri" w:hAnsi="Calibri"/>
          <w:i w:val="0"/>
          <w:color w:val="1E293B"/>
          <w:sz w:val="20"/>
        </w:rPr>
        <w:t>A single linear perceptron computing average image intensity (1/WH) ∑ X_ij can separate these classes with 100% accuracy without deep learning. This created a false illusion of perfection.</w:t>
      </w:r>
    </w:p>
    <w:p>
      <w:pPr>
        <w:pStyle w:val="ListBullet"/>
        <w:spacing w:before="0" w:after="50" w:line="269" w:lineRule="auto"/>
        <w:ind w:left="360"/>
      </w:pPr>
      <w:r>
        <w:rPr>
          <w:rFonts w:ascii="Calibri" w:hAnsi="Calibri"/>
          <w:b/>
          <w:color w:val="1E293B"/>
          <w:sz w:val="19"/>
        </w:rPr>
        <w:t>Clinical CT Physics &amp; Hounsfield Units:</w:t>
      </w:r>
      <w:r>
        <w:rPr>
          <w:rFonts w:ascii="Calibri" w:hAnsi="Calibri"/>
          <w:i w:val="0"/>
          <w:color w:val="1E293B"/>
          <w:sz w:val="19"/>
        </w:rPr>
        <w:t xml:space="preserve"> In thoracic CT, lung parenchyma attenuation ranges from -850 to -700 Hounsfield Units (HU). Both early IPF and COPD present with overlapping ground-glass attenuations (-600 to -400 HU). What distinguishes IPF is spatial structural morphology—specifically peripheral subpleural reticular networks and cystic honeycombing.</w:t>
      </w:r>
    </w:p>
    <w:p>
      <w:pPr>
        <w:pStyle w:val="ListBullet"/>
        <w:spacing w:before="0" w:after="50" w:line="269" w:lineRule="auto"/>
        <w:ind w:left="360"/>
      </w:pPr>
      <w:r>
        <w:rPr>
          <w:rFonts w:ascii="Calibri" w:hAnsi="Calibri"/>
          <w:b/>
          <w:color w:val="1E293B"/>
          <w:sz w:val="19"/>
        </w:rPr>
        <w:t>Published Peer-Reviewed Evidence:</w:t>
      </w:r>
      <w:r>
        <w:rPr>
          <w:rFonts w:ascii="Calibri" w:hAnsi="Calibri"/>
          <w:i w:val="0"/>
          <w:color w:val="1E293B"/>
          <w:sz w:val="19"/>
        </w:rPr>
        <w:t xml:space="preserve"> The published results from MICCAI 2023 conclusively prove that FedIIC is far from solved: On ISIC 2019 dermoscopy, FedIIC achieves 65.8% BACC (34.2% error gap); on CIFAR-100-LT, it achieves 44.9% accuracy (55.1% error gap); and on multi-center COVID-19 Chest X-Rays, it reaches 76.2% Macro-F1 (23.8% error rate).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40" w:lineRule="auto"/>
            </w:pPr>
            <w:r>
              <w:rPr>
                <w:rFonts w:ascii="Consolas" w:hAnsi="Consolas"/>
                <w:color w:val="1E293B"/>
                <w:sz w:val="17"/>
              </w:rPr>
              <w:t>+-------------------------------------------------------------+</w:t>
              <w:br/>
              <w:t xml:space="preserve">       | PUBLISHED MICCAI '23 ERROR GAP IN STATE-OF-THE-ART (FedIIC) |</w:t>
              <w:br/>
              <w:t xml:space="preserve">       +-------------------------------------------------------------+</w:t>
              <w:br/>
              <w:t xml:space="preserve">       ISIC 2019 Dermoscopy:     [======== 65.8% ========]  34.2% ERROR GAP</w:t>
              <w:br/>
              <w:t xml:space="preserve">       CIFAR-100-LT Imbalance:   [===== 44.9% =====]        55.1% ERROR GAP</w:t>
              <w:br/>
              <w:t xml:space="preserve">       COVID-19 Chest X-Ray:     [========== 76.2% ==========] 23.8% ERROR GAP</w:t>
              <w:br/>
              <w:t xml:space="preserve">       +-------------------------------------------------------------+</w:t>
            </w:r>
          </w:p>
        </w:tc>
      </w:tr>
    </w:tbl>
    <w:p>
      <w:pPr>
        <w:spacing w:after="40"/>
      </w:pP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"Turning to Slide 9, we address a fundamental question that arose during our early testing: 'If preliminary simulation tests achieved 100%, how can our project demonstrate improvement?'"</w:t>
            </w:r>
          </w:p>
          <w:p>
            <w:pPr>
              <w:spacing w:before="40" w:after="80" w:line="276" w:lineRule="auto"/>
            </w:pPr>
            <w:r>
              <w:rPr>
                <w:rFonts w:ascii="Calibri" w:hAnsi="Calibri"/>
                <w:i/>
                <w:color w:val="1E293B"/>
                <w:sz w:val="19"/>
              </w:rPr>
              <w:t>"First, we conducted a rigorous diagnostic investigation and uncovered why that 100% score occurred: it was an artifact of artificial brightness separation. In simple toy simulations, classes were initialized with distinct mean pixel intensities—Normal at 0.20, COPD at 0.25, and IPF at 0.35. Because the images were linearly separable by overall brightness alone, even primitive FedAvg from 2017 achieved 100%, masking both class imbalance and federated client drift."</w:t>
            </w:r>
          </w:p>
          <w:p>
            <w:pPr>
              <w:spacing w:before="40" w:after="80" w:line="276" w:lineRule="auto"/>
            </w:pPr>
            <w:r>
              <w:rPr>
                <w:rFonts w:ascii="Calibri" w:hAnsi="Calibri"/>
                <w:i/>
                <w:color w:val="1E293B"/>
                <w:sz w:val="19"/>
              </w:rPr>
              <w:t>"In real clinical High-Resolution CT, this is completely invalid. IPF and COPD share identical baseline lung attenuation. Diagnosis requires detecting complex textural hallmarks like subpleural honeycombing, not brightness."</w:t>
            </w:r>
          </w:p>
          <w:p>
            <w:pPr>
              <w:spacing w:before="40" w:after="80" w:line="276" w:lineRule="auto"/>
            </w:pPr>
            <w:r>
              <w:rPr>
                <w:rFonts w:ascii="Calibri" w:hAnsi="Calibri"/>
                <w:i/>
                <w:color w:val="1E293B"/>
                <w:sz w:val="19"/>
              </w:rPr>
              <w:t>"Second, as shown in the benchmark table, we examined the official published results from the FedIIC paper at MICCAI 2023. On real medical benchmarks like ISIC 2019, FedIIC achieves only 65.8% Balanced Accuracy, leaving a 34.2% error gap. On CIFAR-100-LT, it plateaus at 44.9% accuracy—a 55.1% error gap. And on multi-center COVID-19 chest imaging, it achieves 76.2% Macro-F1, leaving a 23.8% error gap."</w:t>
            </w:r>
          </w:p>
          <w:p>
            <w:pPr>
              <w:spacing w:before="40" w:after="0" w:line="276" w:lineRule="auto"/>
            </w:pPr>
            <w:r>
              <w:rPr>
                <w:rFonts w:ascii="Calibri" w:hAnsi="Calibri"/>
                <w:i/>
                <w:color w:val="1E293B"/>
                <w:sz w:val="19"/>
              </w:rPr>
              <w:t>"FedIIC was formulated for long-tailed conditions where minority classes still have dozens of samples. When applied to true rare diseases like IPF where clinics have zero or one patient, FedIIC collapses. Overcoming this published 24% to 55% error gap through federated generative replay is our project's direct contribution."</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Why didn't you show your own system's experimental results in this slide?</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In accordance with the Review 2 rubric (which evaluates System Requirements PI 3.1.3, System Architecture PI 3.3.1, Detailed Design PI 3.3.3, and Tools/Module Testing PI 5.2.2/12.1.2), our focus in this review is establishing the verified baseline and proven scientific gap. Full comparative benchmarking of our proposed system across all rounds is the core deliverable for Review 3.</w:t>
            </w:r>
          </w:p>
          <w:p>
            <w:pPr>
              <w:spacing w:before="80" w:after="40" w:line="269" w:lineRule="auto"/>
            </w:pPr>
            <w:r>
              <w:rPr>
                <w:rFonts w:ascii="Calibri" w:hAnsi="Calibri"/>
                <w:b/>
                <w:color w:val="92400E"/>
                <w:sz w:val="19"/>
              </w:rPr>
              <w:t xml:space="preserve">Q2: </w:t>
            </w:r>
            <w:r>
              <w:rPr>
                <w:rFonts w:ascii="Calibri" w:hAnsi="Calibri"/>
                <w:i w:val="0"/>
                <w:color w:val="92400E"/>
                <w:sz w:val="19"/>
              </w:rPr>
              <w:t>How do you guarantee that your synthetic CT features won't simply reproduce the artificial brightness artifact?</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Our updated synthetic HRCT dataset generator explicitly normalizes mean parenchymal attenuation across all classes (μ = 0.25, σ = 0.04). The classes are differentiated strictly through high-frequency textural patterns: Gaussian smoothed parenchymal fields for Normal, circular low-attenuation emphysematous voids for COPD, and subpleural reticular honeycombing lattices for IPF. Thus, classification requires learning true spatial morphology.</w:t>
            </w:r>
          </w:p>
        </w:tc>
      </w:tr>
    </w:tbl>
    <w:p>
      <w:pPr>
        <w:spacing w:after="40"/>
      </w:pPr>
    </w:p>
    <w:p>
      <w:pPr>
        <w:keepNext/>
        <w:spacing w:before="280" w:after="60"/>
      </w:pPr>
      <w:r>
        <w:rPr>
          <w:rFonts w:ascii="Calibri" w:hAnsi="Calibri"/>
          <w:b/>
          <w:color w:val="0A2540"/>
          <w:sz w:val="30"/>
        </w:rPr>
        <w:t>Slide 10: Thank You &amp; Discussion</w:t>
      </w:r>
      <w:r>
        <w:rPr>
          <w:rFonts w:ascii="Calibri" w:hAnsi="Calibri"/>
          <w:b/>
          <w:color w:val="1A5FB4"/>
          <w:sz w:val="21"/>
        </w:rPr>
        <w:t xml:space="preserve">  [PI 9.1.3]</w:t>
      </w:r>
    </w:p>
    <w:p>
      <w:pPr>
        <w:keepNext/>
        <w:spacing w:before="200" w:after="40"/>
      </w:pPr>
      <w:r>
        <w:rPr>
          <w:rFonts w:ascii="Calibri" w:hAnsi="Calibri"/>
          <w:b/>
          <w:color w:val="1A5FB4"/>
          <w:sz w:val="23"/>
        </w:rPr>
        <w:t>1. Slide Metadata</w:t>
      </w:r>
    </w:p>
    <w:p>
      <w:pPr>
        <w:pStyle w:val="ListBullet"/>
        <w:spacing w:before="0" w:after="50" w:line="269" w:lineRule="auto"/>
        <w:ind w:left="360"/>
      </w:pPr>
      <w:r>
        <w:rPr>
          <w:rFonts w:ascii="Calibri" w:hAnsi="Calibri"/>
          <w:b/>
          <w:color w:val="1E293B"/>
          <w:sz w:val="19"/>
        </w:rPr>
        <w:t>Slide Title:</w:t>
      </w:r>
      <w:r>
        <w:rPr>
          <w:rFonts w:ascii="Calibri" w:hAnsi="Calibri"/>
          <w:i w:val="0"/>
          <w:color w:val="1E293B"/>
          <w:sz w:val="19"/>
        </w:rPr>
        <w:t xml:space="preserve"> </w:t>
      </w:r>
      <w:r>
        <w:rPr>
          <w:rFonts w:ascii="Consolas" w:hAnsi="Consolas"/>
          <w:color w:val="2563EB"/>
          <w:sz w:val="18"/>
        </w:rPr>
        <w:t>Thank You</w:t>
      </w:r>
    </w:p>
    <w:p>
      <w:pPr>
        <w:pStyle w:val="ListBullet"/>
        <w:spacing w:before="0" w:after="50" w:line="269" w:lineRule="auto"/>
        <w:ind w:left="360"/>
      </w:pPr>
      <w:r>
        <w:rPr>
          <w:rFonts w:ascii="Calibri" w:hAnsi="Calibri"/>
          <w:b/>
          <w:color w:val="1E293B"/>
          <w:sz w:val="19"/>
        </w:rPr>
        <w:t>On-Slide Subtitle:</w:t>
      </w:r>
      <w:r>
        <w:rPr>
          <w:rFonts w:ascii="Calibri" w:hAnsi="Calibri"/>
          <w:i w:val="0"/>
          <w:color w:val="1E293B"/>
          <w:sz w:val="19"/>
        </w:rPr>
        <w:t xml:space="preserve"> </w:t>
      </w:r>
      <w:r>
        <w:rPr>
          <w:rFonts w:ascii="Consolas" w:hAnsi="Consolas"/>
          <w:color w:val="2563EB"/>
          <w:sz w:val="18"/>
        </w:rPr>
        <w:t>Questions &amp; Discussion</w:t>
      </w:r>
    </w:p>
    <w:p>
      <w:pPr>
        <w:pStyle w:val="ListBullet"/>
        <w:spacing w:before="0" w:after="50" w:line="269" w:lineRule="auto"/>
        <w:ind w:left="360"/>
      </w:pPr>
      <w:r>
        <w:rPr>
          <w:rFonts w:ascii="Calibri" w:hAnsi="Calibri"/>
          <w:b/>
          <w:color w:val="1E293B"/>
          <w:sz w:val="19"/>
        </w:rPr>
        <w:t>Rubric Mapping:</w:t>
      </w:r>
      <w:r>
        <w:rPr>
          <w:rFonts w:ascii="Calibri" w:hAnsi="Calibri"/>
          <w:i w:val="0"/>
          <w:color w:val="1E293B"/>
          <w:sz w:val="19"/>
        </w:rPr>
        <w:t xml:space="preserve"> </w:t>
      </w:r>
      <w:r>
        <w:rPr>
          <w:rFonts w:ascii="Calibri" w:hAnsi="Calibri"/>
          <w:b/>
          <w:color w:val="1E293B"/>
          <w:sz w:val="19"/>
        </w:rPr>
        <w:t>PI 9.1.3</w:t>
      </w:r>
      <w:r>
        <w:rPr>
          <w:rFonts w:ascii="Calibri" w:hAnsi="Calibri"/>
          <w:i w:val="0"/>
          <w:color w:val="1E293B"/>
          <w:sz w:val="19"/>
        </w:rPr>
        <w:t xml:space="preserve"> (Deliver effective oral presentations to technical audiences, handle questions constructively).</w:t>
      </w:r>
    </w:p>
    <w:p>
      <w:pPr>
        <w:pStyle w:val="ListBullet"/>
        <w:spacing w:before="0" w:after="50" w:line="269" w:lineRule="auto"/>
        <w:ind w:left="360"/>
      </w:pPr>
      <w:r>
        <w:rPr>
          <w:rFonts w:ascii="Calibri" w:hAnsi="Calibri"/>
          <w:b/>
          <w:color w:val="1E293B"/>
          <w:sz w:val="19"/>
        </w:rPr>
        <w:t>Visual Composition:</w:t>
      </w:r>
      <w:r>
        <w:rPr>
          <w:rFonts w:ascii="Calibri" w:hAnsi="Calibri"/>
          <w:i w:val="0"/>
          <w:color w:val="1E293B"/>
          <w:sz w:val="19"/>
        </w:rPr>
        <w:t xml:space="preserve"> Centered, elegant closing slide displaying project title, guide designation, team members, department credentials, and the official public GitHub repository URL.</w:t>
      </w:r>
    </w:p>
    <w:p>
      <w:pPr>
        <w:keepNext/>
        <w:spacing w:before="200" w:after="40"/>
      </w:pPr>
      <w:r>
        <w:rPr>
          <w:rFonts w:ascii="Calibri" w:hAnsi="Calibri"/>
          <w:b/>
          <w:color w:val="1A5FB4"/>
          <w:sz w:val="23"/>
        </w:rPr>
        <w:t>2. Breakdown of On-Slide Content</w:t>
      </w:r>
    </w:p>
    <w:p>
      <w:pPr>
        <w:pStyle w:val="ListBullet"/>
        <w:spacing w:before="0" w:after="50" w:line="269" w:lineRule="auto"/>
        <w:ind w:left="360"/>
      </w:pPr>
      <w:r>
        <w:rPr>
          <w:rFonts w:ascii="Calibri" w:hAnsi="Calibri"/>
          <w:b/>
          <w:color w:val="1E293B"/>
          <w:sz w:val="19"/>
        </w:rPr>
        <w:t>Header:</w:t>
      </w:r>
      <w:r>
        <w:rPr>
          <w:rFonts w:ascii="Calibri" w:hAnsi="Calibri"/>
          <w:i w:val="0"/>
          <w:color w:val="1E293B"/>
          <w:sz w:val="19"/>
        </w:rPr>
        <w:t xml:space="preserve"> Thank You! / Questions &amp; Discussion</w:t>
      </w:r>
    </w:p>
    <w:p>
      <w:pPr>
        <w:pStyle w:val="ListBullet"/>
        <w:spacing w:before="0" w:after="50" w:line="269" w:lineRule="auto"/>
        <w:ind w:left="360"/>
      </w:pPr>
      <w:r>
        <w:rPr>
          <w:rFonts w:ascii="Calibri" w:hAnsi="Calibri"/>
          <w:b/>
          <w:color w:val="1E293B"/>
          <w:sz w:val="19"/>
        </w:rPr>
        <w:t>Project Title:</w:t>
      </w:r>
      <w:r>
        <w:rPr>
          <w:rFonts w:ascii="Calibri" w:hAnsi="Calibri"/>
          <w:i w:val="0"/>
          <w:color w:val="1E293B"/>
          <w:sz w:val="19"/>
        </w:rPr>
        <w:t xml:space="preserve"> Privacy-Preserving Federated Generative Replay for Rare Disease Diagnosis: A Multi-Center Study on Idiopathic Pulmonary Fibrosis (IPF)</w:t>
      </w:r>
    </w:p>
    <w:p>
      <w:pPr>
        <w:pStyle w:val="ListBullet"/>
        <w:spacing w:before="0" w:after="50" w:line="269" w:lineRule="auto"/>
        <w:ind w:left="360"/>
      </w:pPr>
      <w:r>
        <w:rPr>
          <w:rFonts w:ascii="Calibri" w:hAnsi="Calibri"/>
          <w:b/>
          <w:color w:val="1E293B"/>
          <w:sz w:val="19"/>
        </w:rPr>
        <w:t>Project Guide:</w:t>
      </w:r>
      <w:r>
        <w:rPr>
          <w:rFonts w:ascii="Calibri" w:hAnsi="Calibri"/>
          <w:i w:val="0"/>
          <w:color w:val="1E293B"/>
          <w:sz w:val="19"/>
        </w:rPr>
        <w:t xml:space="preserve"> Prof. Mallikarjun Akki</w:t>
      </w:r>
    </w:p>
    <w:p>
      <w:pPr>
        <w:pStyle w:val="ListBullet"/>
        <w:spacing w:before="0" w:after="50" w:line="269" w:lineRule="auto"/>
        <w:ind w:left="360"/>
      </w:pPr>
      <w:r>
        <w:rPr>
          <w:rFonts w:ascii="Calibri" w:hAnsi="Calibri"/>
          <w:b/>
          <w:color w:val="1E293B"/>
          <w:sz w:val="19"/>
        </w:rPr>
        <w:t>Team 48:</w:t>
      </w:r>
      <w:r>
        <w:rPr>
          <w:rFonts w:ascii="Calibri" w:hAnsi="Calibri"/>
          <w:i w:val="0"/>
          <w:color w:val="1E293B"/>
          <w:sz w:val="19"/>
        </w:rPr>
        <w:t xml:space="preserve"> Ishwari J, Rakshita J, Amrutavarshini B, Aditya C</w:t>
      </w:r>
    </w:p>
    <w:p>
      <w:pPr>
        <w:pStyle w:val="ListBullet"/>
        <w:spacing w:before="0" w:after="50" w:line="269" w:lineRule="auto"/>
        <w:ind w:left="360"/>
      </w:pPr>
      <w:r>
        <w:rPr>
          <w:rFonts w:ascii="Calibri" w:hAnsi="Calibri"/>
          <w:b/>
          <w:color w:val="1E293B"/>
          <w:sz w:val="19"/>
        </w:rPr>
        <w:t>Institutional Affiliation:</w:t>
      </w:r>
      <w:r>
        <w:rPr>
          <w:rFonts w:ascii="Calibri" w:hAnsi="Calibri"/>
          <w:i w:val="0"/>
          <w:color w:val="1E293B"/>
          <w:sz w:val="19"/>
        </w:rPr>
        <w:t xml:space="preserve"> Department of Computer Science and Engineering, KLE Technological University</w:t>
      </w:r>
    </w:p>
    <w:p>
      <w:pPr>
        <w:pStyle w:val="ListBullet"/>
        <w:spacing w:before="0" w:after="50" w:line="269" w:lineRule="auto"/>
        <w:ind w:left="360"/>
      </w:pPr>
      <w:r>
        <w:rPr>
          <w:rFonts w:ascii="Calibri" w:hAnsi="Calibri"/>
          <w:b/>
          <w:color w:val="1E293B"/>
          <w:sz w:val="19"/>
        </w:rPr>
        <w:t>Repository Link:</w:t>
      </w:r>
      <w:r>
        <w:rPr>
          <w:rFonts w:ascii="Calibri" w:hAnsi="Calibri"/>
          <w:i w:val="0"/>
          <w:color w:val="1E293B"/>
          <w:sz w:val="19"/>
        </w:rPr>
        <w:t xml:space="preserve"> </w:t>
      </w:r>
      <w:r>
        <w:rPr>
          <w:rFonts w:ascii="Consolas" w:hAnsi="Consolas"/>
          <w:color w:val="2563EB"/>
          <w:sz w:val="18"/>
        </w:rPr>
        <w:t>https://github.com/Aditya-c-hu/FedGen-Rare-for-Idiopathic-Pulmonary-Fibrosis.git</w:t>
      </w:r>
    </w:p>
    <w:p>
      <w:pPr>
        <w:keepNext/>
        <w:spacing w:before="200" w:after="40"/>
      </w:pPr>
      <w:r>
        <w:rPr>
          <w:rFonts w:ascii="Calibri" w:hAnsi="Calibri"/>
          <w:b/>
          <w:color w:val="1A5FB4"/>
          <w:sz w:val="23"/>
        </w:rPr>
        <w:t>3. Deep Technical &amp; Contextual Explanation</w:t>
      </w:r>
    </w:p>
    <w:p>
      <w:pPr>
        <w:spacing w:before="0" w:after="70" w:line="276" w:lineRule="auto"/>
      </w:pPr>
      <w:r>
        <w:rPr>
          <w:rFonts w:ascii="Calibri" w:hAnsi="Calibri"/>
          <w:i w:val="0"/>
          <w:color w:val="1E293B"/>
          <w:sz w:val="20"/>
        </w:rPr>
        <w:t>Slide 10 serves as the anchor for the oral question-and-answer session. A strong defense slide keeps vital project references visible (team members, guide, project title, and code repository), signaling transparency and reproducibility.</w:t>
      </w:r>
    </w:p>
    <w:p>
      <w:pPr>
        <w:pStyle w:val="ListBullet"/>
        <w:spacing w:before="0" w:after="50" w:line="269" w:lineRule="auto"/>
        <w:ind w:left="360"/>
      </w:pPr>
      <w:r>
        <w:rPr>
          <w:rFonts w:ascii="Calibri" w:hAnsi="Calibri"/>
          <w:b/>
          <w:color w:val="1E293B"/>
          <w:sz w:val="19"/>
        </w:rPr>
        <w:t>Repository Availability:</w:t>
      </w:r>
      <w:r>
        <w:rPr>
          <w:rFonts w:ascii="Calibri" w:hAnsi="Calibri"/>
          <w:i w:val="0"/>
          <w:color w:val="1E293B"/>
          <w:sz w:val="19"/>
        </w:rPr>
        <w:t xml:space="preserve"> All source code, modular unit tests (</w:t>
      </w:r>
      <w:r>
        <w:rPr>
          <w:rFonts w:ascii="Consolas" w:hAnsi="Consolas"/>
          <w:color w:val="2563EB"/>
          <w:sz w:val="18"/>
        </w:rPr>
        <w:t>tests/test_modules.py</w:t>
      </w:r>
      <w:r>
        <w:rPr>
          <w:rFonts w:ascii="Calibri" w:hAnsi="Calibri"/>
          <w:i w:val="0"/>
          <w:color w:val="1E293B"/>
          <w:sz w:val="19"/>
        </w:rPr>
        <w:t>), UML models (</w:t>
      </w:r>
      <w:r>
        <w:rPr>
          <w:rFonts w:ascii="Consolas" w:hAnsi="Consolas"/>
          <w:color w:val="2563EB"/>
          <w:sz w:val="18"/>
        </w:rPr>
        <w:t>docs/uml/</w:t>
      </w:r>
      <w:r>
        <w:rPr>
          <w:rFonts w:ascii="Calibri" w:hAnsi="Calibri"/>
          <w:i w:val="0"/>
          <w:color w:val="1E293B"/>
          <w:sz w:val="19"/>
        </w:rPr>
        <w:t>), and technical documentation (</w:t>
      </w:r>
      <w:r>
        <w:rPr>
          <w:rFonts w:ascii="Consolas" w:hAnsi="Consolas"/>
          <w:color w:val="2563EB"/>
          <w:sz w:val="18"/>
        </w:rPr>
        <w:t>docs/report/</w:t>
      </w:r>
      <w:r>
        <w:rPr>
          <w:rFonts w:ascii="Calibri" w:hAnsi="Calibri"/>
          <w:i w:val="0"/>
          <w:color w:val="1E293B"/>
          <w:sz w:val="19"/>
        </w:rPr>
        <w:t>) are version-controlled and publicly accessible, demonstrating adherence to open-science engineering principles.</w:t>
      </w:r>
    </w:p>
    <w:p>
      <w:pPr>
        <w:keepNext/>
        <w:spacing w:before="200" w:after="40"/>
      </w:pPr>
      <w:r>
        <w:rPr>
          <w:rFonts w:ascii="Calibri" w:hAnsi="Calibri"/>
          <w:b/>
          <w:color w:val="1A5FB4"/>
          <w:sz w:val="23"/>
        </w:rPr>
        <w:t>4. Verbatim Oral Defense Script (Speaker Notes)</w:t>
      </w:r>
    </w:p>
    <w:tbl>
      <w:tblPr>
        <w:tblW w:type="auto" w:w="0"/>
        <w:jc w:val="center"/>
        <w:tblLayout w:type="fixed"/>
        <w:tblLook w:firstColumn="1" w:firstRow="1" w:lastColumn="0" w:lastRow="0" w:noHBand="0" w:noVBand="1" w:val="04A0"/>
      </w:tblPr>
      <w:tblGrid>
        <w:gridCol w:w="9360"/>
      </w:tblGrid>
      <w:tr>
        <w:tc>
          <w:tcPr>
            <w:tcW w:type="dxa" w:w="9360"/>
            <w:shd w:fill="F0F7FF"/>
            <w:tcBorders>
              <w:top w:val="none"/>
              <w:left w:val="single" w:sz="36" w:space="0" w:color="1A5FB4"/>
              <w:bottom w:val="none"/>
              <w:right w:val="none"/>
            </w:tcBorders>
            <w:tcMar>
              <w:top w:w="120" w:type="dxa"/>
              <w:bottom w:w="120" w:type="dxa"/>
              <w:left w:w="180" w:type="dxa"/>
              <w:right w:w="160" w:type="dxa"/>
            </w:tcMar>
          </w:tcPr>
          <w:p>
            <w:pPr>
              <w:spacing w:before="0" w:after="80"/>
            </w:pPr>
            <w:r>
              <w:rPr>
                <w:rFonts w:ascii="Calibri" w:hAnsi="Calibri"/>
                <w:b/>
                <w:color w:val="1A5FB4"/>
                <w:sz w:val="20"/>
              </w:rPr>
              <w:t>🗣️  VERBATIM ORAL DEFENSE SCRIPT (SPEAKER NOTES)</w:t>
            </w:r>
          </w:p>
          <w:p>
            <w:pPr>
              <w:spacing w:before="40" w:after="80" w:line="276" w:lineRule="auto"/>
            </w:pPr>
            <w:r>
              <w:rPr>
                <w:rFonts w:ascii="Calibri" w:hAnsi="Calibri"/>
                <w:i/>
                <w:color w:val="1E293B"/>
                <w:sz w:val="19"/>
              </w:rPr>
              <w:t>"To conclude, in this Review 2 presentation, we have addressed the Review 1 critique by focusing on Idiopathic Pulmonary Fibrosis, formalized our system requirements under PI 3.1.3, presented our pictorial system architecture under PI 3.3.1, detailed our mathematical formulations and algorithms under PI 3.3.3, validated our modules with 31 passing unit tests using modern tools under PI 5.2.2 and PI 12.1.2, and established the proven 24% to 55% error gap in the published SOTA baseline."</w:t>
            </w:r>
          </w:p>
          <w:p>
            <w:pPr>
              <w:spacing w:before="40" w:after="0" w:line="276" w:lineRule="auto"/>
            </w:pPr>
            <w:r>
              <w:rPr>
                <w:rFonts w:ascii="Calibri" w:hAnsi="Calibri"/>
                <w:i/>
                <w:color w:val="1E293B"/>
                <w:sz w:val="19"/>
              </w:rPr>
              <w:t>"We express our sincere gratitude to our guide, Prof. Mallikarjun Akki, and to the honorable review committee for your time and guidance. We are now open for your questions and feedback. Thank you."</w:t>
            </w:r>
          </w:p>
        </w:tc>
      </w:tr>
    </w:tbl>
    <w:p>
      <w:pPr>
        <w:spacing w:after="40"/>
      </w:pPr>
    </w:p>
    <w:p>
      <w:pPr>
        <w:keepNext/>
        <w:spacing w:before="200" w:after="40"/>
      </w:pPr>
      <w:r>
        <w:rPr>
          <w:rFonts w:ascii="Calibri" w:hAnsi="Calibri"/>
          <w:b/>
          <w:color w:val="1A5FB4"/>
          <w:sz w:val="23"/>
        </w:rPr>
        <w:t>5. Anticipated Reviewer Questions &amp; Bulletproof Defense</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20" w:type="dxa"/>
              <w:bottom w:w="120" w:type="dxa"/>
              <w:left w:w="180" w:type="dxa"/>
              <w:right w:w="160" w:type="dxa"/>
            </w:tcMar>
          </w:tcPr>
          <w:p>
            <w:pPr>
              <w:spacing w:before="0" w:after="80"/>
            </w:pPr>
            <w:r>
              <w:rPr>
                <w:rFonts w:ascii="Calibri" w:hAnsi="Calibri"/>
                <w:b/>
                <w:color w:val="92400E"/>
                <w:sz w:val="20"/>
              </w:rPr>
              <w:t>❓  ANTICIPATED REVIEWER QUESTIONS &amp; BULLETPROOF DEFENSE</w:t>
            </w:r>
          </w:p>
          <w:p>
            <w:pPr>
              <w:spacing w:before="80" w:after="40" w:line="269" w:lineRule="auto"/>
            </w:pPr>
            <w:r>
              <w:rPr>
                <w:rFonts w:ascii="Calibri" w:hAnsi="Calibri"/>
                <w:b/>
                <w:color w:val="92400E"/>
                <w:sz w:val="19"/>
              </w:rPr>
              <w:t xml:space="preserve">Q1: </w:t>
            </w:r>
            <w:r>
              <w:rPr>
                <w:rFonts w:ascii="Calibri" w:hAnsi="Calibri"/>
                <w:i w:val="0"/>
                <w:color w:val="92400E"/>
                <w:sz w:val="19"/>
              </w:rPr>
              <w:t>What are your exact target deliverables and milestones for Review 3?</w:t>
            </w:r>
          </w:p>
          <w:p>
            <w:pPr>
              <w:spacing w:before="20" w:after="120" w:line="269" w:lineRule="auto"/>
            </w:pPr>
            <w:r>
              <w:rPr>
                <w:rFonts w:ascii="Calibri" w:hAnsi="Calibri"/>
                <w:b/>
                <w:color w:val="0A2540"/>
                <w:sz w:val="19"/>
              </w:rPr>
              <w:t xml:space="preserve">Defense Answer: </w:t>
            </w:r>
            <w:r>
              <w:rPr>
                <w:rFonts w:ascii="Calibri" w:hAnsi="Calibri"/>
                <w:i w:val="0"/>
                <w:color w:val="1E293B"/>
                <w:sz w:val="19"/>
              </w:rPr>
              <w:t>For Review 3, our milestones are: (1) Execute full comparative training rounds across 5 simulated hospital nodes comparing FedAvg, FedProx, FedIIC, and FedGen-Rare; (2) Benchmark convergence speed and communication overhead; (3) Generate full statistical evaluation charts for BACC, IPF Recall, and AUROC; and (4) Prepare the draft research manuscript for publication submission.</w:t>
            </w:r>
          </w:p>
          <w:p>
            <w:pPr>
              <w:spacing w:before="80" w:after="40" w:line="269" w:lineRule="auto"/>
            </w:pPr>
            <w:r>
              <w:rPr>
                <w:rFonts w:ascii="Calibri" w:hAnsi="Calibri"/>
                <w:b/>
                <w:color w:val="92400E"/>
                <w:sz w:val="19"/>
              </w:rPr>
              <w:t xml:space="preserve">Q2: </w:t>
            </w:r>
            <w:r>
              <w:rPr>
                <w:rFonts w:ascii="Calibri" w:hAnsi="Calibri"/>
                <w:i w:val="0"/>
                <w:color w:val="92400E"/>
                <w:sz w:val="19"/>
              </w:rPr>
              <w:t>Where can the committee verify your module tests and implementation?</w:t>
            </w:r>
          </w:p>
          <w:p>
            <w:pPr>
              <w:spacing w:before="20" w:after="0" w:line="269" w:lineRule="auto"/>
            </w:pPr>
            <w:r>
              <w:rPr>
                <w:rFonts w:ascii="Calibri" w:hAnsi="Calibri"/>
                <w:b/>
                <w:color w:val="0A2540"/>
                <w:sz w:val="19"/>
              </w:rPr>
              <w:t xml:space="preserve">Defense Answer: </w:t>
            </w:r>
            <w:r>
              <w:rPr>
                <w:rFonts w:ascii="Calibri" w:hAnsi="Calibri"/>
                <w:i w:val="0"/>
                <w:color w:val="1E293B"/>
                <w:sz w:val="19"/>
              </w:rPr>
              <w:t xml:space="preserve">All our code, including the 31 passing unit tests in </w:t>
            </w:r>
            <w:r>
              <w:rPr>
                <w:rFonts w:ascii="Consolas" w:hAnsi="Consolas"/>
                <w:color w:val="2563EB"/>
                <w:sz w:val="18"/>
              </w:rPr>
              <w:t>tests/test_modules.py</w:t>
            </w:r>
            <w:r>
              <w:rPr>
                <w:rFonts w:ascii="Calibri" w:hAnsi="Calibri"/>
                <w:i w:val="0"/>
                <w:color w:val="1E293B"/>
                <w:sz w:val="19"/>
              </w:rPr>
              <w:t xml:space="preserve">, the native </w:t>
            </w:r>
            <w:r>
              <w:rPr>
                <w:rFonts w:ascii="Consolas" w:hAnsi="Consolas"/>
                <w:color w:val="2563EB"/>
                <w:sz w:val="18"/>
              </w:rPr>
              <w:t>.drawio</w:t>
            </w:r>
            <w:r>
              <w:rPr>
                <w:rFonts w:ascii="Calibri" w:hAnsi="Calibri"/>
                <w:i w:val="0"/>
                <w:color w:val="1E293B"/>
                <w:sz w:val="19"/>
              </w:rPr>
              <w:t xml:space="preserve"> UML files, and the LaTeX technical report, is hosted in our GitHub repository at </w:t>
            </w:r>
            <w:r>
              <w:rPr>
                <w:rFonts w:ascii="Consolas" w:hAnsi="Consolas"/>
                <w:color w:val="2563EB"/>
                <w:sz w:val="18"/>
              </w:rPr>
              <w:t>https://github.com/Aditya-c-hu/FedGen-Rare-for-Idiopathic-Pulmonary-Fibrosis.git</w:t>
            </w:r>
            <w:r>
              <w:rPr>
                <w:rFonts w:ascii="Calibri" w:hAnsi="Calibri"/>
                <w:i w:val="0"/>
                <w:color w:val="1E293B"/>
                <w:sz w:val="19"/>
              </w:rPr>
              <w:t>.</w:t>
            </w:r>
          </w:p>
        </w:tc>
      </w:tr>
    </w:tbl>
    <w:p>
      <w:pPr>
        <w:spacing w:after="40"/>
      </w:pPr>
    </w:p>
    <w:p>
      <w:pPr>
        <w:keepNext/>
        <w:spacing w:before="280" w:after="60"/>
      </w:pPr>
      <w:r>
        <w:rPr>
          <w:rFonts w:ascii="Calibri" w:hAnsi="Calibri"/>
          <w:b/>
          <w:color w:val="0A2540"/>
          <w:sz w:val="30"/>
        </w:rPr>
        <w:t>Complete Review 2 Performance Indicator (PI) Mapping Matrix</w:t>
      </w:r>
    </w:p>
    <w:p>
      <w:pPr>
        <w:spacing w:before="0" w:after="70" w:line="276" w:lineRule="auto"/>
      </w:pPr>
      <w:r>
        <w:rPr>
          <w:rFonts w:ascii="Calibri" w:hAnsi="Calibri"/>
          <w:i w:val="0"/>
          <w:color w:val="1E293B"/>
          <w:sz w:val="20"/>
        </w:rPr>
        <w:t>To assist the team during oral defense and grading evaluation, the following matrix correlates each department rubric parameter to the presentation slides and project artifacts:</w:t>
      </w:r>
    </w:p>
    <w:tbl>
      <w:tblPr>
        <w:tblW w:type="auto" w:w="0"/>
        <w:jc w:val="center"/>
        <w:tblLayout w:type="fixed"/>
        <w:tblLook w:firstColumn="1" w:firstRow="1" w:lastColumn="0" w:lastRow="0" w:noHBand="0" w:noVBand="1" w:val="04A0"/>
        <w:tblBorders>
          <w:top w:val="single" w:sz="8" w:space="0" w:color="CBD5E1"/>
          <w:bottom w:val="single" w:sz="8" w:space="0" w:color="CBD5E1"/>
          <w:insideH w:val="single" w:sz="4" w:space="0" w:color="CBD5E1"/>
          <w:left w:val="none"/>
          <w:right w:val="none"/>
          <w:insideV w:val="none"/>
        </w:tblBorders>
      </w:tblPr>
      <w:tblGrid>
        <w:gridCol w:w="1872"/>
        <w:gridCol w:w="1872"/>
        <w:gridCol w:w="1872"/>
        <w:gridCol w:w="1872"/>
        <w:gridCol w:w="1872"/>
      </w:tblGrid>
      <w:tr>
        <w:trPr>
          <w:tblHeader/>
          <w:cantSplit/>
        </w:trPr>
        <w:tc>
          <w:tcPr>
            <w:tcW w:type="dxa" w:w="1584"/>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Department PI</w:t>
            </w:r>
          </w:p>
        </w:tc>
        <w:tc>
          <w:tcPr>
            <w:tcW w:type="dxa" w:w="2880"/>
            <w:shd w:fill="1A5FB4"/>
            <w:tcMar>
              <w:top w:w="100" w:type="dxa"/>
              <w:bottom w:w="100" w:type="dxa"/>
              <w:left w:w="120" w:type="dxa"/>
              <w:right w:w="120" w:type="dxa"/>
            </w:tcMar>
            <w:vAlign w:val="center"/>
          </w:tcPr>
          <w:p>
            <w:pPr>
              <w:spacing w:before="0" w:after="0"/>
              <w:jc w:val="left"/>
            </w:pPr>
            <w:r>
              <w:rPr>
                <w:rFonts w:ascii="Calibri" w:hAnsi="Calibri"/>
                <w:b/>
                <w:color w:val="FFFFFF"/>
                <w:sz w:val="18"/>
              </w:rPr>
              <w:t>Performance Indicator Description</w:t>
            </w:r>
          </w:p>
        </w:tc>
        <w:tc>
          <w:tcPr>
            <w:tcW w:type="dxa" w:w="1728"/>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Covered in Slide(s)</w:t>
            </w:r>
          </w:p>
        </w:tc>
        <w:tc>
          <w:tcPr>
            <w:tcW w:type="dxa" w:w="1872"/>
            <w:shd w:fill="1A5FB4"/>
            <w:tcMar>
              <w:top w:w="100" w:type="dxa"/>
              <w:bottom w:w="100" w:type="dxa"/>
              <w:left w:w="120" w:type="dxa"/>
              <w:right w:w="120" w:type="dxa"/>
            </w:tcMar>
            <w:vAlign w:val="center"/>
          </w:tcPr>
          <w:p>
            <w:pPr>
              <w:spacing w:before="0" w:after="0"/>
              <w:jc w:val="left"/>
            </w:pPr>
            <w:r>
              <w:rPr>
                <w:rFonts w:ascii="Calibri" w:hAnsi="Calibri"/>
                <w:b/>
                <w:color w:val="FFFFFF"/>
                <w:sz w:val="18"/>
              </w:rPr>
              <w:t>Primary Deliverable / Codebase Artifact</w:t>
            </w:r>
          </w:p>
        </w:tc>
        <w:tc>
          <w:tcPr>
            <w:tcW w:type="dxa" w:w="1296"/>
            <w:shd w:fill="1A5FB4"/>
            <w:tcMar>
              <w:top w:w="100" w:type="dxa"/>
              <w:bottom w:w="100" w:type="dxa"/>
              <w:left w:w="120" w:type="dxa"/>
              <w:right w:w="120" w:type="dxa"/>
            </w:tcMar>
            <w:vAlign w:val="center"/>
          </w:tcPr>
          <w:p>
            <w:pPr>
              <w:spacing w:before="0" w:after="0"/>
              <w:jc w:val="center"/>
            </w:pPr>
            <w:r>
              <w:rPr>
                <w:rFonts w:ascii="Calibri" w:hAnsi="Calibri"/>
                <w:b/>
                <w:color w:val="FFFFFF"/>
                <w:sz w:val="18"/>
              </w:rPr>
              <w:t>Rubric Target Level</w:t>
            </w:r>
          </w:p>
        </w:tc>
      </w:tr>
      <w:tr>
        <w:trPr>
          <w:cantSplit/>
        </w:trPr>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3.1.3</w:t>
            </w:r>
          </w:p>
        </w:tc>
        <w:tc>
          <w:tcPr>
            <w:tcW w:type="dxa" w:w="2880"/>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Determine design objectives along with functional &amp; non-functional requirements, constraints, and assumptions</w:t>
            </w:r>
          </w:p>
        </w:tc>
        <w:tc>
          <w:tcPr>
            <w:tcW w:type="dxa" w:w="1728"/>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2, Slide 3, Slide 4, Slide 9</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FR1–FR6, NFR1–NFR4, Constraints, Assumptions, Clinical Profile (ORPHA:2032)</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3.3.1</w:t>
            </w:r>
          </w:p>
        </w:tc>
        <w:tc>
          <w:tcPr>
            <w:tcW w:type="dxa" w:w="2880"/>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Apply formal decision-making tools to select optimal design solutions; pictorial representation with UML</w:t>
            </w:r>
          </w:p>
        </w:tc>
        <w:tc>
          <w:tcPr>
            <w:tcW w:type="dxa" w:w="1728"/>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5</w:t>
            </w:r>
          </w:p>
        </w:tc>
        <w:tc>
          <w:tcPr>
            <w:tcW w:type="dxa" w:w="187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Pictorial Architecture Diagram (</w:t>
            </w:r>
            <w:r>
              <w:rPr>
                <w:rFonts w:ascii="Consolas" w:hAnsi="Consolas"/>
                <w:color w:val="2563EB"/>
                <w:sz w:val="17"/>
              </w:rPr>
              <w:t>system_architecture_diagram.png</w:t>
            </w:r>
            <w:r>
              <w:rPr>
                <w:rFonts w:ascii="Calibri" w:hAnsi="Calibri"/>
                <w:i w:val="0"/>
                <w:color w:val="1E293B"/>
                <w:sz w:val="18"/>
              </w:rPr>
              <w:t xml:space="preserve">), 4 </w:t>
            </w:r>
            <w:r>
              <w:rPr>
                <w:rFonts w:ascii="Consolas" w:hAnsi="Consolas"/>
                <w:color w:val="2563EB"/>
                <w:sz w:val="17"/>
              </w:rPr>
              <w:t>.drawio</w:t>
            </w:r>
            <w:r>
              <w:rPr>
                <w:rFonts w:ascii="Calibri" w:hAnsi="Calibri"/>
                <w:i w:val="0"/>
                <w:color w:val="1E293B"/>
                <w:sz w:val="18"/>
              </w:rPr>
              <w:t xml:space="preserve"> UML models</w:t>
            </w:r>
          </w:p>
        </w:tc>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3.3.3</w:t>
            </w:r>
          </w:p>
        </w:tc>
        <w:tc>
          <w:tcPr>
            <w:tcW w:type="dxa" w:w="2880"/>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Develop detailed design with existing constraints, algorithms, mathematical models, pseudocode with I/O</w:t>
            </w:r>
          </w:p>
        </w:tc>
        <w:tc>
          <w:tcPr>
            <w:tcW w:type="dxa" w:w="1728"/>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6, Slide 7</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Algorithms 1, 2, 3 with formal I/O specs; L_gen, L_FM, L_DIV, L_clf formulations</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5.2.2</w:t>
            </w:r>
          </w:p>
        </w:tc>
        <w:tc>
          <w:tcPr>
            <w:tcW w:type="dxa" w:w="2880"/>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Apply domain-specific tools, platforms, libraries, simulators, and automated testing suites</w:t>
            </w:r>
          </w:p>
        </w:tc>
        <w:tc>
          <w:tcPr>
            <w:tcW w:type="dxa" w:w="1728"/>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8</w:t>
            </w:r>
          </w:p>
        </w:tc>
        <w:tc>
          <w:tcPr>
            <w:tcW w:type="dxa" w:w="187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PyTorch 2.14, Scikit-learn, Draw.io, LaTeX (</w:t>
            </w:r>
            <w:r>
              <w:rPr>
                <w:rFonts w:ascii="Consolas" w:hAnsi="Consolas"/>
                <w:color w:val="2563EB"/>
                <w:sz w:val="17"/>
              </w:rPr>
              <w:t>SDP_Review2_Report.tex</w:t>
            </w:r>
            <w:r>
              <w:rPr>
                <w:rFonts w:ascii="Calibri" w:hAnsi="Calibri"/>
                <w:i w:val="0"/>
                <w:color w:val="1E293B"/>
                <w:sz w:val="18"/>
              </w:rPr>
              <w:t>), pytest 9.1</w:t>
            </w:r>
          </w:p>
        </w:tc>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12.1.2</w:t>
            </w:r>
          </w:p>
        </w:tc>
        <w:tc>
          <w:tcPr>
            <w:tcW w:type="dxa" w:w="2880"/>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Construct software system using OOP paradigm, coding standards, and module testing</w:t>
            </w:r>
          </w:p>
        </w:tc>
        <w:tc>
          <w:tcPr>
            <w:tcW w:type="dxa" w:w="1728"/>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Slide 8</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onsolas" w:hAnsi="Consolas"/>
                <w:color w:val="2563EB"/>
                <w:sz w:val="17"/>
              </w:rPr>
              <w:t>tests/test_modules.py</w:t>
            </w:r>
            <w:r>
              <w:rPr>
                <w:rFonts w:ascii="Calibri" w:hAnsi="Calibri"/>
                <w:i w:val="0"/>
                <w:color w:val="1E293B"/>
                <w:sz w:val="18"/>
              </w:rPr>
              <w:t xml:space="preserve"> (31/31 passing unit tests across 7 classes in 17.35 seconds)</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9.1.2</w:t>
            </w:r>
          </w:p>
        </w:tc>
        <w:tc>
          <w:tcPr>
            <w:tcW w:type="dxa" w:w="2880"/>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Organize and produce well-structured content in document or presentation with clear logical flow</w:t>
            </w:r>
          </w:p>
        </w:tc>
        <w:tc>
          <w:tcPr>
            <w:tcW w:type="dxa" w:w="1728"/>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Entire Deck (Slides 1–10)</w:t>
            </w:r>
          </w:p>
        </w:tc>
        <w:tc>
          <w:tcPr>
            <w:tcW w:type="dxa" w:w="1872"/>
            <w:shd w:fill="F8FAFC"/>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10-slide PowerPoint deck (</w:t>
            </w:r>
            <w:r>
              <w:rPr>
                <w:rFonts w:ascii="Consolas" w:hAnsi="Consolas"/>
                <w:color w:val="2563EB"/>
                <w:sz w:val="17"/>
              </w:rPr>
              <w:t>SDP_Review2_Presentation.pptx</w:t>
            </w:r>
            <w:r>
              <w:rPr>
                <w:rFonts w:ascii="Calibri" w:hAnsi="Calibri"/>
                <w:i w:val="0"/>
                <w:color w:val="1E293B"/>
                <w:sz w:val="18"/>
              </w:rPr>
              <w:t>) + LaTeX report (</w:t>
            </w:r>
            <w:r>
              <w:rPr>
                <w:rFonts w:ascii="Consolas" w:hAnsi="Consolas"/>
                <w:color w:val="2563EB"/>
                <w:sz w:val="17"/>
              </w:rPr>
              <w:t>docs/report/</w:t>
            </w:r>
            <w:r>
              <w:rPr>
                <w:rFonts w:ascii="Calibri" w:hAnsi="Calibri"/>
                <w:i w:val="0"/>
                <w:color w:val="1E293B"/>
                <w:sz w:val="18"/>
              </w:rPr>
              <w:t>)</w:t>
            </w:r>
          </w:p>
        </w:tc>
        <w:tc>
          <w:tcPr>
            <w:tcW w:type="dxa" w:w="1296"/>
            <w:shd w:fill="F8FAFC"/>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r>
        <w:trPr>
          <w:cantSplit/>
        </w:trPr>
        <w:tc>
          <w:tcPr>
            <w:tcW w:type="dxa" w:w="1584"/>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PI 9.1.3</w:t>
            </w:r>
          </w:p>
        </w:tc>
        <w:tc>
          <w:tcPr>
            <w:tcW w:type="dxa" w:w="2880"/>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Deliver effective oral presentation to technical and non-technical audiences</w:t>
            </w:r>
          </w:p>
        </w:tc>
        <w:tc>
          <w:tcPr>
            <w:tcW w:type="dxa" w:w="1728"/>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Defense Delivery</w:t>
            </w:r>
          </w:p>
        </w:tc>
        <w:tc>
          <w:tcPr>
            <w:tcW w:type="dxa" w:w="1872"/>
            <w:shd w:fill="FFFFFF"/>
            <w:tcMar>
              <w:top w:w="80" w:type="dxa"/>
              <w:bottom w:w="80" w:type="dxa"/>
              <w:left w:w="120" w:type="dxa"/>
              <w:right w:w="120" w:type="dxa"/>
            </w:tcMar>
            <w:vAlign w:val="center"/>
          </w:tcPr>
          <w:p>
            <w:pPr>
              <w:spacing w:before="0" w:after="0" w:line="264" w:lineRule="auto"/>
              <w:jc w:val="left"/>
            </w:pPr>
            <w:r>
              <w:rPr>
                <w:rFonts w:ascii="Calibri" w:hAnsi="Calibri"/>
                <w:i w:val="0"/>
                <w:color w:val="1E293B"/>
                <w:sz w:val="18"/>
              </w:rPr>
              <w:t>Detailed speaker notes and Q&amp;A defense scripts provided for every slide</w:t>
            </w:r>
          </w:p>
        </w:tc>
        <w:tc>
          <w:tcPr>
            <w:tcW w:type="dxa" w:w="1296"/>
            <w:shd w:fill="FFFFFF"/>
            <w:tcMar>
              <w:top w:w="80" w:type="dxa"/>
              <w:bottom w:w="80" w:type="dxa"/>
              <w:left w:w="120" w:type="dxa"/>
              <w:right w:w="120" w:type="dxa"/>
            </w:tcMar>
            <w:vAlign w:val="center"/>
          </w:tcPr>
          <w:p>
            <w:pPr>
              <w:spacing w:before="0" w:after="0" w:line="264" w:lineRule="auto"/>
              <w:jc w:val="center"/>
            </w:pPr>
            <w:r>
              <w:rPr>
                <w:rFonts w:ascii="Calibri" w:hAnsi="Calibri"/>
                <w:b/>
                <w:color w:val="1E293B"/>
                <w:sz w:val="18"/>
              </w:rPr>
              <w:t>Excellent (8–10)</w:t>
            </w:r>
          </w:p>
        </w:tc>
      </w:tr>
    </w:tbl>
    <w:p>
      <w:pPr>
        <w:spacing w:after="80"/>
      </w:pPr>
    </w:p>
    <w:p>
      <w:pPr>
        <w:spacing w:before="160" w:after="80"/>
      </w:pPr>
      <w:r>
        <w:rPr>
          <w:i/>
          <w:color w:val="64748B"/>
          <w:sz w:val="18"/>
        </w:rPr>
        <w:t>— End of Slide-by-Slide Explanation &amp; Oral Defense Guide — Team 48, KLE Technological University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FedGen-Rare: Multi-Center Study on IPF Diagnosis  |  Oral Defense Guide</w:t>
    </w:r>
    <w:r>
      <w:rPr>
        <w:rFonts w:ascii="Calibri" w:hAnsi="Calibri"/>
        <w:color w:val="64748B"/>
        <w:sz w:val="17"/>
      </w:rPr>
      <w:tab/>
      <w:tab/>
      <w:t xml:space="preserve">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KLE Technological University — SDP Review 2 | Team 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