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0"/>
        <w:jc w:val="center"/>
      </w:pPr>
      <w:r>
        <w:rPr>
          <w:rFonts w:ascii="Calibri" w:cs="Calibri" w:eastAsia="Calibri" w:hAnsi="Calibri"/>
          <w:b/>
          <w:bCs/>
          <w:color w:val="006D77"/>
          <w:sz w:val="52"/>
          <w:szCs w:val="52"/>
        </w:rPr>
        <w:t xml:space="preserve">COVID-19 Early Case Trend Analysis</w:t>
      </w:r>
    </w:p>
    <w:p>
      <w:pPr>
        <w:spacing w:before="0" w:after="360"/>
        <w:jc w:val="center"/>
      </w:pPr>
      <w:r>
        <w:rPr>
          <w:rFonts w:ascii="Calibri" w:cs="Calibri" w:eastAsia="Calibri" w:hAnsi="Calibri"/>
          <w:b/>
          <w:bCs/>
          <w:color w:val="006D77"/>
          <w:sz w:val="52"/>
          <w:szCs w:val="52"/>
        </w:rPr>
        <w:t xml:space="preserve">&amp; Recovery Insights</w:t>
      </w:r>
    </w:p>
    <w:p>
      <w:pPr>
        <w:spacing w:after="720"/>
        <w:jc w:val="center"/>
      </w:pPr>
      <w:r>
        <w:rPr>
          <w:rFonts w:ascii="Calibri" w:cs="Calibri" w:eastAsia="Calibri" w:hAnsi="Calibri"/>
          <w:i/>
          <w:iCs/>
          <w:color w:val="555555"/>
          <w:sz w:val="28"/>
          <w:szCs w:val="28"/>
        </w:rPr>
        <w:t xml:space="preserve">Analytics Project Report</w:t>
      </w:r>
    </w:p>
    <w:p>
      <w:pPr>
        <w:pBdr>
          <w:bottom w:val="single" w:color="83C5BE" w:sz="4"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b/>
                <w:bCs/>
                <w:color w:val="006D77"/>
                <w:sz w:val="20"/>
                <w:szCs w:val="20"/>
              </w:rPr>
              <w:t xml:space="preserve">Company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HealthGuard Analytics Pvt. Ltd.</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b/>
                <w:bCs/>
                <w:color w:val="006D77"/>
                <w:sz w:val="20"/>
                <w:szCs w:val="20"/>
              </w:rPr>
              <w:t xml:space="preserve">Client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National Public Health Authority</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b/>
                <w:bCs/>
                <w:color w:val="006D77"/>
                <w:sz w:val="20"/>
                <w:szCs w:val="20"/>
              </w:rPr>
              <w:t xml:space="preserve">Project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COVID-19 Early Case Trend Analysis &amp; Recovery Insights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b/>
                <w:bCs/>
                <w:color w:val="006D77"/>
                <w:sz w:val="20"/>
                <w:szCs w:val="20"/>
              </w:rPr>
              <w:t xml:space="preserve">Tech Stack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Python · Pandas · NumPy · Matplotlib · Seaborn · scikit-learn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b/>
                <w:bCs/>
                <w:color w:val="006D77"/>
                <w:sz w:val="20"/>
                <w:szCs w:val="20"/>
              </w:rPr>
              <w:t xml:space="preserve">Date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2025</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b/>
                <w:bCs/>
                <w:color w:val="006D77"/>
                <w:sz w:val="20"/>
                <w:szCs w:val="20"/>
              </w:rPr>
              <w:t xml:space="preserve">Status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Draft – For Review</w:t>
            </w:r>
          </w:p>
        </w:tc>
      </w:tr>
    </w:tbl>
    <w:p>
      <w:r>
        <w:br w:type="page"/>
      </w:r>
    </w:p>
    <w:p>
      <w:pPr>
        <w:pStyle w:val="Heading1"/>
        <w:spacing w:before="360" w:after="120"/>
      </w:pPr>
      <w:r>
        <w:rPr>
          <w:rFonts w:ascii="Calibri" w:cs="Calibri" w:eastAsia="Calibri" w:hAnsi="Calibri"/>
          <w:b/>
          <w:bCs/>
          <w:color w:val="006D77"/>
          <w:sz w:val="32"/>
          <w:szCs w:val="32"/>
        </w:rPr>
        <w:t xml:space="preserve">1. Executive Summary</w:t>
      </w:r>
    </w:p>
    <w:p>
      <w:pPr>
        <w:spacing w:after="120"/>
        <w:jc w:val="both"/>
      </w:pPr>
      <w:r>
        <w:rPr>
          <w:rFonts w:ascii="Calibri" w:cs="Calibri" w:eastAsia="Calibri" w:hAnsi="Calibri"/>
          <w:color w:val="333333"/>
          <w:sz w:val="22"/>
          <w:szCs w:val="22"/>
        </w:rPr>
        <w:t xml:space="preserve">HealthGuard Analytics Pvt. Ltd. was engaged by the national public health authority to analyse early-stage COVID-19 patient data. This report presents a comprehensive exploratory analysis of confirmed case demographics, infection transmission patterns, regional concentrations, and recovery timelines. It further explores the application of linear regression to model recovery duration.</w:t>
      </w:r>
    </w:p>
    <w:p>
      <w:pPr>
        <w:spacing w:after="120"/>
        <w:jc w:val="both"/>
      </w:pPr>
      <w:r>
        <w:rPr>
          <w:rFonts w:ascii="Calibri" w:cs="Calibri" w:eastAsia="Calibri" w:hAnsi="Calibri"/>
          <w:color w:val="333333"/>
          <w:sz w:val="22"/>
          <w:szCs w:val="22"/>
        </w:rPr>
        <w:t xml:space="preserve">The insights derived from this study support optimised screening strategies, evidence-based isolation planning, and data-driven early response systems.</w:t>
      </w:r>
    </w:p>
    <w:p>
      <w:pPr>
        <w:pBdr>
          <w:bottom w:val="single" w:color="83C5BE" w:sz="4" w:space="1"/>
        </w:pBdr>
        <w:spacing w:after="200"/>
      </w:pPr>
    </w:p>
    <w:p>
      <w:pPr>
        <w:pStyle w:val="Heading1"/>
        <w:spacing w:before="360" w:after="120"/>
      </w:pPr>
      <w:r>
        <w:rPr>
          <w:rFonts w:ascii="Calibri" w:cs="Calibri" w:eastAsia="Calibri" w:hAnsi="Calibri"/>
          <w:b/>
          <w:bCs/>
          <w:color w:val="006D77"/>
          <w:sz w:val="32"/>
          <w:szCs w:val="32"/>
        </w:rPr>
        <w:t xml:space="preserve">2. Business Context &amp; Problem Statement</w:t>
      </w:r>
    </w:p>
    <w:p>
      <w:pPr>
        <w:spacing w:after="120"/>
        <w:jc w:val="both"/>
      </w:pPr>
      <w:r>
        <w:rPr>
          <w:rFonts w:ascii="Calibri" w:cs="Calibri" w:eastAsia="Calibri" w:hAnsi="Calibri"/>
          <w:color w:val="333333"/>
          <w:sz w:val="22"/>
          <w:szCs w:val="22"/>
        </w:rPr>
        <w:t xml:space="preserve">During the initial phase of an infectious disease outbreak, rapid and data-driven decision-making is critical. The public health authority provided a patient-level dataset containing confirmed case records along with demographic details, infection histories, and case outcomes. HealthGuard Analytics was tasked with answering five key questions:</w:t>
      </w:r>
    </w:p>
    <w:p>
      <w:pPr>
        <w:pStyle w:val="ListParagraph"/>
        <w:numPr>
          <w:ilvl w:val="0"/>
          <w:numId w:val="2"/>
        </w:numPr>
        <w:spacing w:after="80"/>
      </w:pPr>
      <w:r>
        <w:rPr>
          <w:rFonts w:ascii="Calibri" w:cs="Calibri" w:eastAsia="Calibri" w:hAnsi="Calibri"/>
          <w:b w:val="false"/>
          <w:bCs w:val="false"/>
          <w:color w:val="333333"/>
          <w:sz w:val="22"/>
          <w:szCs w:val="22"/>
        </w:rPr>
        <w:t xml:space="preserve">Who is getting infected? — Demographic patterns (age, sex, region)</w:t>
      </w:r>
    </w:p>
    <w:p>
      <w:pPr>
        <w:pStyle w:val="ListParagraph"/>
        <w:numPr>
          <w:ilvl w:val="0"/>
          <w:numId w:val="2"/>
        </w:numPr>
        <w:spacing w:after="80"/>
      </w:pPr>
      <w:r>
        <w:rPr>
          <w:rFonts w:ascii="Calibri" w:cs="Calibri" w:eastAsia="Calibri" w:hAnsi="Calibri"/>
          <w:b w:val="false"/>
          <w:bCs w:val="false"/>
          <w:color w:val="333333"/>
          <w:sz w:val="22"/>
          <w:szCs w:val="22"/>
        </w:rPr>
        <w:t xml:space="preserve">How are infections spreading? — Infection reasons, order, and contact exposure</w:t>
      </w:r>
    </w:p>
    <w:p>
      <w:pPr>
        <w:pStyle w:val="ListParagraph"/>
        <w:numPr>
          <w:ilvl w:val="0"/>
          <w:numId w:val="2"/>
        </w:numPr>
        <w:spacing w:after="80"/>
      </w:pPr>
      <w:r>
        <w:rPr>
          <w:rFonts w:ascii="Calibri" w:cs="Calibri" w:eastAsia="Calibri" w:hAnsi="Calibri"/>
          <w:b w:val="false"/>
          <w:bCs w:val="false"/>
          <w:color w:val="333333"/>
          <w:sz w:val="22"/>
          <w:szCs w:val="22"/>
        </w:rPr>
        <w:t xml:space="preserve">What are recovery trends? — Duration from confirmation to release</w:t>
      </w:r>
    </w:p>
    <w:p>
      <w:pPr>
        <w:pStyle w:val="ListParagraph"/>
        <w:numPr>
          <w:ilvl w:val="0"/>
          <w:numId w:val="2"/>
        </w:numPr>
        <w:spacing w:after="80"/>
      </w:pPr>
      <w:r>
        <w:rPr>
          <w:rFonts w:ascii="Calibri" w:cs="Calibri" w:eastAsia="Calibri" w:hAnsi="Calibri"/>
          <w:b w:val="false"/>
          <w:bCs w:val="false"/>
          <w:color w:val="333333"/>
          <w:sz w:val="22"/>
          <w:szCs w:val="22"/>
        </w:rPr>
        <w:t xml:space="preserve">Which regions are most impacted? — Regional confirmed vs released comparisons</w:t>
      </w:r>
    </w:p>
    <w:p>
      <w:pPr>
        <w:pStyle w:val="ListParagraph"/>
        <w:numPr>
          <w:ilvl w:val="0"/>
          <w:numId w:val="2"/>
        </w:numPr>
        <w:spacing w:after="80"/>
      </w:pPr>
      <w:r>
        <w:rPr>
          <w:rFonts w:ascii="Calibri" w:cs="Calibri" w:eastAsia="Calibri" w:hAnsi="Calibri"/>
          <w:b w:val="false"/>
          <w:bCs w:val="false"/>
          <w:color w:val="333333"/>
          <w:sz w:val="22"/>
          <w:szCs w:val="22"/>
        </w:rPr>
        <w:t xml:space="preserve">What factors influence recovery time? — Age, contact number, infection order</w:t>
      </w:r>
    </w:p>
    <w:p>
      <w:pPr>
        <w:pBdr>
          <w:bottom w:val="single" w:color="83C5BE" w:sz="4" w:space="1"/>
        </w:pBdr>
        <w:spacing w:after="200"/>
      </w:pPr>
    </w:p>
    <w:p>
      <w:pPr>
        <w:pStyle w:val="Heading1"/>
        <w:spacing w:before="360" w:after="120"/>
      </w:pPr>
      <w:r>
        <w:rPr>
          <w:rFonts w:ascii="Calibri" w:cs="Calibri" w:eastAsia="Calibri" w:hAnsi="Calibri"/>
          <w:b/>
          <w:bCs/>
          <w:color w:val="006D77"/>
          <w:sz w:val="32"/>
          <w:szCs w:val="32"/>
        </w:rPr>
        <w:t xml:space="preserve">3. Dataset Description</w:t>
      </w:r>
    </w:p>
    <w:p>
      <w:pPr>
        <w:spacing w:after="120"/>
        <w:jc w:val="both"/>
      </w:pPr>
      <w:r>
        <w:rPr>
          <w:rFonts w:ascii="Calibri" w:cs="Calibri" w:eastAsia="Calibri" w:hAnsi="Calibri"/>
          <w:color w:val="333333"/>
          <w:sz w:val="22"/>
          <w:szCs w:val="22"/>
        </w:rPr>
        <w:t xml:space="preserve">The patient-level dataset contains the following attributes: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tcPr>
          <w:p>
            <w:r>
              <w:rPr>
                <w:rFonts w:ascii="Calibri" w:cs="Calibri" w:eastAsia="Calibri" w:hAnsi="Calibri"/>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tcPr>
          <w:p>
            <w:r>
              <w:rPr>
                <w:rFonts w:ascii="Calibri" w:cs="Calibri" w:eastAsia="Calibri" w:hAnsi="Calibri"/>
                <w:b/>
                <w:bCs/>
                <w:color w:val="FFFFFF"/>
                <w:sz w:val="20"/>
                <w:szCs w:val="20"/>
              </w:rPr>
              <w:t xml:space="preserve">Attribute</w:t>
            </w:r>
          </w:p>
        </w:tc>
        <w:tc>
          <w:tcPr>
            <w:tcW w:type="dxa" w:w="3120"/>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Demographics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sex</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Patient gender (male / female)</w:t>
            </w:r>
          </w:p>
        </w:tc>
      </w:tr>
      <w:tr>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Demographics</w:t>
            </w:r>
          </w:p>
        </w:tc>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birth_year</w:t>
            </w:r>
          </w:p>
        </w:tc>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Year of birth (used to derive age)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Demographics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country / region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Country and regional sub-division</w:t>
            </w:r>
          </w:p>
        </w:tc>
      </w:tr>
      <w:tr>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Infection Info</w:t>
            </w:r>
          </w:p>
        </w:tc>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infection_reason</w:t>
            </w:r>
          </w:p>
        </w:tc>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Primary source of infection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Infection Info</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infection_order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Generation of infection chain</w:t>
            </w:r>
          </w:p>
        </w:tc>
      </w:tr>
      <w:tr>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Infection Info</w:t>
            </w:r>
          </w:p>
        </w:tc>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infected_by</w:t>
            </w:r>
          </w:p>
        </w:tc>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Case ID of source patient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Exposure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contact_number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Number of close contacts</w:t>
            </w:r>
          </w:p>
        </w:tc>
      </w:tr>
      <w:tr>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Timeline</w:t>
            </w:r>
          </w:p>
        </w:tc>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confirmed_date</w:t>
            </w:r>
          </w:p>
        </w:tc>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Date of case confirmation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Timeline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released_date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Date of patient release</w:t>
            </w:r>
          </w:p>
        </w:tc>
      </w:tr>
      <w:tr>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Timeline</w:t>
            </w:r>
          </w:p>
        </w:tc>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deceased_date</w:t>
            </w:r>
          </w:p>
        </w:tc>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Date of death (if applicable)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Outcome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state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Case status: released / isolated / deceased</w:t>
            </w:r>
          </w:p>
        </w:tc>
      </w:tr>
    </w:tbl>
    <w:p>
      <w:pPr>
        <w:spacing w:after="200"/>
      </w:pPr>
    </w:p>
    <w:p>
      <w:pPr>
        <w:pBdr>
          <w:bottom w:val="single" w:color="83C5BE" w:sz="4" w:space="1"/>
        </w:pBdr>
        <w:spacing w:after="200"/>
      </w:pPr>
    </w:p>
    <w:p>
      <w:pPr>
        <w:pStyle w:val="Heading1"/>
        <w:spacing w:before="360" w:after="120"/>
      </w:pPr>
      <w:r>
        <w:rPr>
          <w:rFonts w:ascii="Calibri" w:cs="Calibri" w:eastAsia="Calibri" w:hAnsi="Calibri"/>
          <w:b/>
          <w:bCs/>
          <w:color w:val="006D77"/>
          <w:sz w:val="32"/>
          <w:szCs w:val="32"/>
        </w:rPr>
        <w:t xml:space="preserve">4. Methodology</w:t>
      </w:r>
    </w:p>
    <w:p>
      <w:pPr>
        <w:pStyle w:val="Heading2"/>
        <w:spacing w:before="240" w:after="80"/>
      </w:pPr>
      <w:r>
        <w:rPr>
          <w:rFonts w:ascii="Calibri" w:cs="Calibri" w:eastAsia="Calibri" w:hAnsi="Calibri"/>
          <w:b/>
          <w:bCs/>
          <w:color w:val="2D3748"/>
          <w:sz w:val="26"/>
          <w:szCs w:val="26"/>
        </w:rPr>
        <w:t xml:space="preserve">4.1 Exploratory Data Analysis (EDA)</w:t>
      </w:r>
    </w:p>
    <w:p>
      <w:pPr>
        <w:spacing w:after="120"/>
        <w:jc w:val="both"/>
      </w:pPr>
      <w:r>
        <w:rPr>
          <w:rFonts w:ascii="Calibri" w:cs="Calibri" w:eastAsia="Calibri" w:hAnsi="Calibri"/>
          <w:color w:val="333333"/>
          <w:sz w:val="22"/>
          <w:szCs w:val="22"/>
        </w:rPr>
        <w:t xml:space="preserve">The first analytical step involved examining the dataset's structure, dimensions, data types, and the extent of missing values across all columns. Descriptive statistics were calculated for all numeric fields to establish baseline distributions.</w:t>
      </w:r>
    </w:p>
    <w:p>
      <w:pPr>
        <w:pStyle w:val="Heading2"/>
        <w:spacing w:before="240" w:after="80"/>
      </w:pPr>
      <w:r>
        <w:rPr>
          <w:rFonts w:ascii="Calibri" w:cs="Calibri" w:eastAsia="Calibri" w:hAnsi="Calibri"/>
          <w:b/>
          <w:bCs/>
          <w:color w:val="2D3748"/>
          <w:sz w:val="26"/>
          <w:szCs w:val="26"/>
        </w:rPr>
        <w:t xml:space="preserve">4.2 Data Cleaning &amp; Feature Engineering</w:t>
      </w:r>
    </w:p>
    <w:p>
      <w:pPr>
        <w:spacing w:after="120"/>
        <w:jc w:val="both"/>
      </w:pPr>
      <w:r>
        <w:rPr>
          <w:rFonts w:ascii="Calibri" w:cs="Calibri" w:eastAsia="Calibri" w:hAnsi="Calibri"/>
          <w:color w:val="333333"/>
          <w:sz w:val="22"/>
          <w:szCs w:val="22"/>
        </w:rPr>
        <w:t xml:space="preserve">Date columns (confirmed_date, released_date, deceased_date) were parsed into datetime format. A derived age column was created by subtracting birth_year from the 2020 reference year. A recovery_days column was engineered as the difference in days between released_date and confirmed_date, representing the patient's recovery duration. Text fields such as sex, state, and infection_reason were standardised to lowercase for consistency.</w:t>
      </w:r>
    </w:p>
    <w:p>
      <w:pPr>
        <w:pStyle w:val="Heading2"/>
        <w:spacing w:before="240" w:after="80"/>
      </w:pPr>
      <w:r>
        <w:rPr>
          <w:rFonts w:ascii="Calibri" w:cs="Calibri" w:eastAsia="Calibri" w:hAnsi="Calibri"/>
          <w:b/>
          <w:bCs/>
          <w:color w:val="2D3748"/>
          <w:sz w:val="26"/>
          <w:szCs w:val="26"/>
        </w:rPr>
        <w:t xml:space="preserve">4.3 Descriptive Statistics &amp; Visualisation</w:t>
      </w:r>
    </w:p>
    <w:p>
      <w:pPr>
        <w:spacing w:after="120"/>
        <w:jc w:val="both"/>
      </w:pPr>
      <w:r>
        <w:rPr>
          <w:rFonts w:ascii="Calibri" w:cs="Calibri" w:eastAsia="Calibri" w:hAnsi="Calibri"/>
          <w:color w:val="333333"/>
          <w:sz w:val="22"/>
          <w:szCs w:val="22"/>
        </w:rPr>
        <w:t xml:space="preserve">Trends were visualised across seven analytical dimensions: gender distribution, age distribution, regional case concentration, infection sources, infection generation order, case outcomes, and recovery timelines. Seaborn and Matplotlib were used for all visualisations.</w:t>
      </w:r>
    </w:p>
    <w:p>
      <w:pPr>
        <w:pStyle w:val="Heading2"/>
        <w:spacing w:before="240" w:after="80"/>
      </w:pPr>
      <w:r>
        <w:rPr>
          <w:rFonts w:ascii="Calibri" w:cs="Calibri" w:eastAsia="Calibri" w:hAnsi="Calibri"/>
          <w:b/>
          <w:bCs/>
          <w:color w:val="2D3748"/>
          <w:sz w:val="26"/>
          <w:szCs w:val="26"/>
        </w:rPr>
        <w:t xml:space="preserve">4.4 Correlation Analysis</w:t>
      </w:r>
    </w:p>
    <w:p>
      <w:pPr>
        <w:spacing w:after="120"/>
        <w:jc w:val="both"/>
      </w:pPr>
      <w:r>
        <w:rPr>
          <w:rFonts w:ascii="Calibri" w:cs="Calibri" w:eastAsia="Calibri" w:hAnsi="Calibri"/>
          <w:color w:val="333333"/>
          <w:sz w:val="22"/>
          <w:szCs w:val="22"/>
        </w:rPr>
        <w:t xml:space="preserve">A Pearson correlation matrix was computed across the key numeric variables — age, contact_number, infection_order, and recovery_days — to identify co-movement patterns and multicollinearity considerations.</w:t>
      </w:r>
    </w:p>
    <w:p>
      <w:pPr>
        <w:pStyle w:val="Heading2"/>
        <w:spacing w:before="240" w:after="80"/>
      </w:pPr>
      <w:r>
        <w:rPr>
          <w:rFonts w:ascii="Calibri" w:cs="Calibri" w:eastAsia="Calibri" w:hAnsi="Calibri"/>
          <w:b/>
          <w:bCs/>
          <w:color w:val="2D3748"/>
          <w:sz w:val="26"/>
          <w:szCs w:val="26"/>
        </w:rPr>
        <w:t xml:space="preserve">4.5 Linear Regression (Optional Extension)</w:t>
      </w:r>
    </w:p>
    <w:p>
      <w:pPr>
        <w:spacing w:after="120"/>
        <w:jc w:val="both"/>
      </w:pPr>
      <w:r>
        <w:rPr>
          <w:rFonts w:ascii="Calibri" w:cs="Calibri" w:eastAsia="Calibri" w:hAnsi="Calibri"/>
          <w:color w:val="333333"/>
          <w:sz w:val="22"/>
          <w:szCs w:val="22"/>
        </w:rPr>
        <w:t xml:space="preserve">A multi-variable linear regression model was trained to predict recovery_days using age, contact_number, infection_order, and gender (label-encoded) as predictors. The dataset was split 80/20 for training and test evaluation. Model performance was evaluated using R² score and Mean Absolute Error (MAE). Residual plots were generated to assess model fit.</w:t>
      </w:r>
    </w:p>
    <w:p>
      <w:pPr>
        <w:pBdr>
          <w:bottom w:val="single" w:color="83C5BE" w:sz="4" w:space="1"/>
        </w:pBdr>
        <w:spacing w:after="200"/>
      </w:pPr>
    </w:p>
    <w:p>
      <w:pPr>
        <w:pStyle w:val="Heading1"/>
        <w:spacing w:before="360" w:after="120"/>
      </w:pPr>
      <w:r>
        <w:rPr>
          <w:rFonts w:ascii="Calibri" w:cs="Calibri" w:eastAsia="Calibri" w:hAnsi="Calibri"/>
          <w:b/>
          <w:bCs/>
          <w:color w:val="006D77"/>
          <w:sz w:val="32"/>
          <w:szCs w:val="32"/>
        </w:rPr>
        <w:t xml:space="preserve">5. Key Findings &amp; Insights</w:t>
      </w:r>
    </w:p>
    <w:p>
      <w:pPr>
        <w:pStyle w:val="Heading2"/>
        <w:spacing w:before="240" w:after="80"/>
      </w:pPr>
      <w:r>
        <w:rPr>
          <w:rFonts w:ascii="Calibri" w:cs="Calibri" w:eastAsia="Calibri" w:hAnsi="Calibri"/>
          <w:b/>
          <w:bCs/>
          <w:color w:val="2D3748"/>
          <w:sz w:val="26"/>
          <w:szCs w:val="26"/>
        </w:rPr>
        <w:t xml:space="preserve">5.1 Demographic Patterns</w:t>
      </w:r>
    </w:p>
    <w:p>
      <w:pPr>
        <w:spacing w:after="120"/>
        <w:jc w:val="both"/>
      </w:pPr>
      <w:r>
        <w:rPr>
          <w:rFonts w:ascii="Calibri" w:cs="Calibri" w:eastAsia="Calibri" w:hAnsi="Calibri"/>
          <w:color w:val="333333"/>
          <w:sz w:val="22"/>
          <w:szCs w:val="22"/>
        </w:rPr>
        <w:t xml:space="preserve">Analysis of the gender distribution revealed the relative proportion of male and female cases, with visualization confirming any skew in infection rates. The age distribution showed that the majority of confirmed cases fell in the 40–65 age bracket, with the median age typically in the mid-40s, aligning with early global COVID-19 demographic reports.</w:t>
      </w:r>
    </w:p>
    <w:p>
      <w:pPr>
        <w:pStyle w:val="Heading2"/>
        <w:spacing w:before="240" w:after="80"/>
      </w:pPr>
      <w:r>
        <w:rPr>
          <w:rFonts w:ascii="Calibri" w:cs="Calibri" w:eastAsia="Calibri" w:hAnsi="Calibri"/>
          <w:b/>
          <w:bCs/>
          <w:color w:val="2D3748"/>
          <w:sz w:val="26"/>
          <w:szCs w:val="26"/>
        </w:rPr>
        <w:t xml:space="preserve">5.2 Infection Spread</w:t>
      </w:r>
    </w:p>
    <w:p>
      <w:pPr>
        <w:spacing w:after="120"/>
        <w:jc w:val="both"/>
      </w:pPr>
      <w:r>
        <w:rPr>
          <w:rFonts w:ascii="Calibri" w:cs="Calibri" w:eastAsia="Calibri" w:hAnsi="Calibri"/>
          <w:color w:val="333333"/>
          <w:sz w:val="22"/>
          <w:szCs w:val="22"/>
        </w:rPr>
        <w:t xml:space="preserve">Examination of infection_reason highlighted travel-related exposure and community cluster events as the dominant infection sources in early outbreak data. The infection_order distribution revealed that a significant portion of cases were first- or second-generation, confirming the early containment phase of the dataset.</w:t>
      </w:r>
    </w:p>
    <w:p>
      <w:pPr>
        <w:pStyle w:val="Heading2"/>
        <w:spacing w:before="240" w:after="80"/>
      </w:pPr>
      <w:r>
        <w:rPr>
          <w:rFonts w:ascii="Calibri" w:cs="Calibri" w:eastAsia="Calibri" w:hAnsi="Calibri"/>
          <w:b/>
          <w:bCs/>
          <w:color w:val="2D3748"/>
          <w:sz w:val="26"/>
          <w:szCs w:val="26"/>
        </w:rPr>
        <w:t xml:space="preserve">5.3 Regional Impact</w:t>
      </w:r>
    </w:p>
    <w:p>
      <w:pPr>
        <w:spacing w:after="120"/>
        <w:jc w:val="both"/>
      </w:pPr>
      <w:r>
        <w:rPr>
          <w:rFonts w:ascii="Calibri" w:cs="Calibri" w:eastAsia="Calibri" w:hAnsi="Calibri"/>
          <w:color w:val="333333"/>
          <w:sz w:val="22"/>
          <w:szCs w:val="22"/>
        </w:rPr>
        <w:t xml:space="preserve">Regional analysis identified a small number of high-concentration provinces accounting for the majority of confirmed cases. Comparison of confirmed vs released cases by region provided insight into regional healthcare system performance and recovery rates.</w:t>
      </w:r>
    </w:p>
    <w:p>
      <w:pPr>
        <w:pStyle w:val="Heading2"/>
        <w:spacing w:before="240" w:after="80"/>
      </w:pPr>
      <w:r>
        <w:rPr>
          <w:rFonts w:ascii="Calibri" w:cs="Calibri" w:eastAsia="Calibri" w:hAnsi="Calibri"/>
          <w:b/>
          <w:bCs/>
          <w:color w:val="2D3748"/>
          <w:sz w:val="26"/>
          <w:szCs w:val="26"/>
        </w:rPr>
        <w:t xml:space="preserve">5.4 Recovery Timelines</w:t>
      </w:r>
    </w:p>
    <w:p>
      <w:pPr>
        <w:spacing w:after="120"/>
        <w:jc w:val="both"/>
      </w:pPr>
      <w:r>
        <w:rPr>
          <w:rFonts w:ascii="Calibri" w:cs="Calibri" w:eastAsia="Calibri" w:hAnsi="Calibri"/>
          <w:color w:val="333333"/>
          <w:sz w:val="22"/>
          <w:szCs w:val="22"/>
        </w:rPr>
        <w:t xml:space="preserve">The average recovery duration (confirmed_date to released_date) was approximately 14–21 days, consistent with clinical guidance. Distribution analysis of recovery_days revealed right-skewed behaviour, with most patients recovering within three weeks and a tail of extended cases.</w:t>
      </w:r>
    </w:p>
    <w:p>
      <w:pPr>
        <w:pStyle w:val="Heading2"/>
        <w:spacing w:before="240" w:after="80"/>
      </w:pPr>
      <w:r>
        <w:rPr>
          <w:rFonts w:ascii="Calibri" w:cs="Calibri" w:eastAsia="Calibri" w:hAnsi="Calibri"/>
          <w:b/>
          <w:bCs/>
          <w:color w:val="2D3748"/>
          <w:sz w:val="26"/>
          <w:szCs w:val="26"/>
        </w:rPr>
        <w:t xml:space="preserve">5.5 Regression Findings</w:t>
      </w:r>
    </w:p>
    <w:p>
      <w:pPr>
        <w:spacing w:after="120"/>
        <w:jc w:val="both"/>
      </w:pPr>
      <w:r>
        <w:rPr>
          <w:rFonts w:ascii="Calibri" w:cs="Calibri" w:eastAsia="Calibri" w:hAnsi="Calibri"/>
          <w:color w:val="333333"/>
          <w:sz w:val="22"/>
          <w:szCs w:val="22"/>
        </w:rPr>
        <w:t xml:space="preserve">The linear regression model demonstrated that age had a statistically meaningful positive association with recovery duration — older patients generally required more days to recover. Contact number and infection order showed weaker predictive contributions. The R² score indicated moderate explanatory power; the model serves as a directional tool rather than a precise predictor, and more complex non-linear models are recommended for production use.</w:t>
      </w:r>
    </w:p>
    <w:p>
      <w:pPr>
        <w:pBdr>
          <w:bottom w:val="single" w:color="83C5BE" w:sz="4" w:space="1"/>
        </w:pBdr>
        <w:spacing w:after="200"/>
      </w:pPr>
    </w:p>
    <w:p>
      <w:pPr>
        <w:pStyle w:val="Heading1"/>
        <w:spacing w:before="360" w:after="120"/>
      </w:pPr>
      <w:r>
        <w:rPr>
          <w:rFonts w:ascii="Calibri" w:cs="Calibri" w:eastAsia="Calibri" w:hAnsi="Calibri"/>
          <w:b/>
          <w:bCs/>
          <w:color w:val="006D77"/>
          <w:sz w:val="32"/>
          <w:szCs w:val="32"/>
        </w:rPr>
        <w:t xml:space="preserve">6. Analytical Objectives – Status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tcPr>
          <w:p>
            <w:r>
              <w:rPr>
                <w:rFonts w:ascii="Calibri" w:cs="Calibri" w:eastAsia="Calibri" w:hAnsi="Calibri"/>
                <w:b/>
                <w:bCs/>
                <w:color w:val="FFFFFF"/>
                <w:sz w:val="20"/>
                <w:szCs w:val="20"/>
              </w:rPr>
              <w:t xml:space="preserve">Objective</w:t>
            </w:r>
          </w:p>
        </w:tc>
        <w:tc>
          <w:tcPr>
            <w:tcW w:type="dxa" w:w="2340"/>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tcPr>
          <w:p>
            <w:r>
              <w:rPr>
                <w:rFonts w:ascii="Calibri" w:cs="Calibri" w:eastAsia="Calibri" w:hAnsi="Calibri"/>
                <w:b/>
                <w:bCs/>
                <w:color w:val="FFFFFF"/>
                <w:sz w:val="20"/>
                <w:szCs w:val="20"/>
              </w:rPr>
              <w:t xml:space="preserve">Output</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EDA – data structure &amp; quality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 Complete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Missing value table, dtypes</w:t>
            </w:r>
          </w:p>
        </w:tc>
      </w:tr>
      <w:tr>
        <w:tc>
          <w:tcPr>
            <w:tcW w:type="dxa" w:w="23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2</w:t>
            </w:r>
          </w:p>
        </w:tc>
        <w:tc>
          <w:tcPr>
            <w:tcW w:type="dxa" w:w="23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Descriptive statistics</w:t>
            </w:r>
          </w:p>
        </w:tc>
        <w:tc>
          <w:tcPr>
            <w:tcW w:type="dxa" w:w="23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 Complete</w:t>
            </w:r>
          </w:p>
        </w:tc>
        <w:tc>
          <w:tcPr>
            <w:tcW w:type="dxa" w:w="23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Summary table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Gender distribution visualisation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 Complete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fig1_gender_distribution.png</w:t>
            </w:r>
          </w:p>
        </w:tc>
      </w:tr>
      <w:tr>
        <w:tc>
          <w:tcPr>
            <w:tcW w:type="dxa" w:w="23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4</w:t>
            </w:r>
          </w:p>
        </w:tc>
        <w:tc>
          <w:tcPr>
            <w:tcW w:type="dxa" w:w="23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Age distribution visualisation</w:t>
            </w:r>
          </w:p>
        </w:tc>
        <w:tc>
          <w:tcPr>
            <w:tcW w:type="dxa" w:w="23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 Complete</w:t>
            </w:r>
          </w:p>
        </w:tc>
        <w:tc>
          <w:tcPr>
            <w:tcW w:type="dxa" w:w="23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fig2_age_distribution.png</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Regional case concentration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 Complete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fig3_regional_analysis.png</w:t>
            </w:r>
          </w:p>
        </w:tc>
      </w:tr>
      <w:tr>
        <w:tc>
          <w:tcPr>
            <w:tcW w:type="dxa" w:w="23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6</w:t>
            </w:r>
          </w:p>
        </w:tc>
        <w:tc>
          <w:tcPr>
            <w:tcW w:type="dxa" w:w="23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Infection sources visualisation</w:t>
            </w:r>
          </w:p>
        </w:tc>
        <w:tc>
          <w:tcPr>
            <w:tcW w:type="dxa" w:w="23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 Complete</w:t>
            </w:r>
          </w:p>
        </w:tc>
        <w:tc>
          <w:tcPr>
            <w:tcW w:type="dxa" w:w="23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fig4_infection_reasons.png</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Recovery timeline visualisation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 Complete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fig7_recovery_timelines.png</w:t>
            </w:r>
          </w:p>
        </w:tc>
      </w:tr>
      <w:tr>
        <w:tc>
          <w:tcPr>
            <w:tcW w:type="dxa" w:w="23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8</w:t>
            </w:r>
          </w:p>
        </w:tc>
        <w:tc>
          <w:tcPr>
            <w:tcW w:type="dxa" w:w="23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Recovery duration calculation</w:t>
            </w:r>
          </w:p>
        </w:tc>
        <w:tc>
          <w:tcPr>
            <w:tcW w:type="dxa" w:w="23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 Complete</w:t>
            </w:r>
          </w:p>
        </w:tc>
        <w:tc>
          <w:tcPr>
            <w:tcW w:type="dxa" w:w="23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recovery_days column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Correlation analysis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 Complete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fig9_correlation_heatmap.png</w:t>
            </w:r>
          </w:p>
        </w:tc>
      </w:tr>
      <w:tr>
        <w:tc>
          <w:tcPr>
            <w:tcW w:type="dxa" w:w="23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10</w:t>
            </w:r>
          </w:p>
        </w:tc>
        <w:tc>
          <w:tcPr>
            <w:tcW w:type="dxa" w:w="23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Linear Regression model</w:t>
            </w:r>
          </w:p>
        </w:tc>
        <w:tc>
          <w:tcPr>
            <w:tcW w:type="dxa" w:w="23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 Complete</w:t>
            </w:r>
          </w:p>
        </w:tc>
        <w:tc>
          <w:tcPr>
            <w:tcW w:type="dxa" w:w="23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fig10_regression_analysis.png</w:t>
            </w:r>
          </w:p>
        </w:tc>
      </w:tr>
    </w:tbl>
    <w:p>
      <w:pPr>
        <w:spacing w:after="200"/>
      </w:pPr>
    </w:p>
    <w:p>
      <w:pPr>
        <w:pBdr>
          <w:bottom w:val="single" w:color="83C5BE" w:sz="4" w:space="1"/>
        </w:pBdr>
        <w:spacing w:after="200"/>
      </w:pPr>
    </w:p>
    <w:p>
      <w:pPr>
        <w:pStyle w:val="Heading1"/>
        <w:spacing w:before="360" w:after="120"/>
      </w:pPr>
      <w:r>
        <w:rPr>
          <w:rFonts w:ascii="Calibri" w:cs="Calibri" w:eastAsia="Calibri" w:hAnsi="Calibri"/>
          <w:b/>
          <w:bCs/>
          <w:color w:val="006D77"/>
          <w:sz w:val="32"/>
          <w:szCs w:val="32"/>
        </w:rPr>
        <w:t xml:space="preserve">7. Tech Stack</w:t>
      </w:r>
    </w:p>
    <w:p>
      <w:pPr>
        <w:spacing w:after="120"/>
        <w:jc w:val="both"/>
      </w:pPr>
      <w:r>
        <w:rPr>
          <w:rFonts w:ascii="Calibri" w:cs="Calibri" w:eastAsia="Calibri" w:hAnsi="Calibri"/>
          <w:color w:val="333333"/>
          <w:sz w:val="22"/>
          <w:szCs w:val="22"/>
        </w:rPr>
        <w:t xml:space="preserve">The entire analysis pipeline was implemented in Python 3.x using the following libraries: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tcPr>
          <w:p>
            <w:r>
              <w:rPr>
                <w:rFonts w:ascii="Calibri" w:cs="Calibri" w:eastAsia="Calibri" w:hAnsi="Calibri"/>
                <w:b/>
                <w:bCs/>
                <w:color w:val="FFFFFF"/>
                <w:sz w:val="20"/>
                <w:szCs w:val="20"/>
              </w:rPr>
              <w:t xml:space="preserve">Library</w:t>
            </w:r>
          </w:p>
        </w:tc>
        <w:tc>
          <w:tcPr>
            <w:tcW w:type="dxa" w:w="3120"/>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tcPr>
          <w:p>
            <w:r>
              <w:rPr>
                <w:rFonts w:ascii="Calibri" w:cs="Calibri" w:eastAsia="Calibri" w:hAnsi="Calibri"/>
                <w:b/>
                <w:bCs/>
                <w:color w:val="FFFFFF"/>
                <w:sz w:val="20"/>
                <w:szCs w:val="20"/>
              </w:rPr>
              <w:t xml:space="preserve">Version</w:t>
            </w:r>
          </w:p>
        </w:tc>
        <w:tc>
          <w:tcPr>
            <w:tcW w:type="dxa" w:w="3120"/>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Python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3.x</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Core programming language</w:t>
            </w:r>
          </w:p>
        </w:tc>
      </w:tr>
      <w:tr>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Pandas</w:t>
            </w:r>
          </w:p>
        </w:tc>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 1.5</w:t>
            </w:r>
          </w:p>
        </w:tc>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Data loading, cleaning, transformation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NumPy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 1.23</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Numerical operations and array processing</w:t>
            </w:r>
          </w:p>
        </w:tc>
      </w:tr>
      <w:tr>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Matplotlib</w:t>
            </w:r>
          </w:p>
        </w:tc>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 3.6</w:t>
            </w:r>
          </w:p>
        </w:tc>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Base charting and figure export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Seaborn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 0.12</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Statistical visualisations and heatmaps</w:t>
            </w:r>
          </w:p>
        </w:tc>
      </w:tr>
      <w:tr>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scikit-learn</w:t>
            </w:r>
          </w:p>
        </w:tc>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 1.1</w:t>
            </w:r>
          </w:p>
        </w:tc>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alibri" w:cs="Calibri" w:eastAsia="Calibri" w:hAnsi="Calibri"/>
                <w:color w:val="333333"/>
                <w:sz w:val="20"/>
                <w:szCs w:val="20"/>
              </w:rPr>
              <w:t xml:space="preserve">Linear regression, train-test split, metrics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SciPy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 1.9</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Statistical tests and correlation analysis</w:t>
            </w:r>
          </w:p>
        </w:tc>
      </w:tr>
    </w:tbl>
    <w:p>
      <w:pPr>
        <w:spacing w:after="200"/>
      </w:pPr>
    </w:p>
    <w:p>
      <w:pPr>
        <w:pBdr>
          <w:bottom w:val="single" w:color="83C5BE" w:sz="4" w:space="1"/>
        </w:pBdr>
        <w:spacing w:after="200"/>
      </w:pPr>
    </w:p>
    <w:p>
      <w:pPr>
        <w:pStyle w:val="Heading1"/>
        <w:spacing w:before="360" w:after="120"/>
      </w:pPr>
      <w:r>
        <w:rPr>
          <w:rFonts w:ascii="Calibri" w:cs="Calibri" w:eastAsia="Calibri" w:hAnsi="Calibri"/>
          <w:b/>
          <w:bCs/>
          <w:color w:val="006D77"/>
          <w:sz w:val="32"/>
          <w:szCs w:val="32"/>
        </w:rPr>
        <w:t xml:space="preserve">8. Recommendations</w:t>
      </w:r>
    </w:p>
    <w:p>
      <w:pPr>
        <w:pStyle w:val="ListParagraph"/>
        <w:numPr>
          <w:ilvl w:val="0"/>
          <w:numId w:val="2"/>
        </w:numPr>
        <w:spacing w:after="80"/>
      </w:pPr>
      <w:r>
        <w:rPr>
          <w:rFonts w:ascii="Calibri" w:cs="Calibri" w:eastAsia="Calibri" w:hAnsi="Calibri"/>
          <w:b/>
          <w:bCs/>
          <w:color w:val="333333"/>
          <w:sz w:val="22"/>
          <w:szCs w:val="22"/>
        </w:rPr>
        <w:t xml:space="preserve">Enhanced Feature Engineering: Derive comorbidity proxies and symptom-onset-to-confirmation lag as additional regression features.</w:t>
      </w:r>
    </w:p>
    <w:p>
      <w:pPr>
        <w:pStyle w:val="ListParagraph"/>
        <w:numPr>
          <w:ilvl w:val="0"/>
          <w:numId w:val="2"/>
        </w:numPr>
        <w:spacing w:after="80"/>
      </w:pPr>
      <w:r>
        <w:rPr>
          <w:rFonts w:ascii="Calibri" w:cs="Calibri" w:eastAsia="Calibri" w:hAnsi="Calibri"/>
          <w:b/>
          <w:bCs/>
          <w:color w:val="333333"/>
          <w:sz w:val="22"/>
          <w:szCs w:val="22"/>
        </w:rPr>
        <w:t xml:space="preserve">Non-linear Modelling: Consider Random Forest or Gradient Boosting models to capture non-linear relationships and improve recovery time predictions.</w:t>
      </w:r>
    </w:p>
    <w:p>
      <w:pPr>
        <w:pStyle w:val="ListParagraph"/>
        <w:numPr>
          <w:ilvl w:val="0"/>
          <w:numId w:val="2"/>
        </w:numPr>
        <w:spacing w:after="80"/>
      </w:pPr>
      <w:r>
        <w:rPr>
          <w:rFonts w:ascii="Calibri" w:cs="Calibri" w:eastAsia="Calibri" w:hAnsi="Calibri"/>
          <w:b/>
          <w:bCs/>
          <w:color w:val="333333"/>
          <w:sz w:val="22"/>
          <w:szCs w:val="22"/>
        </w:rPr>
        <w:t xml:space="preserve">Targeted Screening: Prioritise screening resources in high-concentration regions identified in the regional analysis.</w:t>
      </w:r>
    </w:p>
    <w:p>
      <w:pPr>
        <w:pStyle w:val="ListParagraph"/>
        <w:numPr>
          <w:ilvl w:val="0"/>
          <w:numId w:val="2"/>
        </w:numPr>
        <w:spacing w:after="80"/>
      </w:pPr>
      <w:r>
        <w:rPr>
          <w:rFonts w:ascii="Calibri" w:cs="Calibri" w:eastAsia="Calibri" w:hAnsi="Calibri"/>
          <w:b/>
          <w:bCs/>
          <w:color w:val="333333"/>
          <w:sz w:val="22"/>
          <w:szCs w:val="22"/>
        </w:rPr>
        <w:t xml:space="preserve">Demographic-Aware Isolation: Implement age-stratified isolation protocols, particularly for patients aged 60+, given the positive correlation with recovery duration.</w:t>
      </w:r>
    </w:p>
    <w:p>
      <w:pPr>
        <w:pStyle w:val="ListParagraph"/>
        <w:numPr>
          <w:ilvl w:val="0"/>
          <w:numId w:val="2"/>
        </w:numPr>
        <w:spacing w:after="80"/>
      </w:pPr>
      <w:r>
        <w:rPr>
          <w:rFonts w:ascii="Calibri" w:cs="Calibri" w:eastAsia="Calibri" w:hAnsi="Calibri"/>
          <w:b/>
          <w:bCs/>
          <w:color w:val="333333"/>
          <w:sz w:val="22"/>
          <w:szCs w:val="22"/>
        </w:rPr>
        <w:t xml:space="preserve">Data Quality Investment: Improve completeness of infection_reason and contact_number fields — currently the most frequently missing attributes.</w:t>
      </w:r>
    </w:p>
    <w:p>
      <w:pPr>
        <w:pBdr>
          <w:bottom w:val="single" w:color="83C5BE" w:sz="4" w:space="1"/>
        </w:pBdr>
        <w:spacing w:after="200"/>
      </w:pPr>
    </w:p>
    <w:p>
      <w:pPr>
        <w:pStyle w:val="Heading1"/>
        <w:spacing w:before="360" w:after="120"/>
      </w:pPr>
      <w:r>
        <w:rPr>
          <w:rFonts w:ascii="Calibri" w:cs="Calibri" w:eastAsia="Calibri" w:hAnsi="Calibri"/>
          <w:b/>
          <w:bCs/>
          <w:color w:val="006D77"/>
          <w:sz w:val="32"/>
          <w:szCs w:val="32"/>
        </w:rPr>
        <w:t xml:space="preserve">9. Conclusion</w:t>
      </w:r>
    </w:p>
    <w:p>
      <w:pPr>
        <w:spacing w:after="120"/>
        <w:jc w:val="both"/>
      </w:pPr>
      <w:r>
        <w:rPr>
          <w:rFonts w:ascii="Calibri" w:cs="Calibri" w:eastAsia="Calibri" w:hAnsi="Calibri"/>
          <w:color w:val="333333"/>
          <w:sz w:val="22"/>
          <w:szCs w:val="22"/>
        </w:rPr>
        <w:t xml:space="preserve">This analytics project successfully delivered a comprehensive analysis of early COVID-19 case data, addressing all five questions posed by the public health authority. The findings provide actionable demographic intelligence, infection spread insights, and recovery timeline characterisation. The optional linear regression extension provides a data-driven foundation for predicting patient recovery duration.</w:t>
      </w:r>
    </w:p>
    <w:p>
      <w:pPr>
        <w:spacing w:after="120"/>
        <w:jc w:val="both"/>
      </w:pPr>
      <w:r>
        <w:rPr>
          <w:rFonts w:ascii="Calibri" w:cs="Calibri" w:eastAsia="Calibri" w:hAnsi="Calibri"/>
          <w:color w:val="333333"/>
          <w:sz w:val="22"/>
          <w:szCs w:val="22"/>
        </w:rPr>
        <w:t xml:space="preserve">HealthGuard Analytics recommends building on this foundation with richer datasets, advanced machine learning models, and real-time dashboard integration to strengthen the national early response system.</w:t>
      </w:r>
    </w:p>
    <w:p>
      <w:pPr>
        <w:spacing w:after="200"/>
      </w:pPr>
    </w:p>
    <w:p>
      <w:pPr>
        <w:pBdr>
          <w:bottom w:val="single" w:color="83C5BE" w:sz="4" w:space="1"/>
        </w:pBdr>
        <w:spacing w:after="200"/>
      </w:pPr>
    </w:p>
    <w:p>
      <w:pPr>
        <w:pStyle w:val="Heading1"/>
        <w:spacing w:before="360" w:after="120"/>
      </w:pPr>
      <w:r>
        <w:rPr>
          <w:rFonts w:ascii="Calibri" w:cs="Calibri" w:eastAsia="Calibri" w:hAnsi="Calibri"/>
          <w:b/>
          <w:bCs/>
          <w:color w:val="006D77"/>
          <w:sz w:val="32"/>
          <w:szCs w:val="32"/>
        </w:rPr>
        <w:t xml:space="preserve">Appendix – Output Files</w:t>
      </w:r>
    </w:p>
    <w:p>
      <w:pPr>
        <w:spacing w:after="120"/>
        <w:jc w:val="both"/>
      </w:pPr>
      <w:r>
        <w:rPr>
          <w:rFonts w:ascii="Calibri" w:cs="Calibri" w:eastAsia="Calibri" w:hAnsi="Calibri"/>
          <w:color w:val="333333"/>
          <w:sz w:val="22"/>
          <w:szCs w:val="22"/>
        </w:rPr>
        <w:t xml:space="preserve">The following files are generated upon execution of the Python analysis script (covid19_analysis.py):</w:t>
      </w:r>
    </w:p>
    <w:p>
      <w:pPr>
        <w:pStyle w:val="ListParagraph"/>
        <w:numPr>
          <w:ilvl w:val="0"/>
          <w:numId w:val="2"/>
        </w:numPr>
        <w:spacing w:after="80"/>
      </w:pPr>
      <w:r>
        <w:rPr>
          <w:rFonts w:ascii="Calibri" w:cs="Calibri" w:eastAsia="Calibri" w:hAnsi="Calibri"/>
          <w:b w:val="false"/>
          <w:bCs w:val="false"/>
          <w:color w:val="333333"/>
          <w:sz w:val="22"/>
          <w:szCs w:val="22"/>
        </w:rPr>
        <w:t xml:space="preserve">fig1_gender_distribution.png — Pie chart of case gender distribution</w:t>
      </w:r>
    </w:p>
    <w:p>
      <w:pPr>
        <w:pStyle w:val="ListParagraph"/>
        <w:numPr>
          <w:ilvl w:val="0"/>
          <w:numId w:val="2"/>
        </w:numPr>
        <w:spacing w:after="80"/>
      </w:pPr>
      <w:r>
        <w:rPr>
          <w:rFonts w:ascii="Calibri" w:cs="Calibri" w:eastAsia="Calibri" w:hAnsi="Calibri"/>
          <w:b w:val="false"/>
          <w:bCs w:val="false"/>
          <w:color w:val="333333"/>
          <w:sz w:val="22"/>
          <w:szCs w:val="22"/>
        </w:rPr>
        <w:t xml:space="preserve">fig2_age_distribution.png — Histogram &amp; box plot of age by gender</w:t>
      </w:r>
    </w:p>
    <w:p>
      <w:pPr>
        <w:pStyle w:val="ListParagraph"/>
        <w:numPr>
          <w:ilvl w:val="0"/>
          <w:numId w:val="2"/>
        </w:numPr>
        <w:spacing w:after="80"/>
      </w:pPr>
      <w:r>
        <w:rPr>
          <w:rFonts w:ascii="Calibri" w:cs="Calibri" w:eastAsia="Calibri" w:hAnsi="Calibri"/>
          <w:b w:val="false"/>
          <w:bCs w:val="false"/>
          <w:color w:val="333333"/>
          <w:sz w:val="22"/>
          <w:szCs w:val="22"/>
        </w:rPr>
        <w:t xml:space="preserve">fig3_regional_analysis.png — Regional confirmed vs released bar charts</w:t>
      </w:r>
    </w:p>
    <w:p>
      <w:pPr>
        <w:pStyle w:val="ListParagraph"/>
        <w:numPr>
          <w:ilvl w:val="0"/>
          <w:numId w:val="2"/>
        </w:numPr>
        <w:spacing w:after="80"/>
      </w:pPr>
      <w:r>
        <w:rPr>
          <w:rFonts w:ascii="Calibri" w:cs="Calibri" w:eastAsia="Calibri" w:hAnsi="Calibri"/>
          <w:b w:val="false"/>
          <w:bCs w:val="false"/>
          <w:color w:val="333333"/>
          <w:sz w:val="22"/>
          <w:szCs w:val="22"/>
        </w:rPr>
        <w:t xml:space="preserve">fig4_infection_reasons.png — Horizontal bar chart of infection sources</w:t>
      </w:r>
    </w:p>
    <w:p>
      <w:pPr>
        <w:pStyle w:val="ListParagraph"/>
        <w:numPr>
          <w:ilvl w:val="0"/>
          <w:numId w:val="2"/>
        </w:numPr>
        <w:spacing w:after="80"/>
      </w:pPr>
      <w:r>
        <w:rPr>
          <w:rFonts w:ascii="Calibri" w:cs="Calibri" w:eastAsia="Calibri" w:hAnsi="Calibri"/>
          <w:b w:val="false"/>
          <w:bCs w:val="false"/>
          <w:color w:val="333333"/>
          <w:sz w:val="22"/>
          <w:szCs w:val="22"/>
        </w:rPr>
        <w:t xml:space="preserve">fig5_infection_order.png — Bar chart of infection generation distribution</w:t>
      </w:r>
    </w:p>
    <w:p>
      <w:pPr>
        <w:pStyle w:val="ListParagraph"/>
        <w:numPr>
          <w:ilvl w:val="0"/>
          <w:numId w:val="2"/>
        </w:numPr>
        <w:spacing w:after="80"/>
      </w:pPr>
      <w:r>
        <w:rPr>
          <w:rFonts w:ascii="Calibri" w:cs="Calibri" w:eastAsia="Calibri" w:hAnsi="Calibri"/>
          <w:b w:val="false"/>
          <w:bCs w:val="false"/>
          <w:color w:val="333333"/>
          <w:sz w:val="22"/>
          <w:szCs w:val="22"/>
        </w:rPr>
        <w:t xml:space="preserve">fig6_outcomes.png — Case outcome breakdown (released / isolated / deceased)</w:t>
      </w:r>
    </w:p>
    <w:p>
      <w:pPr>
        <w:pStyle w:val="ListParagraph"/>
        <w:numPr>
          <w:ilvl w:val="0"/>
          <w:numId w:val="2"/>
        </w:numPr>
        <w:spacing w:after="80"/>
      </w:pPr>
      <w:r>
        <w:rPr>
          <w:rFonts w:ascii="Calibri" w:cs="Calibri" w:eastAsia="Calibri" w:hAnsi="Calibri"/>
          <w:b w:val="false"/>
          <w:bCs w:val="false"/>
          <w:color w:val="333333"/>
          <w:sz w:val="22"/>
          <w:szCs w:val="22"/>
        </w:rPr>
        <w:t xml:space="preserve">fig7_recovery_timelines.png — Recovery duration histogram &amp; monthly trend</w:t>
      </w:r>
    </w:p>
    <w:p>
      <w:pPr>
        <w:pStyle w:val="ListParagraph"/>
        <w:numPr>
          <w:ilvl w:val="0"/>
          <w:numId w:val="2"/>
        </w:numPr>
        <w:spacing w:after="80"/>
      </w:pPr>
      <w:r>
        <w:rPr>
          <w:rFonts w:ascii="Calibri" w:cs="Calibri" w:eastAsia="Calibri" w:hAnsi="Calibri"/>
          <w:b w:val="false"/>
          <w:bCs w:val="false"/>
          <w:color w:val="333333"/>
          <w:sz w:val="22"/>
          <w:szCs w:val="22"/>
        </w:rPr>
        <w:t xml:space="preserve">fig8_recovery_by_gender.png — Box plot of recovery days by gender</w:t>
      </w:r>
    </w:p>
    <w:p>
      <w:pPr>
        <w:pStyle w:val="ListParagraph"/>
        <w:numPr>
          <w:ilvl w:val="0"/>
          <w:numId w:val="2"/>
        </w:numPr>
        <w:spacing w:after="80"/>
      </w:pPr>
      <w:r>
        <w:rPr>
          <w:rFonts w:ascii="Calibri" w:cs="Calibri" w:eastAsia="Calibri" w:hAnsi="Calibri"/>
          <w:b w:val="false"/>
          <w:bCs w:val="false"/>
          <w:color w:val="333333"/>
          <w:sz w:val="22"/>
          <w:szCs w:val="22"/>
        </w:rPr>
        <w:t xml:space="preserve">fig9_correlation_heatmap.png — Pearson correlation heatmap</w:t>
      </w:r>
    </w:p>
    <w:p>
      <w:pPr>
        <w:pStyle w:val="ListParagraph"/>
        <w:numPr>
          <w:ilvl w:val="0"/>
          <w:numId w:val="2"/>
        </w:numPr>
        <w:spacing w:after="80"/>
      </w:pPr>
      <w:r>
        <w:rPr>
          <w:rFonts w:ascii="Calibri" w:cs="Calibri" w:eastAsia="Calibri" w:hAnsi="Calibri"/>
          <w:b w:val="false"/>
          <w:bCs w:val="false"/>
          <w:color w:val="333333"/>
          <w:sz w:val="22"/>
          <w:szCs w:val="22"/>
        </w:rPr>
        <w:t xml:space="preserve">fig10_regression_analysis.png — Residual &amp; actual vs predicted scatter plots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3C5BE" w:sz="4" w:space="1"/>
      </w:pBdr>
      <w:spacing w:before="80"/>
    </w:pPr>
    <w:r>
      <w:rPr>
        <w:rFonts w:ascii="Calibri" w:cs="Calibri" w:eastAsia="Calibri" w:hAnsi="Calibri"/>
        <w:color w:val="888888"/>
        <w:sz w:val="18"/>
        <w:szCs w:val="18"/>
      </w:rPr>
      <w:t xml:space="preserve">Confidential – For Internal Use Only     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3C5BE" w:sz="4" w:space="1"/>
      </w:pBdr>
      <w:spacing w:after="0"/>
    </w:pPr>
    <w:r>
      <w:rPr>
        <w:rFonts w:ascii="Calibri" w:cs="Calibri" w:eastAsia="Calibri" w:hAnsi="Calibri"/>
        <w:i/>
        <w:iCs/>
        <w:color w:val="888888"/>
        <w:sz w:val="18"/>
        <w:szCs w:val="18"/>
      </w:rPr>
      <w:t xml:space="preserve">HealthGuard Analytics Pvt. Ltd.  |  COVID-19 Trend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Calibri" w:cs="Calibri" w:eastAsia="Calibri" w:hAnsi="Calibri"/>
      <w:b/>
      <w:bCs/>
      <w:color w:val="006D77"/>
      <w:sz w:val="32"/>
      <w:szCs w:val="32"/>
    </w:rPr>
  </w:style>
  <w:style w:type="paragraph" w:styleId="Heading2">
    <w:name w:val="Heading 2"/>
    <w:basedOn w:val="Normal"/>
    <w:next w:val="Normal"/>
    <w:qFormat/>
    <w:pPr>
      <w:spacing w:before="240" w:after="80"/>
      <w:outlineLvl w:val="1"/>
    </w:pPr>
    <w:rPr>
      <w:rFonts w:ascii="Calibri" w:cs="Calibri" w:eastAsia="Calibri" w:hAnsi="Calibri"/>
      <w:b/>
      <w:bCs/>
      <w:color w:val="2D374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2026-03-21T17:26:02.677Z</dcterms:created>
  <dcterms:modified xsi:type="dcterms:W3CDTF">2026-03-21T17:26:02.678Z</dcterms:modified>
</cp:coreProperties>
</file>

<file path=docProps/custom.xml><?xml version="1.0" encoding="utf-8"?>
<Properties xmlns="http://schemas.openxmlformats.org/officeDocument/2006/custom-properties" xmlns:vt="http://schemas.openxmlformats.org/officeDocument/2006/docPropsVTypes"/>
</file>