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i w:val="1"/>
          <w:iCs w:val="1"/>
          <w:u w:val="single"/>
        </w:rPr>
      </w:pPr>
      <w:bookmarkStart w:colFirst="0" w:colLast="0" w:name="_wigdohmhi8vp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SINGAPORE PRIME HOME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Locations and Associated Landmarks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Phoenix Citadel Mall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Sheraton Grand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Palace Indore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The Emerald Heights World School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Key Insights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The presence of well-known landmarks and institutions nearby (such as Phoenix Citadel Mall and The Emerald Heights World School) suggests the office is situated in a well-developed and accessible area.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**Customer support is available via a dedicated helpline number, indicating a structured customer service approach.**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The multiple references to social media handles (roots_n_roofs) imply the company maintains an active online presence, potentially across platforms for marketing or communication.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Locations of Interest Nearby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Landmark/Entity            | Description/Category  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|---------------------------|------------------------------|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Phoenix Citadel Mall       | Shopping Mall         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Sheraton Grand            | Hotel                        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Palace Indore             | *Not specified* (Likely a commercial or hospitality venue)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The Emerald Heights World School | Educational Institution |</w:t>
        <w:br w:type="textWrapping"/>
        <w:br w:type="textWrapping"/>
        <w:t xml:space="preserve">Plot Size: 25 X 60, 20 X 50 sq ft.</w:t>
        <w:br w:type="textWrapping"/>
        <w:br w:type="textWrapping"/>
        <w:t xml:space="preserve">Amenities: 24m x 18m wide road, overhead water tank, cctv, garden, kids playing area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RERA no. : P-IND-25-5729</w:t>
        <w:br w:type="textWrapping"/>
        <w:br w:type="textWrapping"/>
        <w:t xml:space="preserve">Gallery: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95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