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Arial" w:cs="Arial" w:eastAsia="Arial" w:hAnsi="Arial"/>
          <w:b/>
          <w:bCs/>
          <w:color w:val="1F3864"/>
          <w:sz w:val="40"/>
          <w:szCs w:val="40"/>
        </w:rPr>
        <w:t xml:space="preserve">Task 2 – Analyst OS, Elicitation &amp; Responsible AI</w:t>
      </w:r>
    </w:p>
    <w:p>
      <w:pPr>
        <w:spacing w:after="400"/>
        <w:jc w:val="center"/>
      </w:pPr>
      <w:r>
        <w:rPr>
          <w:rFonts w:ascii="Arial" w:cs="Arial" w:eastAsia="Arial" w:hAnsi="Arial"/>
          <w:color w:val="595959"/>
          <w:sz w:val="28"/>
          <w:szCs w:val="28"/>
        </w:rPr>
        <w:t xml:space="preserve">Part A – Theory Questions</w:t>
      </w:r>
    </w:p>
    <w:p>
      <w:pPr>
        <w:pBdr>
          <w:bottom w:val="single" w:color="2E75B6" w:sz="6" w:space="1"/>
        </w:pBdr>
      </w:pPr>
      <w:r>
        <w:t xml:space="preserve"/>
      </w:r>
    </w:p>
    <w:p>
      <w:r>
        <w:t xml:space="preserve"/>
      </w:r>
    </w:p>
    <w:p>
      <w:pPr>
        <w:pStyle w:val="Heading1"/>
      </w:pPr>
      <w:r>
        <w:rPr>
          <w:rFonts w:ascii="Arial" w:cs="Arial" w:eastAsia="Arial" w:hAnsi="Arial"/>
          <w:b/>
          <w:bCs/>
          <w:color w:val="1F3864"/>
          <w:sz w:val="32"/>
          <w:szCs w:val="32"/>
        </w:rPr>
        <w:t xml:space="preserve">Question 1: Two Components of the Analyst OS</w:t>
      </w:r>
    </w:p>
    <w:p>
      <w:r>
        <w:t xml:space="preserve"/>
      </w:r>
    </w:p>
    <w:p>
      <w:pPr>
        <w:pStyle w:val="Heading2"/>
      </w:pPr>
      <w:r>
        <w:rPr>
          <w:rFonts w:ascii="Arial" w:cs="Arial" w:eastAsia="Arial" w:hAnsi="Arial"/>
          <w:b/>
          <w:bCs/>
          <w:color w:val="2E75B6"/>
          <w:sz w:val="26"/>
          <w:szCs w:val="26"/>
        </w:rPr>
        <w:t xml:space="preserve">Component 1 – AI-Assisted Requirements Engine</w:t>
      </w:r>
    </w:p>
    <w:p>
      <w:pPr>
        <w:spacing w:after="160"/>
      </w:pPr>
      <w:r>
        <w:rPr>
          <w:rFonts w:ascii="Arial" w:cs="Arial" w:eastAsia="Arial" w:hAnsi="Arial"/>
          <w:sz w:val="24"/>
          <w:szCs w:val="24"/>
        </w:rPr>
        <w:t xml:space="preserve">The AI-Assisted Requirements Engine is the core productivity layer of the Analyst OS. It uses large language models (LLMs) to help business analysts convert raw stakeholder conversations, interview notes, and workshop outputs into structured, formal requirements artefacts automatically.</w:t>
      </w:r>
    </w:p>
    <w:p>
      <w:pPr>
        <w:spacing w:after="160"/>
      </w:pPr>
      <w:r>
        <w:rPr>
          <w:rFonts w:ascii="Arial" w:cs="Arial" w:eastAsia="Arial" w:hAnsi="Arial"/>
          <w:b/>
          <w:bCs/>
          <w:sz w:val="24"/>
          <w:szCs w:val="24"/>
        </w:rPr>
        <w:t xml:space="preserve">Role in producing stakeholder-ready artefacts: </w:t>
      </w:r>
      <w:r>
        <w:rPr>
          <w:rFonts w:ascii="Arial" w:cs="Arial" w:eastAsia="Arial" w:hAnsi="Arial"/>
          <w:sz w:val="24"/>
          <w:szCs w:val="24"/>
        </w:rPr>
        <w:t xml:space="preserve">This component dramatically reduces the time needed to draft Business Requirements Documents (BRDs), use cases, and acceptance criteria. It enforces standard templates and language, ensuring every deliverable meets quality thresholds before it reaches the stakeholder. By auto-generating first drafts, it frees analysts to focus on validation and stakeholder alignment rather than document formatting.</w:t>
      </w:r>
    </w:p>
    <w:p>
      <w:r>
        <w:t xml:space="preserve"/>
      </w:r>
    </w:p>
    <w:p>
      <w:pPr>
        <w:pStyle w:val="Heading2"/>
      </w:pPr>
      <w:r>
        <w:rPr>
          <w:rFonts w:ascii="Arial" w:cs="Arial" w:eastAsia="Arial" w:hAnsi="Arial"/>
          <w:b/>
          <w:bCs/>
          <w:color w:val="2E75B6"/>
          <w:sz w:val="26"/>
          <w:szCs w:val="26"/>
        </w:rPr>
        <w:t xml:space="preserve">Component 2 – Traceability &amp; Artefact Management Layer</w:t>
      </w:r>
    </w:p>
    <w:p>
      <w:pPr>
        <w:spacing w:after="160"/>
      </w:pPr>
      <w:r>
        <w:rPr>
          <w:rFonts w:ascii="Arial" w:cs="Arial" w:eastAsia="Arial" w:hAnsi="Arial"/>
          <w:sz w:val="24"/>
          <w:szCs w:val="24"/>
        </w:rPr>
        <w:t xml:space="preserve">The Traceability &amp; Artefact Management Layer maintains a living, auditable map that links every business goal to its corresponding requirements, test cases, and final deliverables. It tracks changes, version history, and approvals across the project lifecycle.</w:t>
      </w:r>
    </w:p>
    <w:p>
      <w:pPr>
        <w:spacing w:after="160"/>
      </w:pPr>
      <w:r>
        <w:rPr>
          <w:rFonts w:ascii="Arial" w:cs="Arial" w:eastAsia="Arial" w:hAnsi="Arial"/>
          <w:b/>
          <w:bCs/>
          <w:sz w:val="24"/>
          <w:szCs w:val="24"/>
        </w:rPr>
        <w:t xml:space="preserve">Role in producing stakeholder-ready artefacts: </w:t>
      </w:r>
      <w:r>
        <w:rPr>
          <w:rFonts w:ascii="Arial" w:cs="Arial" w:eastAsia="Arial" w:hAnsi="Arial"/>
          <w:sz w:val="24"/>
          <w:szCs w:val="24"/>
        </w:rPr>
        <w:t xml:space="preserve">This component ensures that nothing is lost or misaligned as requirements evolve. Stakeholders receive artefacts that are consistent, version-controlled, and traceable back to original business objectives. It supports impact analysis so that when scope changes, affected artefacts are flagged immediately, keeping all documentation accurate and presentation-ready at any point in the project.</w:t>
      </w:r>
    </w:p>
    <w:p>
      <w:r>
        <w:t xml:space="preserve"/>
      </w:r>
    </w:p>
    <w:p>
      <w:pPr>
        <w:pBdr>
          <w:bottom w:val="single" w:color="2E75B6" w:sz="6" w:space="1"/>
        </w:pBdr>
      </w:pPr>
      <w:r>
        <w:t xml:space="preserve"/>
      </w:r>
    </w:p>
    <w:p>
      <w:r>
        <w:t xml:space="preserve"/>
      </w:r>
    </w:p>
    <w:p>
      <w:pPr>
        <w:pStyle w:val="Heading1"/>
      </w:pPr>
      <w:r>
        <w:rPr>
          <w:rFonts w:ascii="Arial" w:cs="Arial" w:eastAsia="Arial" w:hAnsi="Arial"/>
          <w:b/>
          <w:bCs/>
          <w:color w:val="1F3864"/>
          <w:sz w:val="32"/>
          <w:szCs w:val="32"/>
        </w:rPr>
        <w:t xml:space="preserve">Question 2: Elicitation – Definition and Techniques</w:t>
      </w:r>
    </w:p>
    <w:p>
      <w:r>
        <w:t xml:space="preserve"/>
      </w:r>
    </w:p>
    <w:p>
      <w:pPr>
        <w:pStyle w:val="Heading2"/>
      </w:pPr>
      <w:r>
        <w:rPr>
          <w:rFonts w:ascii="Arial" w:cs="Arial" w:eastAsia="Arial" w:hAnsi="Arial"/>
          <w:b/>
          <w:bCs/>
          <w:color w:val="2E75B6"/>
          <w:sz w:val="26"/>
          <w:szCs w:val="26"/>
        </w:rPr>
        <w:t xml:space="preserve">Definition of Elicitation</w:t>
      </w:r>
    </w:p>
    <w:p>
      <w:pPr>
        <w:spacing w:after="160"/>
      </w:pPr>
      <w:r>
        <w:rPr>
          <w:rFonts w:ascii="Arial" w:cs="Arial" w:eastAsia="Arial" w:hAnsi="Arial"/>
          <w:sz w:val="24"/>
          <w:szCs w:val="24"/>
        </w:rPr>
        <w:t xml:space="preserve">Elicitation is the deliberate, structured process by which a business analyst identifies, draws out, and captures the needs, expectations, and constraints of stakeholders and subject-matter experts. It goes beyond simply asking questions—it involves active listening, observation, research, and collaboration to uncover both explicit requirements (what stakeholders say they want) and implicit requirements (unstated needs, assumptions, and pain points) that underpin a real-world problem or opportunity.</w:t>
      </w:r>
    </w:p>
    <w:p>
      <w:r>
        <w:t xml:space="preserve"/>
      </w:r>
    </w:p>
    <w:p>
      <w:pPr>
        <w:pStyle w:val="Heading2"/>
      </w:pPr>
      <w:r>
        <w:rPr>
          <w:rFonts w:ascii="Arial" w:cs="Arial" w:eastAsia="Arial" w:hAnsi="Arial"/>
          <w:b/>
          <w:bCs/>
          <w:color w:val="2E75B6"/>
          <w:sz w:val="26"/>
          <w:szCs w:val="26"/>
        </w:rPr>
        <w:t xml:space="preserve">Elicitation Technique 1 – Interviews</w:t>
      </w:r>
    </w:p>
    <w:p>
      <w:pPr>
        <w:spacing w:after="160"/>
      </w:pPr>
      <w:r>
        <w:rPr>
          <w:rFonts w:ascii="Arial" w:cs="Arial" w:eastAsia="Arial" w:hAnsi="Arial"/>
          <w:sz w:val="24"/>
          <w:szCs w:val="24"/>
        </w:rPr>
        <w:t xml:space="preserve">Interviews are one-on-one or small-group structured or semi-structured conversations between the analyst and key stakeholders. The analyst prepares open-ended and closed questions to guide the dialogue while allowing the interviewee to elaborate on challenges and goals.</w:t>
      </w:r>
    </w:p>
    <w:p>
      <w:pPr>
        <w:spacing w:after="160"/>
      </w:pPr>
      <w:r>
        <w:rPr>
          <w:rFonts w:ascii="Arial" w:cs="Arial" w:eastAsia="Arial" w:hAnsi="Arial"/>
          <w:b/>
          <w:bCs/>
          <w:sz w:val="24"/>
          <w:szCs w:val="24"/>
        </w:rPr>
        <w:t xml:space="preserve">Why suitable for real-world problems: </w:t>
      </w:r>
      <w:r>
        <w:rPr>
          <w:rFonts w:ascii="Arial" w:cs="Arial" w:eastAsia="Arial" w:hAnsi="Arial"/>
          <w:sz w:val="24"/>
          <w:szCs w:val="24"/>
        </w:rPr>
        <w:t xml:space="preserve">Interviews allow the analyst to probe deeply into a specific stakeholder's perspective, capture nuanced pain points, and build rapport. They are particularly effective for understanding complex business rules, decision-making processes, and political or organisational constraints that rarely appear in documents.</w:t>
      </w:r>
    </w:p>
    <w:p>
      <w:r>
        <w:t xml:space="preserve"/>
      </w:r>
    </w:p>
    <w:p>
      <w:pPr>
        <w:pStyle w:val="Heading2"/>
      </w:pPr>
      <w:r>
        <w:rPr>
          <w:rFonts w:ascii="Arial" w:cs="Arial" w:eastAsia="Arial" w:hAnsi="Arial"/>
          <w:b/>
          <w:bCs/>
          <w:color w:val="2E75B6"/>
          <w:sz w:val="26"/>
          <w:szCs w:val="26"/>
        </w:rPr>
        <w:t xml:space="preserve">Elicitation Technique 2 – Observation (Job Shadowing / GOMS)</w:t>
      </w:r>
    </w:p>
    <w:p>
      <w:pPr>
        <w:spacing w:after="160"/>
      </w:pPr>
      <w:r>
        <w:rPr>
          <w:rFonts w:ascii="Arial" w:cs="Arial" w:eastAsia="Arial" w:hAnsi="Arial"/>
          <w:sz w:val="24"/>
          <w:szCs w:val="24"/>
        </w:rPr>
        <w:t xml:space="preserve">Observation involves the analyst watching end-users perform their actual day-to-day tasks in their real working environment, without intervening. This can be passive (silent observation) or active (asking clarifying questions as tasks are performed).</w:t>
      </w:r>
    </w:p>
    <w:p>
      <w:pPr>
        <w:spacing w:after="160"/>
      </w:pPr>
      <w:r>
        <w:rPr>
          <w:rFonts w:ascii="Arial" w:cs="Arial" w:eastAsia="Arial" w:hAnsi="Arial"/>
          <w:b/>
          <w:bCs/>
          <w:sz w:val="24"/>
          <w:szCs w:val="24"/>
        </w:rPr>
        <w:t xml:space="preserve">Why suitable for real-world problems: </w:t>
      </w:r>
      <w:r>
        <w:rPr>
          <w:rFonts w:ascii="Arial" w:cs="Arial" w:eastAsia="Arial" w:hAnsi="Arial"/>
          <w:sz w:val="24"/>
          <w:szCs w:val="24"/>
        </w:rPr>
        <w:t xml:space="preserve">People often describe how they think they work, not how they actually work. Observation uncovers workarounds, inefficiencies, and undocumented processes that stakeholders take for granted or forget to mention. It provides ground-truth evidence of real operational problems, which is invaluable for defining accurate and actionable requirements.</w:t>
      </w:r>
    </w:p>
    <w:p>
      <w:r>
        <w:t xml:space="preserve"/>
      </w:r>
    </w:p>
    <w:p>
      <w:pPr>
        <w:pBdr>
          <w:bottom w:val="single" w:color="2E75B6" w:sz="6" w:space="1"/>
        </w:pBdr>
      </w:pPr>
      <w:r>
        <w:t xml:space="preserve"/>
      </w:r>
    </w:p>
    <w:p>
      <w:r>
        <w:t xml:space="preserve"/>
      </w:r>
    </w:p>
    <w:p>
      <w:pPr>
        <w:pStyle w:val="Heading1"/>
      </w:pPr>
      <w:r>
        <w:rPr>
          <w:rFonts w:ascii="Arial" w:cs="Arial" w:eastAsia="Arial" w:hAnsi="Arial"/>
          <w:b/>
          <w:bCs/>
          <w:color w:val="1F3864"/>
          <w:sz w:val="32"/>
          <w:szCs w:val="32"/>
        </w:rPr>
        <w:t xml:space="preserve">Question 3: Two Responsible AI Controls for Analysts</w:t>
      </w:r>
    </w:p>
    <w:p>
      <w:r>
        <w:t xml:space="preserve"/>
      </w:r>
    </w:p>
    <w:p>
      <w:pPr>
        <w:pStyle w:val="Heading2"/>
      </w:pPr>
      <w:r>
        <w:rPr>
          <w:rFonts w:ascii="Arial" w:cs="Arial" w:eastAsia="Arial" w:hAnsi="Arial"/>
          <w:b/>
          <w:bCs/>
          <w:color w:val="2E75B6"/>
          <w:sz w:val="26"/>
          <w:szCs w:val="26"/>
        </w:rPr>
        <w:t xml:space="preserve">Control 1 – Human-in-the-Loop Validation</w:t>
      </w:r>
    </w:p>
    <w:p>
      <w:pPr>
        <w:spacing w:after="160"/>
      </w:pPr>
      <w:r>
        <w:rPr>
          <w:rFonts w:ascii="Arial" w:cs="Arial" w:eastAsia="Arial" w:hAnsi="Arial"/>
          <w:sz w:val="24"/>
          <w:szCs w:val="24"/>
        </w:rPr>
        <w:t xml:space="preserve">No AI-generated artefact should be delivered to a stakeholder without human review and sign-off. The analyst must critically evaluate every output produced by an AI tool—checking for factual accuracy, logical consistency, alignment with actual stakeholder needs, and absence of hallucinations or bias—before it is used or shared.</w:t>
      </w:r>
    </w:p>
    <w:p>
      <w:pPr>
        <w:spacing w:after="160"/>
      </w:pPr>
      <w:r>
        <w:rPr>
          <w:rFonts w:ascii="Arial" w:cs="Arial" w:eastAsia="Arial" w:hAnsi="Arial"/>
          <w:b/>
          <w:bCs/>
          <w:sz w:val="24"/>
          <w:szCs w:val="24"/>
        </w:rPr>
        <w:t xml:space="preserve">Why it matters: </w:t>
      </w:r>
      <w:r>
        <w:rPr>
          <w:rFonts w:ascii="Arial" w:cs="Arial" w:eastAsia="Arial" w:hAnsi="Arial"/>
          <w:sz w:val="24"/>
          <w:szCs w:val="24"/>
        </w:rPr>
        <w:t xml:space="preserve">AI models can confidently produce incorrect, biased, or context-inappropriate content. Analysts bear professional responsibility for the artefacts they deliver. Treating AI output as a first draft rather than a final product protects project integrity, stakeholder trust, and organisational credibility.</w:t>
      </w:r>
    </w:p>
    <w:p>
      <w:r>
        <w:t xml:space="preserve"/>
      </w:r>
    </w:p>
    <w:p>
      <w:pPr>
        <w:pStyle w:val="Heading2"/>
      </w:pPr>
      <w:r>
        <w:rPr>
          <w:rFonts w:ascii="Arial" w:cs="Arial" w:eastAsia="Arial" w:hAnsi="Arial"/>
          <w:b/>
          <w:bCs/>
          <w:color w:val="2E75B6"/>
          <w:sz w:val="26"/>
          <w:szCs w:val="26"/>
        </w:rPr>
        <w:t xml:space="preserve">Control 2 – Data Privacy and Confidentiality Compliance</w:t>
      </w:r>
    </w:p>
    <w:p>
      <w:pPr>
        <w:spacing w:after="160"/>
      </w:pPr>
      <w:r>
        <w:rPr>
          <w:rFonts w:ascii="Arial" w:cs="Arial" w:eastAsia="Arial" w:hAnsi="Arial"/>
          <w:sz w:val="24"/>
          <w:szCs w:val="24"/>
        </w:rPr>
        <w:t xml:space="preserve">Analysts must ensure that sensitive, personal, or proprietary information is never entered into public or unvetted AI tools. This includes personally identifiable information (PII), confidential business data, client records, and any information governed by regulations such as GDPR, HIPAA, or organisational data-handling policies.</w:t>
      </w:r>
    </w:p>
    <w:p>
      <w:pPr>
        <w:spacing w:after="160"/>
      </w:pPr>
      <w:r>
        <w:rPr>
          <w:rFonts w:ascii="Arial" w:cs="Arial" w:eastAsia="Arial" w:hAnsi="Arial"/>
          <w:b/>
          <w:bCs/>
          <w:sz w:val="24"/>
          <w:szCs w:val="24"/>
        </w:rPr>
        <w:t xml:space="preserve">Why it matters: </w:t>
      </w:r>
      <w:r>
        <w:rPr>
          <w:rFonts w:ascii="Arial" w:cs="Arial" w:eastAsia="Arial" w:hAnsi="Arial"/>
          <w:sz w:val="24"/>
          <w:szCs w:val="24"/>
        </w:rPr>
        <w:t xml:space="preserve">Inputting sensitive data into external AI platforms may expose it to model training pipelines or third-party storage, creating legal liability and breaching stakeholder trust. Responsible use requires either anonymising data before use, using enterprise-grade AI tools with appropriate data agreements, or consulting the organisation's data governance policy before proceeding.</w:t>
      </w:r>
    </w:p>
    <w:p>
      <w:r>
        <w:t xml:space="preserve"/>
      </w:r>
    </w:p>
    <w:p>
      <w:pPr>
        <w:pBdr>
          <w:bottom w:val="single" w:color="2E75B6" w:sz="6" w:space="1"/>
        </w:pBdr>
      </w:pPr>
      <w:r>
        <w:t xml:space="preserve"/>
      </w:r>
    </w:p>
    <w:p>
      <w:r>
        <w:t xml:space="preserve"/>
      </w:r>
    </w:p>
    <w:p>
      <w:pPr>
        <w:jc w:val="center"/>
      </w:pPr>
      <w:r>
        <w:rPr>
          <w:rFonts w:ascii="Arial" w:cs="Arial" w:eastAsia="Arial" w:hAnsi="Arial"/>
          <w:i/>
          <w:iCs/>
          <w:color w:val="595959"/>
          <w:sz w:val="22"/>
          <w:szCs w:val="22"/>
        </w:rPr>
        <w:t xml:space="preserve">End of Part A – Theory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2026-02-21T17:09:41.906Z</dcterms:created>
  <dcterms:modified xsi:type="dcterms:W3CDTF">2026-02-21T17:09:41.907Z</dcterms:modified>
</cp:coreProperties>
</file>

<file path=docProps/custom.xml><?xml version="1.0" encoding="utf-8"?>
<Properties xmlns="http://schemas.openxmlformats.org/officeDocument/2006/custom-properties" xmlns:vt="http://schemas.openxmlformats.org/officeDocument/2006/docPropsVTypes"/>
</file>