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60"/>
        <w:jc w:val="center"/>
      </w:pPr>
      <w:r>
        <w:rPr>
          <w:rFonts w:ascii="Times New Roman" w:hAnsi="Times New Roman" w:cs="Times New Roman"/>
          <w:b/>
          <w:sz w:val="34"/>
          <w:szCs w:val="34"/>
        </w:rPr>
        <w:t xml:space="preserve">Say Less, Never Mislead</w:t>
      </w:r>
    </w:p>
    <w:p>
      <w:pPr>
        <w:spacing w:before="0" w:after="160"/>
        <w:jc w:val="center"/>
      </w:pPr>
      <w:r>
        <w:rPr>
          <w:rFonts w:ascii="Times New Roman" w:hAnsi="Times New Roman" w:cs="Times New Roman"/>
          <w:sz w:val="23"/>
          <w:szCs w:val="23"/>
        </w:rPr>
        <w:t xml:space="preserve">Cross-Layer Selective Abstention in an Offline Assistive Perception System, Extended to a Tool-Mediated Voice Agent</w:t>
      </w:r>
    </w:p>
    <w:p>
      <w:pPr>
        <w:spacing w:before="0" w:after="20"/>
        <w:jc w:val="center"/>
      </w:pPr>
      <w:r>
        <w:rPr>
          <w:rFonts w:ascii="Times New Roman" w:hAnsi="Times New Roman" w:cs="Times New Roman"/>
          <w:sz w:val="22"/>
          <w:szCs w:val="22"/>
        </w:rPr>
        <w:t xml:space="preserve">Aditya</w:t>
      </w:r>
    </w:p>
    <w:p>
      <w:pPr>
        <w:spacing w:before="0" w:after="20"/>
        <w:jc w:val="center"/>
      </w:pPr>
      <w:r>
        <w:rPr>
          <w:rFonts w:ascii="Times New Roman" w:hAnsi="Times New Roman" w:cs="Times New Roman"/>
          <w:sz w:val="17"/>
          <w:szCs w:val="17"/>
        </w:rPr>
        <w:t xml:space="preserve">Add affiliation, Add city, Add country</w:t>
      </w:r>
    </w:p>
    <w:p>
      <w:pPr>
        <w:spacing w:before="0" w:after="20"/>
        <w:jc w:val="center"/>
      </w:pPr>
      <w:r>
        <w:rPr>
          <w:rFonts w:ascii="Times New Roman" w:hAnsi="Times New Roman" w:cs="Times New Roman"/>
          <w:sz w:val="17"/>
          <w:szCs w:val="17"/>
        </w:rPr>
        <w:t xml:space="preserve">aditya17sep@gmail.com</w:t>
      </w:r>
    </w:p>
    <w:p>
      <w:pPr>
        <w:spacing w:before="0" w:after="60"/>
      </w:pPr>
      <w:r>
        <w:rPr>
          <w:rFonts w:ascii="Times New Roman" w:hAnsi="Times New Roman" w:cs="Times New Roman"/>
          <w:sz w:val="18"/>
          <w:szCs w:val="18"/>
        </w:rPr>
        <w:t xml:space="preserve"/>
      </w:r>
    </w:p>
    <w:p>
      <w:pPr>
        <w:sectPr>
          <w:type w:val="continuous"/>
          <w:pgSz w:w="12240" w:h="15840"/>
          <w:pgMar w:top="1080" w:right="1080" w:bottom="1440" w:left="1080" w:header="720" w:footer="720" w:gutter="0"/>
          <w:cols w:space="720"/>
        </w:sectPr>
      </w:pPr>
    </w:p>
    <w:p>
      <w:pPr>
        <w:keepNext/>
        <w:spacing w:before="170" w:after="60"/>
      </w:pPr>
      <w:r>
        <w:rPr>
          <w:rFonts w:ascii="Times New Roman" w:hAnsi="Times New Roman" w:cs="Times New Roman"/>
          <w:b/>
          <w:sz w:val="19"/>
          <w:szCs w:val="19"/>
        </w:rPr>
        <w:t xml:space="preserve">ABSTRACT</w:t>
      </w:r>
    </w:p>
    <w:p>
      <w:pPr>
        <w:spacing w:before="0" w:after="0" w:line="216" w:lineRule="auto"/>
        <w:ind w:firstLine="0"/>
        <w:jc w:val="both"/>
      </w:pPr>
      <w:r>
        <w:rPr>
          <w:rFonts w:ascii="Times New Roman" w:hAnsi="Times New Roman" w:cs="Times New Roman"/>
          <w:sz w:val="18"/>
          <w:szCs w:val="18"/>
        </w:rPr>
        <w:t xml:space="preserve">Sighted users silently discard a system's wrong answers; blind users cannot. We report BlindAssist, an offline camera-based guidance system for blind and low-vision users, and argue that </w:t>
      </w:r>
      <w:r>
        <w:rPr>
          <w:rFonts w:ascii="Times New Roman" w:hAnsi="Times New Roman" w:cs="Times New Roman"/>
          <w:i/>
          <w:sz w:val="18"/>
          <w:szCs w:val="18"/>
        </w:rPr>
        <w:t xml:space="preserve">selective abstention</w:t>
      </w:r>
      <w:r>
        <w:rPr>
          <w:rFonts w:ascii="Times New Roman" w:hAnsi="Times New Roman" w:cs="Times New Roman"/>
          <w:sz w:val="18"/>
          <w:szCs w:val="18"/>
        </w:rPr>
        <w:t xml:space="preserve">—declining to speak when an output would be unreliable—is a first-class design objective at every layer, not an error-handling detail. We describe five mechanisms spanning perception (reliability-gated metric distance), planning (an openness threshold that can answer “stop”), transport (no-data distinguished from verified-clear), attention (proximity-gated warnings with an on-demand directional counterpart), and dialogue: a tool-mediated voice agent in which a local offline language model selects among fourteen deterministic capabilities and authors no guidance. On 200 labelled utterances, deterministic-first two-tier routing improves overall accuracy from 39.5% to 53.0% while keeping 100% on trained phrasings that an LLM-only router drops to 45.0%, and the same model asked to answer freely rather than to choose a tool fabricates perceptual content in 42.5% of responses. It also costs: out-of-scope over-triggering rises from 5.0% to 55.0%. A spoken-input condition, recorded by two speakers who did not author the set, then removes most of the agent layer's remaining advantage — two-tier's margin over the keyword baseline falls from 6.8 points to 0.9 — while the deterministic tier's abstention survives intact. We report both as negative results rather than tune them away.</w:t>
      </w:r>
    </w:p>
    <w:p>
      <w:pPr>
        <w:spacing w:before="70" w:after="40"/>
        <w:jc w:val="both"/>
      </w:pPr>
      <w:r>
        <w:rPr>
          <w:rFonts w:ascii="Times New Roman" w:hAnsi="Times New Roman" w:cs="Times New Roman"/>
          <w:b/>
          <w:sz w:val="18"/>
          <w:szCs w:val="18"/>
        </w:rPr>
        <w:t xml:space="preserve">CCS Concepts: </w:t>
      </w:r>
      <w:r>
        <w:rPr>
          <w:rFonts w:ascii="Times New Roman" w:hAnsi="Times New Roman" w:cs="Times New Roman"/>
          <w:sz w:val="16"/>
          <w:szCs w:val="16"/>
        </w:rPr>
        <w:t xml:space="preserve">• Human-centered computing → Accessibility technologies; Ubiquitous and mobile computing; • Computing methodologies → Artificial intelligence.</w:t>
      </w:r>
    </w:p>
    <w:p>
      <w:pPr>
        <w:spacing w:before="0" w:after="40"/>
        <w:jc w:val="both"/>
      </w:pPr>
      <w:r>
        <w:rPr>
          <w:rFonts w:ascii="Times New Roman" w:hAnsi="Times New Roman" w:cs="Times New Roman"/>
          <w:b/>
          <w:sz w:val="18"/>
          <w:szCs w:val="18"/>
        </w:rPr>
        <w:t xml:space="preserve">Keywords: </w:t>
      </w:r>
      <w:r>
        <w:rPr>
          <w:rFonts w:ascii="Times New Roman" w:hAnsi="Times New Roman" w:cs="Times New Roman"/>
          <w:sz w:val="16"/>
          <w:szCs w:val="16"/>
        </w:rPr>
        <w:t xml:space="preserve">blind and low-vision users, assistive technology, abstention, on-device machine learning, voice agents, tool use, hallucination</w:t>
      </w:r>
    </w:p>
    <w:p>
      <w:pPr>
        <w:keepNext/>
        <w:spacing w:before="170" w:after="60"/>
      </w:pPr>
      <w:r>
        <w:rPr>
          <w:rFonts w:ascii="Times New Roman" w:hAnsi="Times New Roman" w:cs="Times New Roman"/>
          <w:b/>
          <w:sz w:val="19"/>
          <w:szCs w:val="19"/>
        </w:rPr>
        <w:t xml:space="preserve">1  INTRODUCTION</w:t>
      </w:r>
    </w:p>
    <w:p>
      <w:pPr>
        <w:spacing w:before="0" w:after="0" w:line="216" w:lineRule="auto"/>
        <w:ind w:firstLine="0"/>
        <w:jc w:val="both"/>
      </w:pPr>
      <w:r>
        <w:rPr>
          <w:rFonts w:ascii="Times New Roman" w:hAnsi="Times New Roman" w:cs="Times New Roman"/>
          <w:sz w:val="18"/>
          <w:szCs w:val="18"/>
        </w:rPr>
        <w:t xml:space="preserve">A sighted person using an assistive app performs a silent, continuous audit. The app says “chair on your right”; they glance right; there is no chair; they discard the claim and lose nothing. That audit loop is invisible in design documents precisely because it is free.</w:t>
      </w:r>
    </w:p>
    <w:p>
      <w:pPr>
        <w:spacing w:before="0" w:after="0" w:line="216" w:lineRule="auto"/>
        <w:ind w:firstLine="201"/>
        <w:jc w:val="both"/>
      </w:pPr>
      <w:r>
        <w:rPr>
          <w:rFonts w:ascii="Times New Roman" w:hAnsi="Times New Roman" w:cs="Times New Roman"/>
          <w:sz w:val="18"/>
          <w:szCs w:val="18"/>
        </w:rPr>
        <w:t xml:space="preserve">For a blind user it does not exist. Every spoken claim is accepted or acted on, because there is no cheap channel to check it against. The asymmetry is not hypothetical: blind readers of machine-generated image captions have been shown to construct elaborate and confident interpretations of descriptions that were simply wrong, because nothing in the interaction offered grounds for doubt [24], and the same pattern recurs with generative assistants, whose fluency is itself read as a reliability signal [1, 45]. The human-factors literature supplies the other half: unreliable automation does not merely fail to help, it drives disuse of the aid as a whole [32, 20], and below a reliability crossover an imperfect alert is worse than no alert at all [49, 5].</w:t>
      </w:r>
    </w:p>
    <w:p>
      <w:pPr>
        <w:spacing w:before="0" w:after="0" w:line="216" w:lineRule="auto"/>
        <w:ind w:firstLine="201"/>
        <w:jc w:val="both"/>
      </w:pPr>
      <w:r>
        <w:rPr>
          <w:rFonts w:ascii="Times New Roman" w:hAnsi="Times New Roman" w:cs="Times New Roman"/>
          <w:sz w:val="18"/>
          <w:szCs w:val="18"/>
        </w:rPr>
        <w:t xml:space="preserve">This inverts a default that most interactive systems take for granted: </w:t>
      </w:r>
      <w:r>
        <w:rPr>
          <w:rFonts w:ascii="Times New Roman" w:hAnsi="Times New Roman" w:cs="Times New Roman"/>
          <w:i/>
          <w:sz w:val="18"/>
          <w:szCs w:val="18"/>
        </w:rPr>
        <w:t xml:space="preserve">answer something</w:t>
      </w:r>
      <w:r>
        <w:rPr>
          <w:rFonts w:ascii="Times New Roman" w:hAnsi="Times New Roman" w:cs="Times New Roman"/>
          <w:sz w:val="18"/>
          <w:szCs w:val="18"/>
        </w:rPr>
        <w:t xml:space="preserve">. Under the asymmetry, a confidently wrong answer is not a degraded answer—it is worse than silence, because silence costs the user one query and a wrong answer costs them their calibration of when to trust the system at all.</w:t>
      </w:r>
    </w:p>
    <w:p>
      <w:pPr>
        <w:spacing w:before="0" w:after="0" w:line="216" w:lineRule="auto"/>
        <w:ind w:firstLine="201"/>
        <w:jc w:val="both"/>
      </w:pPr>
      <w:r>
        <w:rPr>
          <w:rFonts w:ascii="Times New Roman" w:hAnsi="Times New Roman" w:cs="Times New Roman"/>
          <w:sz w:val="18"/>
          <w:szCs w:val="18"/>
        </w:rPr>
        <w:t xml:space="preserve">This paper reports BlindAssist, a working offline guidance system (a Python reference implementation and an Android/Flutter port driven by a shared pure-logic core with mirrored test suites), and makes one architectural claim:</w:t>
      </w:r>
    </w:p>
    <w:p>
      <w:pPr>
        <w:spacing w:before="60" w:after="60" w:line="216" w:lineRule="auto"/>
        <w:ind w:left="230" w:hanging="230"/>
        <w:jc w:val="both"/>
      </w:pPr>
      <w:r>
        <w:rPr>
          <w:rFonts w:ascii="Times New Roman" w:hAnsi="Times New Roman" w:cs="Times New Roman"/>
          <w:i/>
          <w:sz w:val="18"/>
          <w:szCs w:val="18"/>
        </w:rPr>
        <w:t xml:space="preserve">Under the verification asymmetry, selective abstention should be designed per layer, with layer-specific abstention criteria—not delegated to a single confidence threshold at the output.</w:t>
      </w:r>
    </w:p>
    <w:p>
      <w:pPr>
        <w:spacing w:before="0" w:after="0" w:line="216" w:lineRule="auto"/>
        <w:ind w:firstLine="201"/>
        <w:jc w:val="both"/>
      </w:pPr>
      <w:r>
        <w:rPr>
          <w:rFonts w:ascii="Times New Roman" w:hAnsi="Times New Roman" w:cs="Times New Roman"/>
          <w:b/>
          <w:sz w:val="18"/>
          <w:szCs w:val="18"/>
        </w:rPr>
        <w:t xml:space="preserve">Contributions. </w:t>
      </w:r>
      <w:r>
        <w:rPr>
          <w:rFonts w:ascii="Times New Roman" w:hAnsi="Times New Roman" w:cs="Times New Roman"/>
          <w:b/>
          <w:sz w:val="18"/>
          <w:szCs w:val="18"/>
        </w:rPr>
        <w:t xml:space="preserve">C1</w:t>
      </w:r>
      <w:r>
        <w:rPr>
          <w:rFonts w:ascii="Times New Roman" w:hAnsi="Times New Roman" w:cs="Times New Roman"/>
          <w:sz w:val="18"/>
          <w:szCs w:val="18"/>
        </w:rPr>
        <w:t xml:space="preserve">, a cross-layer selective-abstention pattern instantiated five times with layer-specific criteria. </w:t>
      </w:r>
      <w:r>
        <w:rPr>
          <w:rFonts w:ascii="Times New Roman" w:hAnsi="Times New Roman" w:cs="Times New Roman"/>
          <w:b/>
          <w:sz w:val="18"/>
          <w:szCs w:val="18"/>
        </w:rPr>
        <w:t xml:space="preserve">C2</w:t>
      </w:r>
      <w:r>
        <w:rPr>
          <w:rFonts w:ascii="Times New Roman" w:hAnsi="Times New Roman" w:cs="Times New Roman"/>
          <w:sz w:val="18"/>
          <w:szCs w:val="18"/>
        </w:rPr>
        <w:t xml:space="preserve">, a tool-mediated voice agent for a safety-critical speech channel: the model emits only a validated {tool, argument} pair drawn from a fixed registry, and every </w:t>
      </w:r>
      <w:r>
        <w:rPr>
          <w:rFonts w:ascii="Times New Roman" w:hAnsi="Times New Roman" w:cs="Times New Roman"/>
          <w:i/>
          <w:sz w:val="18"/>
          <w:szCs w:val="18"/>
        </w:rPr>
        <w:t xml:space="preserve">guidance</w:t>
      </w:r>
      <w:r>
        <w:rPr>
          <w:rFonts w:ascii="Times New Roman" w:hAnsi="Times New Roman" w:cs="Times New Roman"/>
          <w:sz w:val="18"/>
          <w:szCs w:val="18"/>
        </w:rPr>
        <w:t xml:space="preserve"> token originates in deterministic code or a fixed template. </w:t>
      </w:r>
      <w:r>
        <w:rPr>
          <w:rFonts w:ascii="Times New Roman" w:hAnsi="Times New Roman" w:cs="Times New Roman"/>
          <w:b/>
          <w:sz w:val="18"/>
          <w:szCs w:val="18"/>
        </w:rPr>
        <w:t xml:space="preserve">C3</w:t>
      </w:r>
      <w:r>
        <w:rPr>
          <w:rFonts w:ascii="Times New Roman" w:hAnsi="Times New Roman" w:cs="Times New Roman"/>
          <w:sz w:val="18"/>
          <w:szCs w:val="18"/>
        </w:rPr>
        <w:t xml:space="preserve">, deterministic-first two-tier routing, which we show is not a latency optimisation with an accuracy cost but strictly better on the traffic it covers. </w:t>
      </w:r>
      <w:r>
        <w:rPr>
          <w:rFonts w:ascii="Times New Roman" w:hAnsi="Times New Roman" w:cs="Times New Roman"/>
          <w:b/>
          <w:sz w:val="18"/>
          <w:szCs w:val="18"/>
        </w:rPr>
        <w:t xml:space="preserve">C4</w:t>
      </w:r>
      <w:r>
        <w:rPr>
          <w:rFonts w:ascii="Times New Roman" w:hAnsi="Times New Roman" w:cs="Times New Roman"/>
          <w:sz w:val="18"/>
          <w:szCs w:val="18"/>
        </w:rPr>
        <w:t xml:space="preserve">, a capability registry with enforced cross-site consistency across two languages. </w:t>
      </w:r>
      <w:r>
        <w:rPr>
          <w:rFonts w:ascii="Times New Roman" w:hAnsi="Times New Roman" w:cs="Times New Roman"/>
          <w:b/>
          <w:sz w:val="18"/>
          <w:szCs w:val="18"/>
        </w:rPr>
        <w:t xml:space="preserve">C5</w:t>
      </w:r>
      <w:r>
        <w:rPr>
          <w:rFonts w:ascii="Times New Roman" w:hAnsi="Times New Roman" w:cs="Times New Roman"/>
          <w:sz w:val="18"/>
          <w:szCs w:val="18"/>
        </w:rPr>
        <w:t xml:space="preserve">, an evaluation, on a protocol frozen before the router was implemented, in which abstention rate and fabricated-perception count are first-class metrics rather than failure modes.</w:t>
      </w:r>
    </w:p>
    <w:p>
      <w:pPr>
        <w:keepNext/>
        <w:spacing w:before="170" w:after="60"/>
      </w:pPr>
      <w:r>
        <w:rPr>
          <w:rFonts w:ascii="Times New Roman" w:hAnsi="Times New Roman" w:cs="Times New Roman"/>
          <w:b/>
          <w:sz w:val="19"/>
          <w:szCs w:val="19"/>
        </w:rPr>
        <w:t xml:space="preserve">2  RELATED WORK</w:t>
      </w:r>
    </w:p>
    <w:p>
      <w:pPr>
        <w:spacing w:before="0" w:after="0" w:line="216" w:lineRule="auto"/>
        <w:ind w:firstLine="0"/>
        <w:jc w:val="both"/>
      </w:pPr>
      <w:r>
        <w:rPr>
          <w:rFonts w:ascii="Times New Roman" w:hAnsi="Times New Roman" w:cs="Times New Roman"/>
          <w:b/>
          <w:sz w:val="18"/>
          <w:szCs w:val="18"/>
        </w:rPr>
        <w:t xml:space="preserve">Assistive perception systems. </w:t>
      </w:r>
      <w:r>
        <w:rPr>
          <w:rFonts w:ascii="Times New Roman" w:hAnsi="Times New Roman" w:cs="Times New Roman"/>
          <w:sz w:val="18"/>
          <w:szCs w:val="18"/>
        </w:rPr>
        <w:t xml:space="preserve">Crowd- and cloud-backed visual question answering established the interaction [4] and the dataset tradition [13] this system inherits, against a backdrop of everyday interfaces whose visual content is simply unavailable [28]; today's scene-description apps [3, 42, 9, 23] produce rich descriptions but are latency- and connectivity-dependent, verbose by design, and not built for continuous walking obstacle avoidance. Dedicated wearables [31] give excellent near-field reading at hardware cost. Indoor navigation assistants localise the traveller rather than the objects in front of them [2, 39, 11], spatial-audio wayfinding operates at beacon granularity [44], and electronic travel aids [48] give proximity without object identity or fine direction; surveys [19] and comparative studies [53] map the space. Work on blind users training their own recognisers [17] shares our premise that the recogniser is not the whole of the problem. What we did not find in this literature is a system that treats </w:t>
      </w:r>
      <w:r>
        <w:rPr>
          <w:rFonts w:ascii="Times New Roman" w:hAnsi="Times New Roman" w:cs="Times New Roman"/>
          <w:i/>
          <w:sz w:val="18"/>
          <w:szCs w:val="18"/>
        </w:rPr>
        <w:t xml:space="preserve">declining to answer</w:t>
      </w:r>
      <w:r>
        <w:rPr>
          <w:rFonts w:ascii="Times New Roman" w:hAnsi="Times New Roman" w:cs="Times New Roman"/>
          <w:sz w:val="18"/>
          <w:szCs w:val="18"/>
        </w:rPr>
        <w:t xml:space="preserve"> as a designed and evaluated behaviour rather than an error path.</w:t>
      </w:r>
    </w:p>
    <w:p>
      <w:pPr>
        <w:spacing w:before="0" w:after="0" w:line="216" w:lineRule="auto"/>
        <w:ind w:firstLine="201"/>
        <w:jc w:val="both"/>
      </w:pPr>
      <w:r>
        <w:rPr>
          <w:rFonts w:ascii="Times New Roman" w:hAnsi="Times New Roman" w:cs="Times New Roman"/>
          <w:b/>
          <w:sz w:val="18"/>
          <w:szCs w:val="18"/>
        </w:rPr>
        <w:t xml:space="preserve">Abstention. </w:t>
      </w:r>
      <w:r>
        <w:rPr>
          <w:rFonts w:ascii="Times New Roman" w:hAnsi="Times New Roman" w:cs="Times New Roman"/>
          <w:sz w:val="18"/>
          <w:szCs w:val="18"/>
        </w:rPr>
        <w:t xml:space="preserve">Classification with a reject option is old [6] and has a modern formal treatment in selective prediction [8, 10], learning to defer [25, 29], and confidence estimation [14, 12]. That work asks when a </w:t>
      </w:r>
      <w:r>
        <w:rPr>
          <w:rFonts w:ascii="Times New Roman" w:hAnsi="Times New Roman" w:cs="Times New Roman"/>
          <w:i/>
          <w:sz w:val="18"/>
          <w:szCs w:val="18"/>
        </w:rPr>
        <w:t xml:space="preserve">model</w:t>
      </w:r>
      <w:r>
        <w:rPr>
          <w:rFonts w:ascii="Times New Roman" w:hAnsi="Times New Roman" w:cs="Times New Roman"/>
          <w:sz w:val="18"/>
          <w:szCs w:val="18"/>
        </w:rPr>
        <w:t xml:space="preserve"> should abstain, and answers with a score threshold. We treat abstention as an </w:t>
      </w:r>
      <w:r>
        <w:rPr>
          <w:rFonts w:ascii="Times New Roman" w:hAnsi="Times New Roman" w:cs="Times New Roman"/>
          <w:i/>
          <w:sz w:val="18"/>
          <w:szCs w:val="18"/>
        </w:rPr>
        <w:t xml:space="preserve">interface</w:t>
      </w:r>
      <w:r>
        <w:rPr>
          <w:rFonts w:ascii="Times New Roman" w:hAnsi="Times New Roman" w:cs="Times New Roman"/>
          <w:sz w:val="18"/>
          <w:szCs w:val="18"/>
        </w:rPr>
        <w:t xml:space="preserve"> property instead: five different layers of one system, each with a failure mode of its own, each abstaining on a criterion derived from that failure mode rather than from a shared confidence number.</w:t>
      </w:r>
    </w:p>
    <w:p>
      <w:pPr>
        <w:spacing w:before="0" w:after="0" w:line="216" w:lineRule="auto"/>
        <w:ind w:firstLine="201"/>
        <w:jc w:val="both"/>
      </w:pPr>
      <w:r>
        <w:rPr>
          <w:rFonts w:ascii="Times New Roman" w:hAnsi="Times New Roman" w:cs="Times New Roman"/>
          <w:b/>
          <w:sz w:val="18"/>
          <w:szCs w:val="18"/>
        </w:rPr>
        <w:t xml:space="preserve">Hallucination containment. </w:t>
      </w:r>
      <w:r>
        <w:rPr>
          <w:rFonts w:ascii="Times New Roman" w:hAnsi="Times New Roman" w:cs="Times New Roman"/>
          <w:sz w:val="18"/>
          <w:szCs w:val="18"/>
        </w:rPr>
        <w:t xml:space="preserve">Fluent, unsupported generation is well characterised [15, 26], and models' own confidence signals are only partly informative [18]. Tool use [40, 52, 33, 35] and constrained decoding [41, 50] are standard engineering. Our step is not the mechanism but </w:t>
      </w:r>
      <w:r>
        <w:rPr>
          <w:rFonts w:ascii="Times New Roman" w:hAnsi="Times New Roman" w:cs="Times New Roman"/>
          <w:i/>
          <w:sz w:val="18"/>
          <w:szCs w:val="18"/>
        </w:rPr>
        <w:t xml:space="preserve">why</w:t>
      </w:r>
      <w:r>
        <w:rPr>
          <w:rFonts w:ascii="Times New Roman" w:hAnsi="Times New Roman" w:cs="Times New Roman"/>
          <w:sz w:val="18"/>
          <w:szCs w:val="18"/>
        </w:rPr>
        <w:t xml:space="preserve"> it is applied: for a consumer who cannot visually reject a wrong answer, containment is a safety property, and the design target is not “minimise fabricated perception” but “make it inexpressible”. We report the ablation that prices that constraint.</w:t>
      </w:r>
    </w:p>
    <w:p>
      <w:pPr>
        <w:spacing w:before="0" w:after="0" w:line="216" w:lineRule="auto"/>
        <w:ind w:firstLine="201"/>
        <w:jc w:val="both"/>
      </w:pPr>
      <w:r>
        <w:rPr>
          <w:rFonts w:ascii="Times New Roman" w:hAnsi="Times New Roman" w:cs="Times New Roman"/>
          <w:b/>
          <w:sz w:val="18"/>
          <w:szCs w:val="18"/>
        </w:rPr>
        <w:t xml:space="preserve">Non-visual output. </w:t>
      </w:r>
      <w:r>
        <w:rPr>
          <w:rFonts w:ascii="Times New Roman" w:hAnsi="Times New Roman" w:cs="Times New Roman"/>
          <w:sz w:val="18"/>
          <w:szCs w:val="18"/>
        </w:rPr>
        <w:t xml:space="preserve">Obstacle sonification [27, 7] and vibrotactile direction [46] are established modalities; our contribution is not the modality but a single ordinal-localisation core that drives speech, stereo sonar and haptics with consistent semantics and shared anti-spam timing.</w:t>
      </w:r>
    </w:p>
    <w:p>
      <w:pPr>
        <w:keepNext/>
        <w:spacing w:before="170" w:after="60"/>
      </w:pPr>
      <w:r>
        <w:rPr>
          <w:rFonts w:ascii="Times New Roman" w:hAnsi="Times New Roman" w:cs="Times New Roman"/>
          <w:b/>
          <w:sz w:val="19"/>
          <w:szCs w:val="19"/>
        </w:rPr>
        <w:t xml:space="preserve">3  SYSTEM</w:t>
      </w:r>
    </w:p>
    <w:p>
      <w:pPr>
        <w:spacing w:before="0" w:after="0" w:line="216" w:lineRule="auto"/>
        <w:ind w:firstLine="0"/>
        <w:jc w:val="both"/>
      </w:pPr>
      <w:r>
        <w:rPr>
          <w:rFonts w:ascii="Times New Roman" w:hAnsi="Times New Roman" w:cs="Times New Roman"/>
          <w:sz w:val="18"/>
          <w:szCs w:val="18"/>
        </w:rPr>
        <w:t xml:space="preserve">A handset streams camera frames to a tethered laptop over Wi-Fi; the laptop runs YOLOv8s [38, 16] trained on COCO [21] plus a small custom door/dustbin detector; the handset keeps every output modality native—speech, stereo-panned proximity sonar, haptics, grammar-constrained offline speech recognition [47, 34], and on-device OCR. All guidance logic lives in a pure layer with no camera, no model and no clock of its own, mirrored 1:1 between Python and Dart with identical test suites (221 and 159 tests). Figure 1 shows the arrangement.</w:t>
      </w:r>
    </w:p>
    <w:p>
      <w:pPr>
        <w:spacing w:before="0" w:after="0" w:line="216" w:lineRule="auto"/>
        <w:ind w:firstLine="201"/>
        <w:jc w:val="both"/>
      </w:pPr>
      <w:r>
        <w:rPr>
          <w:rFonts w:ascii="Times New Roman" w:hAnsi="Times New Roman" w:cs="Times New Roman"/>
          <w:sz w:val="18"/>
          <w:szCs w:val="18"/>
        </w:rPr>
        <w:t xml:space="preserve">Objects are localised </w:t>
      </w:r>
      <w:r>
        <w:rPr>
          <w:rFonts w:ascii="Times New Roman" w:hAnsi="Times New Roman" w:cs="Times New Roman"/>
          <w:i/>
          <w:sz w:val="18"/>
          <w:szCs w:val="18"/>
        </w:rPr>
        <w:t xml:space="preserve">ordinally</w:t>
      </w:r>
      <w:r>
        <w:rPr>
          <w:rFonts w:ascii="Times New Roman" w:hAnsi="Times New Roman" w:cs="Times New Roman"/>
          <w:sz w:val="18"/>
          <w:szCs w:val="18"/>
        </w:rPr>
        <w:t xml:space="preserve">: a 3×3 zone grid from the box centre, and a per-class proximity bucket (very close / close / medium / far) from box area. Metric distance exists but is gated (§4).</w:t>
      </w:r>
    </w:p>
    <w:p>
      <w:pPr>
        <w:spacing w:before="0" w:after="0" w:line="216" w:lineRule="auto"/>
        <w:ind w:firstLine="201"/>
        <w:jc w:val="both"/>
      </w:pPr>
      <w:r>
        <w:rPr>
          <w:rFonts w:ascii="Times New Roman" w:hAnsi="Times New Roman" w:cs="Times New Roman"/>
          <w:sz w:val="18"/>
          <w:szCs w:val="18"/>
        </w:rPr>
        <w:t xml:space="preserve">On-device inference measured ≈2.5 s per frame on the handset for both the GPU and NNAPI delegates, which is why inference is tethered. On the laptop GPU both detectors together cost 21 ms; total server time per frame during a field walk was ≈305 ms, so the dominant cost is frame reconstruction and transport rather than detection.</w:t>
      </w:r>
    </w:p>
    <w:p>
      <w:pPr>
        <w:spacing w:before="90" w:after="40"/>
        <w:jc w:val="center"/>
      </w:pPr>
      <w:r>
        <w:drawing>
          <wp:inline distT="0" distB="0" distL="0" distR="0">
            <wp:extent cx="3044952" cy="2331720"/>
            <wp:docPr id="1" name="Figure 1"/>
            <a:graphic>
              <a:graphicData uri="http://schemas.openxmlformats.org/drawingml/2006/picture">
                <pic:pic>
                  <pic:nvPicPr>
                    <pic:cNvPr id="1" name="f1_system.png"/>
                    <pic:cNvPicPr/>
                  </pic:nvPicPr>
                  <pic:blipFill>
                    <a:blip r:embed="rIdImg1"/>
                    <a:stretch>
                      <a:fillRect/>
                    </a:stretch>
                  </pic:blipFill>
                  <pic:spPr>
                    <a:xfrm>
                      <a:off x="0" y="0"/>
                      <a:ext cx="3044952" cy="2331720"/>
                    </a:xfrm>
                    <a:prstGeom prst="rect">
                      <a:avLst/>
                    </a:prstGeom>
                  </pic:spPr>
                </pic:pic>
              </a:graphicData>
            </a:graphic>
          </wp:inline>
        </w:drawing>
      </w:r>
    </w:p>
    <w:p>
      <w:pPr>
        <w:spacing w:before="0" w:after="110" w:line="200" w:lineRule="auto"/>
        <w:jc w:val="both"/>
      </w:pPr>
      <w:r>
        <w:rPr>
          <w:rFonts w:ascii="Times New Roman" w:hAnsi="Times New Roman" w:cs="Times New Roman"/>
          <w:b/>
          <w:sz w:val="16"/>
          <w:szCs w:val="16"/>
        </w:rPr>
        <w:t xml:space="preserve">Figure 1.</w:t>
      </w:r>
      <w:r>
        <w:rPr>
          <w:rFonts w:ascii="Times New Roman" w:hAnsi="Times New Roman" w:cs="Times New Roman"/>
          <w:sz w:val="16"/>
          <w:szCs w:val="16"/>
        </w:rPr>
        <w:t xml:space="preserve"> The two dashed arrows crossing the boundary are the whole safety argument: the router may point at a capability, but it may not speak through one. Tier 0 runs on the handset, so every trained phrase still works with the laptop switched off.</w:t>
      </w:r>
    </w:p>
    <w:p>
      <w:pPr>
        <w:keepNext/>
        <w:spacing w:before="170" w:after="60"/>
      </w:pPr>
      <w:r>
        <w:rPr>
          <w:rFonts w:ascii="Times New Roman" w:hAnsi="Times New Roman" w:cs="Times New Roman"/>
          <w:b/>
          <w:sz w:val="19"/>
          <w:szCs w:val="19"/>
        </w:rPr>
        <w:t xml:space="preserve">4  FIVE WAYS TO DECLINE</w:t>
      </w:r>
    </w:p>
    <w:p>
      <w:pPr>
        <w:spacing w:before="0" w:after="0" w:line="216" w:lineRule="auto"/>
        <w:ind w:firstLine="0"/>
        <w:jc w:val="both"/>
      </w:pPr>
      <w:r>
        <w:rPr>
          <w:rFonts w:ascii="Times New Roman" w:hAnsi="Times New Roman" w:cs="Times New Roman"/>
          <w:b/>
          <w:sz w:val="18"/>
          <w:szCs w:val="18"/>
        </w:rPr>
        <w:t xml:space="preserve">Perception: reliability-gated metric distance. </w:t>
      </w:r>
      <w:r>
        <w:rPr>
          <w:rFonts w:ascii="Times New Roman" w:hAnsi="Times New Roman" w:cs="Times New Roman"/>
          <w:sz w:val="18"/>
          <w:szCs w:val="18"/>
        </w:rPr>
        <w:t xml:space="preserve">Distance comes from a pinhole model, d = h_real · F / h_box, and is spoken as “about N metres” only if three gates pass: the box does not touch a frame edge, the class name clears a confidence threshold, and the object is not already close. The edge-clip gate matters most: a truncated box reads </w:t>
      </w:r>
      <w:r>
        <w:rPr>
          <w:rFonts w:ascii="Times New Roman" w:hAnsi="Times New Roman" w:cs="Times New Roman"/>
          <w:i/>
          <w:sz w:val="18"/>
          <w:szCs w:val="18"/>
        </w:rPr>
        <w:t xml:space="preserve">falsely far</w:t>
      </w:r>
      <w:r>
        <w:rPr>
          <w:rFonts w:ascii="Times New Roman" w:hAnsi="Times New Roman" w:cs="Times New Roman"/>
          <w:sz w:val="18"/>
          <w:szCs w:val="18"/>
        </w:rPr>
        <w:t xml:space="preserve">, so the error points in the dangerous direction, precisely for the nearest and largest objects. When any gate fails the system speaks the ordinal bucket instead. Learned monocular depth [37] would improve the estimate but not remove the need for the gate, since its failure cases are also silent.</w:t>
      </w:r>
    </w:p>
    <w:p>
      <w:pPr>
        <w:spacing w:before="0" w:after="0" w:line="216" w:lineRule="auto"/>
        <w:ind w:firstLine="201"/>
        <w:jc w:val="both"/>
      </w:pPr>
      <w:r>
        <w:rPr>
          <w:rFonts w:ascii="Times New Roman" w:hAnsi="Times New Roman" w:cs="Times New Roman"/>
          <w:b/>
          <w:sz w:val="18"/>
          <w:szCs w:val="18"/>
        </w:rPr>
        <w:t xml:space="preserve">Planning: openness-thresholded path advice. </w:t>
      </w:r>
      <w:r>
        <w:rPr>
          <w:rFonts w:ascii="Times New Roman" w:hAnsi="Times New Roman" w:cs="Times New Roman"/>
          <w:sz w:val="18"/>
          <w:szCs w:val="18"/>
        </w:rPr>
        <w:t xml:space="preserve">Each of left/ahead/right is scored by the proximity rank of its </w:t>
      </w:r>
      <w:r>
        <w:rPr>
          <w:rFonts w:ascii="Times New Roman" w:hAnsi="Times New Roman" w:cs="Times New Roman"/>
          <w:i/>
          <w:sz w:val="18"/>
          <w:szCs w:val="18"/>
        </w:rPr>
        <w:t xml:space="preserve">closest</w:t>
      </w:r>
      <w:r>
        <w:rPr>
          <w:rFonts w:ascii="Times New Roman" w:hAnsi="Times New Roman" w:cs="Times New Roman"/>
          <w:sz w:val="18"/>
          <w:szCs w:val="18"/>
        </w:rPr>
        <w:t xml:space="preserve"> obstacle rather than by summed occupied area; the naive metric lets a far bulky object outrank a near small hazard and steers the user into it. Doorways are excluded from obstacle mass. If even the emptiest third holds a close obstacle, the system refuses to name a least-bad direction and says “Stop, no clear path”.</w:t>
      </w:r>
    </w:p>
    <w:p>
      <w:pPr>
        <w:spacing w:before="0" w:after="0" w:line="216" w:lineRule="auto"/>
        <w:ind w:firstLine="201"/>
        <w:jc w:val="both"/>
      </w:pPr>
      <w:r>
        <w:rPr>
          <w:rFonts w:ascii="Times New Roman" w:hAnsi="Times New Roman" w:cs="Times New Roman"/>
          <w:b/>
          <w:sz w:val="18"/>
          <w:szCs w:val="18"/>
        </w:rPr>
        <w:t xml:space="preserve">Transport: absence is not a negative. </w:t>
      </w:r>
      <w:r>
        <w:rPr>
          <w:rFonts w:ascii="Times New Roman" w:hAnsi="Times New Roman" w:cs="Times New Roman"/>
          <w:sz w:val="18"/>
          <w:szCs w:val="18"/>
        </w:rPr>
        <w:t xml:space="preserve">A failed frame returns </w:t>
      </w:r>
      <w:r>
        <w:rPr>
          <w:rFonts w:ascii="Consolas" w:hAnsi="Consolas" w:cs="Consolas"/>
          <w:sz w:val="16"/>
          <w:szCs w:val="16"/>
        </w:rPr>
        <w:t xml:space="preserve">null</w:t>
      </w:r>
      <w:r>
        <w:rPr>
          <w:rFonts w:ascii="Times New Roman" w:hAnsi="Times New Roman" w:cs="Times New Roman"/>
          <w:sz w:val="18"/>
          <w:szCs w:val="18"/>
        </w:rPr>
        <w:t xml:space="preserve">, never an empty list. An empty list means a </w:t>
      </w:r>
      <w:r>
        <w:rPr>
          <w:rFonts w:ascii="Times New Roman" w:hAnsi="Times New Roman" w:cs="Times New Roman"/>
          <w:i/>
          <w:sz w:val="18"/>
          <w:szCs w:val="18"/>
        </w:rPr>
        <w:t xml:space="preserve">verified-clear</w:t>
      </w:r>
      <w:r>
        <w:rPr>
          <w:rFonts w:ascii="Times New Roman" w:hAnsi="Times New Roman" w:cs="Times New Roman"/>
          <w:sz w:val="18"/>
          <w:szCs w:val="18"/>
        </w:rPr>
        <w:t xml:space="preserve"> scene, and acting on it silences the sonar, resets escalation state, and makes Find report “not visible” for an object that may be directly ahead. On no-data the engine pauses guidance and says so.</w:t>
      </w:r>
    </w:p>
    <w:p>
      <w:pPr>
        <w:spacing w:before="0" w:after="0" w:line="216" w:lineRule="auto"/>
        <w:ind w:firstLine="201"/>
        <w:jc w:val="both"/>
      </w:pPr>
      <w:r>
        <w:rPr>
          <w:rFonts w:ascii="Times New Roman" w:hAnsi="Times New Roman" w:cs="Times New Roman"/>
          <w:b/>
          <w:sz w:val="18"/>
          <w:szCs w:val="18"/>
        </w:rPr>
        <w:t xml:space="preserve">Attention: proximity-gated warnings with a pull counterpart. </w:t>
      </w:r>
      <w:r>
        <w:rPr>
          <w:rFonts w:ascii="Times New Roman" w:hAnsi="Times New Roman" w:cs="Times New Roman"/>
          <w:sz w:val="18"/>
          <w:szCs w:val="18"/>
        </w:rPr>
        <w:t xml:space="preserve">Added after the first field walk, where the verdict was “it keeps saying all the objects, it's too much of a cluster”. Continuous warnings now fire only at close range or nearer; everything removed from the push channel is reachable by asking (</w:t>
      </w:r>
      <w:r>
        <w:rPr>
          <w:rFonts w:ascii="Consolas" w:hAnsi="Consolas" w:cs="Consolas"/>
          <w:sz w:val="16"/>
          <w:szCs w:val="16"/>
        </w:rPr>
        <w:t xml:space="preserve">check</w:t>
      </w:r>
      <w:r>
        <w:rPr>
          <w:rFonts w:ascii="Times New Roman" w:hAnsi="Times New Roman" w:cs="Times New Roman"/>
          <w:sz w:val="18"/>
          <w:szCs w:val="18"/>
        </w:rPr>
        <w:t xml:space="preserve">: “is there anything in front of me?”), answered by the same ordinal core, in tier 0, with no model and no network. The reasoning is the alarm-fatigue result [43, 5] applied to a user whose only guidance channel is the one being flooded: an unheeded warning has negative value, because it spent attention and delivered nothing.</w:t>
      </w:r>
    </w:p>
    <w:p>
      <w:pPr>
        <w:spacing w:before="0" w:after="0" w:line="216" w:lineRule="auto"/>
        <w:ind w:firstLine="201"/>
        <w:jc w:val="both"/>
      </w:pPr>
      <w:r>
        <w:rPr>
          <w:rFonts w:ascii="Times New Roman" w:hAnsi="Times New Roman" w:cs="Times New Roman"/>
          <w:b/>
          <w:sz w:val="18"/>
          <w:szCs w:val="18"/>
        </w:rPr>
        <w:t xml:space="preserve">Dialogue: routing abstention. </w:t>
      </w:r>
      <w:r>
        <w:rPr>
          <w:rFonts w:ascii="Times New Roman" w:hAnsi="Times New Roman" w:cs="Times New Roman"/>
          <w:sz w:val="18"/>
          <w:szCs w:val="18"/>
        </w:rPr>
        <w:t xml:space="preserve">Unknown tool, unknown object class, missing argument, prose instead of JSON, timeout or any exception all become abstention, and the clarifying question is selected from a fixed table by key rather than written by the model.</w:t>
      </w:r>
    </w:p>
    <w:p>
      <w:pPr>
        <w:keepNext/>
        <w:spacing w:before="170" w:after="60"/>
      </w:pPr>
      <w:r>
        <w:rPr>
          <w:rFonts w:ascii="Times New Roman" w:hAnsi="Times New Roman" w:cs="Times New Roman"/>
          <w:b/>
          <w:sz w:val="19"/>
          <w:szCs w:val="19"/>
        </w:rPr>
        <w:t xml:space="preserve">5  THE AGENT LAYER</w:t>
      </w:r>
    </w:p>
    <w:p>
      <w:pPr>
        <w:spacing w:before="0" w:after="0" w:line="216" w:lineRule="auto"/>
        <w:ind w:firstLine="0"/>
        <w:jc w:val="both"/>
      </w:pPr>
      <w:r>
        <w:rPr>
          <w:rFonts w:ascii="Times New Roman" w:hAnsi="Times New Roman" w:cs="Times New Roman"/>
          <w:sz w:val="18"/>
          <w:szCs w:val="18"/>
        </w:rPr>
        <w:t xml:space="preserve">BlindAssist's offline recogniser is grammar-constrained: only phrases in an explicit list can be transcribed </w:t>
      </w:r>
      <w:r>
        <w:rPr>
          <w:rFonts w:ascii="Times New Roman" w:hAnsi="Times New Roman" w:cs="Times New Roman"/>
          <w:i/>
          <w:sz w:val="18"/>
          <w:szCs w:val="18"/>
        </w:rPr>
        <w:t xml:space="preserve">at all</w:t>
      </w:r>
      <w:r>
        <w:rPr>
          <w:rFonts w:ascii="Times New Roman" w:hAnsi="Times New Roman" w:cs="Times New Roman"/>
          <w:sz w:val="18"/>
          <w:szCs w:val="18"/>
        </w:rPr>
        <w:t xml:space="preserve">, so free speech is not mis-parsed—it is never heard. A trigger word therefore opens a dictation window, transcribed either by a local Whisper model [36] on the laptop or, with the laptop off, by a second recogniser built on the same already-loaded 40 MB model with its grammar removed. The transcript goes first to the deterministic parser and only then, on a miss, to the router (Figure 2).</w:t>
      </w:r>
    </w:p>
    <w:p>
      <w:pPr>
        <w:spacing w:before="0" w:after="0" w:line="216" w:lineRule="auto"/>
        <w:ind w:firstLine="201"/>
        <w:jc w:val="both"/>
      </w:pPr>
      <w:r>
        <w:rPr>
          <w:rFonts w:ascii="Times New Roman" w:hAnsi="Times New Roman" w:cs="Times New Roman"/>
          <w:b/>
          <w:sz w:val="18"/>
          <w:szCs w:val="18"/>
        </w:rPr>
        <w:t xml:space="preserve">The authority boundary. </w:t>
      </w:r>
      <w:r>
        <w:rPr>
          <w:rFonts w:ascii="Times New Roman" w:hAnsi="Times New Roman" w:cs="Times New Roman"/>
          <w:sz w:val="18"/>
          <w:szCs w:val="18"/>
        </w:rPr>
        <w:t xml:space="preserve">The model receives the tool registry, the class enumeration, a deterministic state block (visible classes with zone, proximity and count; mode; last announcement; object memory) and the utterance, and must return JSON. Everything after that treats its output as untrusted input. Multi-turn references such as “is it still there” therefore resolve against the detector's own output, never against a description: perception never re-enters the model.</w:t>
      </w:r>
    </w:p>
    <w:p>
      <w:pPr>
        <w:spacing w:before="0" w:after="0" w:line="216" w:lineRule="auto"/>
        <w:ind w:firstLine="201"/>
        <w:jc w:val="both"/>
      </w:pPr>
      <w:r>
        <w:rPr>
          <w:rFonts w:ascii="Times New Roman" w:hAnsi="Times New Roman" w:cs="Times New Roman"/>
          <w:b/>
          <w:sz w:val="18"/>
          <w:szCs w:val="18"/>
        </w:rPr>
        <w:t xml:space="preserve">Where the boundary moved. </w:t>
      </w:r>
      <w:r>
        <w:rPr>
          <w:rFonts w:ascii="Times New Roman" w:hAnsi="Times New Roman" w:cs="Times New Roman"/>
          <w:sz w:val="18"/>
          <w:szCs w:val="18"/>
        </w:rPr>
        <w:t xml:space="preserve">The system as first built enforced the stronger rule—</w:t>
      </w:r>
      <w:r>
        <w:rPr>
          <w:rFonts w:ascii="Times New Roman" w:hAnsi="Times New Roman" w:cs="Times New Roman"/>
          <w:i/>
          <w:sz w:val="18"/>
          <w:szCs w:val="18"/>
        </w:rPr>
        <w:t xml:space="preserve">no spoken token whatsoever</w:t>
      </w:r>
      <w:r>
        <w:rPr>
          <w:rFonts w:ascii="Times New Roman" w:hAnsi="Times New Roman" w:cs="Times New Roman"/>
          <w:sz w:val="18"/>
          <w:szCs w:val="18"/>
        </w:rPr>
        <w:t xml:space="preserve"> originated in the model. After the first field walk the developer-user asked for conversation: the ability to ask a question in their own words and be answered rather than routed. We granted exactly that. A reply travels in a separate channel that the executor cannot route through any capability; it is grounded in the same state block, length-capped and truncated at a sentence; loose prose emitted where a tool call belongs is still discarded; and one flag restores the absolute rule for the ablation. The honest formulation of C2 is therefore “no </w:t>
      </w:r>
      <w:r>
        <w:rPr>
          <w:rFonts w:ascii="Times New Roman" w:hAnsi="Times New Roman" w:cs="Times New Roman"/>
          <w:i/>
          <w:sz w:val="18"/>
          <w:szCs w:val="18"/>
        </w:rPr>
        <w:t xml:space="preserve">guidance</w:t>
      </w:r>
      <w:r>
        <w:rPr>
          <w:rFonts w:ascii="Times New Roman" w:hAnsi="Times New Roman" w:cs="Times New Roman"/>
          <w:sz w:val="18"/>
          <w:szCs w:val="18"/>
        </w:rPr>
        <w:t xml:space="preserve"> token originates in the model”, which is weaker than where we started, and we report it as weakened.</w:t>
      </w:r>
    </w:p>
    <w:p>
      <w:pPr>
        <w:spacing w:before="0" w:after="0" w:line="216" w:lineRule="auto"/>
        <w:ind w:firstLine="201"/>
        <w:jc w:val="both"/>
      </w:pPr>
      <w:r>
        <w:rPr>
          <w:rFonts w:ascii="Times New Roman" w:hAnsi="Times New Roman" w:cs="Times New Roman"/>
          <w:b/>
          <w:sz w:val="18"/>
          <w:szCs w:val="18"/>
        </w:rPr>
        <w:t xml:space="preserve">Tiering across a network boundary. </w:t>
      </w:r>
      <w:r>
        <w:rPr>
          <w:rFonts w:ascii="Times New Roman" w:hAnsi="Times New Roman" w:cs="Times New Roman"/>
          <w:sz w:val="18"/>
          <w:szCs w:val="18"/>
        </w:rPr>
        <w:t xml:space="preserve">On the handset the two tiers fall on opposite sides of a Wi-Fi link. The client re-validates the server's reply against the same closed registry before executing, so the containment guarantee does not rest on trusting the transport, and a reply containing one unusable action is discarded whole—executing the half that happened to parse is itself an unverified action.</w:t>
      </w:r>
    </w:p>
    <w:p>
      <w:pPr>
        <w:spacing w:before="0" w:after="0" w:line="216" w:lineRule="auto"/>
        <w:ind w:firstLine="201"/>
        <w:jc w:val="both"/>
      </w:pPr>
      <w:r>
        <w:rPr>
          <w:rFonts w:ascii="Times New Roman" w:hAnsi="Times New Roman" w:cs="Times New Roman"/>
          <w:b/>
          <w:sz w:val="18"/>
          <w:szCs w:val="18"/>
        </w:rPr>
        <w:t xml:space="preserve">Registry. </w:t>
      </w:r>
      <w:r>
        <w:rPr>
          <w:rFonts w:ascii="Times New Roman" w:hAnsi="Times New Roman" w:cs="Times New Roman"/>
          <w:sz w:val="18"/>
          <w:szCs w:val="18"/>
        </w:rPr>
        <w:t xml:space="preserve">Fourteen capabilities (Table 4) were previously declared in four places: a parser, its phrase list, a dispatcher, and the Dart equivalents. The sites had already drifted—the web dispatcher silently dropped five capabilities the parser could produce. One declarative table now drives the recogniser's phrase list at runtime, generates the model's tool schema, backs a single executor, and emits a committed manifest that both languages' test suites assert against field by field. We claim </w:t>
      </w:r>
      <w:r>
        <w:rPr>
          <w:rFonts w:ascii="Times New Roman" w:hAnsi="Times New Roman" w:cs="Times New Roman"/>
          <w:i/>
          <w:sz w:val="18"/>
          <w:szCs w:val="18"/>
        </w:rPr>
        <w:t xml:space="preserve">enforced consistency across sites</w:t>
      </w:r>
      <w:r>
        <w:rPr>
          <w:rFonts w:ascii="Times New Roman" w:hAnsi="Times New Roman" w:cs="Times New Roman"/>
          <w:sz w:val="18"/>
          <w:szCs w:val="18"/>
        </w:rPr>
        <w:t xml:space="preserve">, not literal single-source generation: the field-validated parser is deliberately left in place rather than regenerated, because the regression risk of rewriting it exceeds the value of the stronger claim.</w:t>
      </w:r>
    </w:p>
    <w:p>
      <w:pPr>
        <w:spacing w:before="90" w:after="40"/>
        <w:jc w:val="center"/>
      </w:pPr>
      <w:r>
        <w:drawing>
          <wp:inline distT="0" distB="0" distL="0" distR="0">
            <wp:extent cx="3044952" cy="2514600"/>
            <wp:docPr id="2" name="Figure 2"/>
            <a:graphic>
              <a:graphicData uri="http://schemas.openxmlformats.org/drawingml/2006/picture">
                <pic:pic>
                  <pic:nvPicPr>
                    <pic:cNvPr id="2" name="f2_router.png"/>
                    <pic:cNvPicPr/>
                  </pic:nvPicPr>
                  <pic:blipFill>
                    <a:blip r:embed="rIdImg2"/>
                    <a:stretch>
                      <a:fillRect/>
                    </a:stretch>
                  </pic:blipFill>
                  <pic:spPr>
                    <a:xfrm>
                      <a:off x="0" y="0"/>
                      <a:ext cx="3044952" cy="2514600"/>
                    </a:xfrm>
                    <a:prstGeom prst="rect">
                      <a:avLst/>
                    </a:prstGeom>
                  </pic:spPr>
                </pic:pic>
              </a:graphicData>
            </a:graphic>
          </wp:inline>
        </w:drawing>
      </w:r>
    </w:p>
    <w:p>
      <w:pPr>
        <w:spacing w:before="0" w:after="110" w:line="200" w:lineRule="auto"/>
        <w:jc w:val="both"/>
      </w:pPr>
      <w:r>
        <w:rPr>
          <w:rFonts w:ascii="Times New Roman" w:hAnsi="Times New Roman" w:cs="Times New Roman"/>
          <w:b/>
          <w:sz w:val="16"/>
          <w:szCs w:val="16"/>
        </w:rPr>
        <w:t xml:space="preserve">Figure 2.</w:t>
      </w:r>
      <w:r>
        <w:rPr>
          <w:rFonts w:ascii="Times New Roman" w:hAnsi="Times New Roman" w:cs="Times New Roman"/>
          <w:sz w:val="16"/>
          <w:szCs w:val="16"/>
        </w:rPr>
        <w:t xml:space="preserve"> Two-tier routing. Every path except the amber reply channel produces text written by deterministic code or selected from a fixed template; the reply channel cannot reach any capability's output.</w:t>
      </w:r>
    </w:p>
    <w:p>
      <w:pPr>
        <w:keepNext/>
        <w:spacing w:before="170" w:after="60"/>
      </w:pPr>
      <w:r>
        <w:rPr>
          <w:rFonts w:ascii="Times New Roman" w:hAnsi="Times New Roman" w:cs="Times New Roman"/>
          <w:b/>
          <w:sz w:val="19"/>
          <w:szCs w:val="19"/>
        </w:rPr>
        <w:t xml:space="preserve">6  EVALUATION</w:t>
      </w:r>
    </w:p>
    <w:p>
      <w:pPr>
        <w:spacing w:before="0" w:after="0" w:line="216" w:lineRule="auto"/>
        <w:ind w:firstLine="0"/>
        <w:jc w:val="both"/>
      </w:pPr>
      <w:r>
        <w:rPr>
          <w:rFonts w:ascii="Times New Roman" w:hAnsi="Times New Roman" w:cs="Times New Roman"/>
          <w:sz w:val="18"/>
          <w:szCs w:val="18"/>
        </w:rPr>
        <w:t xml:space="preserve">The perception and guidance layers were checked first on seven recorded phone clips, which produced 31 announcements; every announcement saves an annotated keyframe, and all 31 were reviewed against the image. Direction was correct on 31/31 and there were no phantom announcements, while 6 of 31 carried a wrong class name with the warning behaviour still correct—the pattern that motivates speaking the generic word “obstacle” below a confidence threshold. These numbers are small and author-reviewed, and we report them as a sanity check on the deterministic core rather than as a perception result. The rest of this section concerns the dialogue layer.</w:t>
      </w:r>
    </w:p>
    <w:p>
      <w:pPr>
        <w:spacing w:before="0" w:after="0" w:line="216" w:lineRule="auto"/>
        <w:ind w:firstLine="201"/>
        <w:jc w:val="both"/>
      </w:pPr>
      <w:r>
        <w:rPr>
          <w:rFonts w:ascii="Times New Roman" w:hAnsi="Times New Roman" w:cs="Times New Roman"/>
          <w:sz w:val="18"/>
          <w:szCs w:val="18"/>
        </w:rPr>
        <w:t xml:space="preserve">The protocol and a set of 200 labelled utterances were frozen and committed </w:t>
      </w:r>
      <w:r>
        <w:rPr>
          <w:rFonts w:ascii="Times New Roman" w:hAnsi="Times New Roman" w:cs="Times New Roman"/>
          <w:i/>
          <w:sz w:val="18"/>
          <w:szCs w:val="18"/>
        </w:rPr>
        <w:t xml:space="preserve">before</w:t>
      </w:r>
      <w:r>
        <w:rPr>
          <w:rFonts w:ascii="Times New Roman" w:hAnsi="Times New Roman" w:cs="Times New Roman"/>
          <w:sz w:val="18"/>
          <w:szCs w:val="18"/>
        </w:rPr>
        <w:t xml:space="preserve"> the router was implemented, so the router could not be tuned against its own test set. Categories: </w:t>
      </w:r>
      <w:r>
        <w:rPr>
          <w:rFonts w:ascii="Times New Roman" w:hAnsi="Times New Roman" w:cs="Times New Roman"/>
          <w:i/>
          <w:sz w:val="18"/>
          <w:szCs w:val="18"/>
        </w:rPr>
        <w:t xml:space="preserve">canonical</w:t>
      </w:r>
      <w:r>
        <w:rPr>
          <w:rFonts w:ascii="Times New Roman" w:hAnsi="Times New Roman" w:cs="Times New Roman"/>
          <w:sz w:val="18"/>
          <w:szCs w:val="18"/>
        </w:rPr>
        <w:t xml:space="preserve"> (40, phrasings the grammar covers), </w:t>
      </w:r>
      <w:r>
        <w:rPr>
          <w:rFonts w:ascii="Times New Roman" w:hAnsi="Times New Roman" w:cs="Times New Roman"/>
          <w:i/>
          <w:sz w:val="18"/>
          <w:szCs w:val="18"/>
        </w:rPr>
        <w:t xml:space="preserve">paraphrase</w:t>
      </w:r>
      <w:r>
        <w:rPr>
          <w:rFonts w:ascii="Times New Roman" w:hAnsi="Times New Roman" w:cs="Times New Roman"/>
          <w:sz w:val="18"/>
          <w:szCs w:val="18"/>
        </w:rPr>
        <w:t xml:space="preserve"> (70), </w:t>
      </w:r>
      <w:r>
        <w:rPr>
          <w:rFonts w:ascii="Times New Roman" w:hAnsi="Times New Roman" w:cs="Times New Roman"/>
          <w:i/>
          <w:sz w:val="18"/>
          <w:szCs w:val="18"/>
        </w:rPr>
        <w:t xml:space="preserve">multi-intent</w:t>
      </w:r>
      <w:r>
        <w:rPr>
          <w:rFonts w:ascii="Times New Roman" w:hAnsi="Times New Roman" w:cs="Times New Roman"/>
          <w:sz w:val="18"/>
          <w:szCs w:val="18"/>
        </w:rPr>
        <w:t xml:space="preserve"> (20), </w:t>
      </w:r>
      <w:r>
        <w:rPr>
          <w:rFonts w:ascii="Times New Roman" w:hAnsi="Times New Roman" w:cs="Times New Roman"/>
          <w:i/>
          <w:sz w:val="18"/>
          <w:szCs w:val="18"/>
        </w:rPr>
        <w:t xml:space="preserve">out-of-scope</w:t>
      </w:r>
      <w:r>
        <w:rPr>
          <w:rFonts w:ascii="Times New Roman" w:hAnsi="Times New Roman" w:cs="Times New Roman"/>
          <w:sz w:val="18"/>
          <w:szCs w:val="18"/>
        </w:rPr>
        <w:t xml:space="preserve"> (40, gold label: abstain) and </w:t>
      </w:r>
      <w:r>
        <w:rPr>
          <w:rFonts w:ascii="Times New Roman" w:hAnsi="Times New Roman" w:cs="Times New Roman"/>
          <w:i/>
          <w:sz w:val="18"/>
          <w:szCs w:val="18"/>
        </w:rPr>
        <w:t xml:space="preserve">ambiguous</w:t>
      </w:r>
      <w:r>
        <w:rPr>
          <w:rFonts w:ascii="Times New Roman" w:hAnsi="Times New Roman" w:cs="Times New Roman"/>
          <w:sz w:val="18"/>
          <w:szCs w:val="18"/>
        </w:rPr>
        <w:t xml:space="preserve"> (30, gold depends on a state block encoded in the record). Out-of-scope records are plausible things a user would say to an assistive device—weather, calls, messages, time, battery—rather than nonsense strings, which would be easy to abstain on and would inflate the metric.</w:t>
      </w:r>
    </w:p>
    <w:p>
      <w:pPr>
        <w:spacing w:before="0" w:after="0" w:line="216" w:lineRule="auto"/>
        <w:ind w:firstLine="201"/>
        <w:jc w:val="both"/>
      </w:pPr>
      <w:r>
        <w:rPr>
          <w:rFonts w:ascii="Times New Roman" w:hAnsi="Times New Roman" w:cs="Times New Roman"/>
          <w:sz w:val="18"/>
          <w:szCs w:val="18"/>
        </w:rPr>
        <w:t xml:space="preserve">Configurations: keyword-only, LLM-only (tier 0 stubbed to always miss), and two-tier. Routing accuracy is exact match on the </w:t>
      </w:r>
      <w:r>
        <w:rPr>
          <w:rFonts w:ascii="Times New Roman" w:hAnsi="Times New Roman" w:cs="Times New Roman"/>
          <w:i/>
          <w:sz w:val="18"/>
          <w:szCs w:val="18"/>
        </w:rPr>
        <w:t xml:space="preserve">ordered</w:t>
      </w:r>
      <w:r>
        <w:rPr>
          <w:rFonts w:ascii="Times New Roman" w:hAnsi="Times New Roman" w:cs="Times New Roman"/>
          <w:sz w:val="18"/>
          <w:szCs w:val="18"/>
        </w:rPr>
        <w:t xml:space="preserve"> action list; a two-action utterance routed to one correct action scores zero, because the user asked for two things and got one. The </w:t>
      </w:r>
      <w:r>
        <w:rPr>
          <w:rFonts w:ascii="Times New Roman" w:hAnsi="Times New Roman" w:cs="Times New Roman"/>
          <w:i/>
          <w:sz w:val="18"/>
          <w:szCs w:val="18"/>
        </w:rPr>
        <w:t xml:space="preserve">over-trigger rate</w:t>
      </w:r>
      <w:r>
        <w:rPr>
          <w:rFonts w:ascii="Times New Roman" w:hAnsi="Times New Roman" w:cs="Times New Roman"/>
          <w:sz w:val="18"/>
          <w:szCs w:val="18"/>
        </w:rPr>
        <w:t xml:space="preserve"> is the fraction of out-of-scope utterances answered with any action, and is the safety metric of this layer. The fabrication check verifies that every executed spoken string is a member of the set the deterministic core could produce for that record, plus the fixed templates; the harness fails loudly otherwise. Intervals are Wilson [51]; no significance testing between configurations is claimed at this set size, and the comparison is descriptive.</w:t>
      </w:r>
    </w:p>
    <w:p>
      <w:pPr>
        <w:spacing w:before="0" w:after="0" w:line="216" w:lineRule="auto"/>
        <w:ind w:firstLine="201"/>
        <w:jc w:val="both"/>
      </w:pPr>
      <w:r>
        <w:rPr>
          <w:rFonts w:ascii="Times New Roman" w:hAnsi="Times New Roman" w:cs="Times New Roman"/>
          <w:b/>
          <w:sz w:val="18"/>
          <w:szCs w:val="18"/>
        </w:rPr>
        <w:t xml:space="preserve">The spoken condition. </w:t>
      </w:r>
      <w:r>
        <w:rPr>
          <w:rFonts w:ascii="Times New Roman" w:hAnsi="Times New Roman" w:cs="Times New Roman"/>
          <w:sz w:val="18"/>
          <w:szCs w:val="18"/>
        </w:rPr>
        <w:t xml:space="preserve">Two speakers who did not author the set read a stratified 60-record subset aloud, once each, in a normal room. Recordings were transcribed by the same recogniser the handset uses for open dictation, with the grammar removed, so this is the condition the deployed system actually operates in rather than a simulation of it. Utterance boundaries were recovered by aligning the recognised word stream to the known script; where fewer than a third of an utterance's words aligned, the record was dropped rather than paired with a transcript we could not trust. 107 transcripts over 59 records survived that gate. Because the gate removes the utterances the recogniser handled worst, the spoken-condition numbers below are if anything optimistic.</w:t>
      </w:r>
    </w:p>
    <w:p>
      <w:pPr>
        <w:spacing w:before="0" w:after="0" w:line="216" w:lineRule="auto"/>
        <w:ind w:firstLine="201"/>
        <w:jc w:val="both"/>
      </w:pPr>
      <w:r>
        <w:rPr>
          <w:rFonts w:ascii="Times New Roman" w:hAnsi="Times New Roman" w:cs="Times New Roman"/>
          <w:sz w:val="18"/>
          <w:szCs w:val="18"/>
        </w:rPr>
        <w:t xml:space="preserve">Model: </w:t>
      </w:r>
      <w:r>
        <w:rPr>
          <w:rFonts w:ascii="Consolas" w:hAnsi="Consolas" w:cs="Consolas"/>
          <w:sz w:val="16"/>
          <w:szCs w:val="16"/>
        </w:rPr>
        <w:t xml:space="preserve">llama3.2:3b</w:t>
      </w:r>
      <w:r>
        <w:rPr>
          <w:rFonts w:ascii="Times New Roman" w:hAnsi="Times New Roman" w:cs="Times New Roman"/>
          <w:sz w:val="18"/>
          <w:szCs w:val="18"/>
        </w:rPr>
        <w:t xml:space="preserve"> [22, 30] on the tether laptop. Criteria that would falsify each claim were recorded in the protocol before the runs.</w:t>
      </w:r>
    </w:p>
    <w:p>
      <w:pPr>
        <w:keepNext/>
        <w:spacing w:before="170" w:after="60"/>
      </w:pPr>
      <w:r>
        <w:rPr>
          <w:rFonts w:ascii="Times New Roman" w:hAnsi="Times New Roman" w:cs="Times New Roman"/>
          <w:b/>
          <w:sz w:val="19"/>
          <w:szCs w:val="19"/>
        </w:rPr>
        <w:t xml:space="preserve">7  RESULTS</w:t>
      </w:r>
    </w:p>
    <w:tbl>
      <w:tblPr>
        <w:tblLayout w:type="fixed"/>
        <w:tblCellMar>
          <w:top w:w="18" w:type="dxa"/>
          <w:left w:w="40" w:type="dxa"/>
          <w:bottom w:w="18" w:type="dxa"/>
          <w:right w:w="40" w:type="dxa"/>
        </w:tblCellMar>
      </w:tblPr>
      <w:tblGrid>
        <w:gridCol w:w="1368"/>
        <w:gridCol w:w="503"/>
        <w:gridCol w:w="979"/>
        <w:gridCol w:w="979"/>
        <w:gridCol w:w="964"/>
      </w:tblGrid>
      <w:tr>
        <w:trPr>
          <w:cantSplit/>
        </w:trPr>
        <w:tc>
          <w:tcPr>
            <w:tcW w:w="1368" w:type="dxa"/>
            <w:tcBorders>
              <w:top w:val="single" w:sz="12" w:space="0" w:color="000000"/>
              <w:bottom w:val="single" w:sz="6" w:space="0" w:color="000000"/>
            </w:tcBorders>
            <w:vAlign w:val="center"/>
          </w:tcPr>
          <w:p>
            <w:pPr>
              <w:keepNext/>
              <w:spacing w:before="22" w:after="22"/>
              <w:jc w:val="left"/>
            </w:pPr>
            <w:r>
              <w:rPr>
                <w:rFonts w:ascii="Times New Roman" w:hAnsi="Times New Roman" w:cs="Times New Roman"/>
                <w:b/>
                <w:sz w:val="16"/>
                <w:szCs w:val="16"/>
              </w:rPr>
              <w:t xml:space="preserve">Category</w:t>
            </w:r>
          </w:p>
        </w:tc>
        <w:tc>
          <w:tcPr>
            <w:tcW w:w="503"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n</w:t>
            </w:r>
          </w:p>
        </w:tc>
        <w:tc>
          <w:tcPr>
            <w:tcW w:w="979"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keyword</w:t>
            </w:r>
          </w:p>
        </w:tc>
        <w:tc>
          <w:tcPr>
            <w:tcW w:w="979"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LLM-only</w:t>
            </w:r>
          </w:p>
        </w:tc>
        <w:tc>
          <w:tcPr>
            <w:tcW w:w="964"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two-tier</w:t>
            </w:r>
          </w:p>
        </w:tc>
      </w:tr>
      <w:tr>
        <w:trPr>
          <w:cantSplit/>
        </w:trPr>
        <w:tc>
          <w:tcPr>
            <w:tcW w:w="1368" w:type="dxa"/>
            <w:vAlign w:val="center"/>
          </w:tcPr>
          <w:p>
            <w:pPr>
              <w:keepNext/>
              <w:spacing w:before="22" w:after="22"/>
              <w:jc w:val="left"/>
            </w:pPr>
            <w:r>
              <w:rPr>
                <w:rFonts w:ascii="Times New Roman" w:hAnsi="Times New Roman" w:cs="Times New Roman"/>
                <w:sz w:val="16"/>
                <w:szCs w:val="16"/>
              </w:rPr>
              <w:t xml:space="preserve">canonical</w:t>
            </w:r>
          </w:p>
        </w:tc>
        <w:tc>
          <w:tcPr>
            <w:tcW w:w="503" w:type="dxa"/>
            <w:vAlign w:val="center"/>
          </w:tcPr>
          <w:p>
            <w:pPr>
              <w:keepNext/>
              <w:spacing w:before="22" w:after="22"/>
              <w:jc w:val="right"/>
            </w:pPr>
            <w:r>
              <w:rPr>
                <w:rFonts w:ascii="Times New Roman" w:hAnsi="Times New Roman" w:cs="Times New Roman"/>
                <w:sz w:val="16"/>
                <w:szCs w:val="16"/>
              </w:rPr>
              <w:t xml:space="preserve">40</w:t>
            </w:r>
          </w:p>
        </w:tc>
        <w:tc>
          <w:tcPr>
            <w:tcW w:w="979" w:type="dxa"/>
            <w:vAlign w:val="center"/>
          </w:tcPr>
          <w:p>
            <w:pPr>
              <w:keepNext/>
              <w:spacing w:before="22" w:after="22"/>
              <w:jc w:val="right"/>
            </w:pPr>
            <w:r>
              <w:rPr>
                <w:rFonts w:ascii="Times New Roman" w:hAnsi="Times New Roman" w:cs="Times New Roman"/>
                <w:sz w:val="16"/>
                <w:szCs w:val="16"/>
              </w:rPr>
              <w:t xml:space="preserve">100.0</w:t>
            </w:r>
          </w:p>
        </w:tc>
        <w:tc>
          <w:tcPr>
            <w:tcW w:w="979" w:type="dxa"/>
            <w:vAlign w:val="center"/>
          </w:tcPr>
          <w:p>
            <w:pPr>
              <w:keepNext/>
              <w:spacing w:before="22" w:after="22"/>
              <w:jc w:val="right"/>
            </w:pPr>
            <w:r>
              <w:rPr>
                <w:rFonts w:ascii="Times New Roman" w:hAnsi="Times New Roman" w:cs="Times New Roman"/>
                <w:sz w:val="16"/>
                <w:szCs w:val="16"/>
              </w:rPr>
              <w:t xml:space="preserve">45.0</w:t>
            </w:r>
          </w:p>
        </w:tc>
        <w:tc>
          <w:tcPr>
            <w:tcW w:w="964" w:type="dxa"/>
            <w:vAlign w:val="center"/>
          </w:tcPr>
          <w:p>
            <w:pPr>
              <w:keepNext/>
              <w:spacing w:before="22" w:after="22"/>
              <w:jc w:val="right"/>
            </w:pPr>
            <w:r>
              <w:rPr>
                <w:rFonts w:ascii="Times New Roman" w:hAnsi="Times New Roman" w:cs="Times New Roman"/>
                <w:sz w:val="16"/>
                <w:szCs w:val="16"/>
              </w:rPr>
              <w:t xml:space="preserve">100.0</w:t>
            </w:r>
          </w:p>
        </w:tc>
      </w:tr>
      <w:tr>
        <w:trPr>
          <w:cantSplit/>
        </w:trPr>
        <w:tc>
          <w:tcPr>
            <w:tcW w:w="1368" w:type="dxa"/>
            <w:vAlign w:val="center"/>
          </w:tcPr>
          <w:p>
            <w:pPr>
              <w:keepNext/>
              <w:spacing w:before="22" w:after="22"/>
              <w:jc w:val="left"/>
            </w:pPr>
            <w:r>
              <w:rPr>
                <w:rFonts w:ascii="Times New Roman" w:hAnsi="Times New Roman" w:cs="Times New Roman"/>
                <w:sz w:val="16"/>
                <w:szCs w:val="16"/>
              </w:rPr>
              <w:t xml:space="preserve">paraphrase</w:t>
            </w:r>
          </w:p>
        </w:tc>
        <w:tc>
          <w:tcPr>
            <w:tcW w:w="503" w:type="dxa"/>
            <w:vAlign w:val="center"/>
          </w:tcPr>
          <w:p>
            <w:pPr>
              <w:keepNext/>
              <w:spacing w:before="22" w:after="22"/>
              <w:jc w:val="right"/>
            </w:pPr>
            <w:r>
              <w:rPr>
                <w:rFonts w:ascii="Times New Roman" w:hAnsi="Times New Roman" w:cs="Times New Roman"/>
                <w:sz w:val="16"/>
                <w:szCs w:val="16"/>
              </w:rPr>
              <w:t xml:space="preserve">70</w:t>
            </w:r>
          </w:p>
        </w:tc>
        <w:tc>
          <w:tcPr>
            <w:tcW w:w="979" w:type="dxa"/>
            <w:vAlign w:val="center"/>
          </w:tcPr>
          <w:p>
            <w:pPr>
              <w:keepNext/>
              <w:spacing w:before="22" w:after="22"/>
              <w:jc w:val="right"/>
            </w:pPr>
            <w:r>
              <w:rPr>
                <w:rFonts w:ascii="Times New Roman" w:hAnsi="Times New Roman" w:cs="Times New Roman"/>
                <w:sz w:val="16"/>
                <w:szCs w:val="16"/>
              </w:rPr>
              <w:t xml:space="preserve">0.0</w:t>
            </w:r>
          </w:p>
        </w:tc>
        <w:tc>
          <w:tcPr>
            <w:tcW w:w="979" w:type="dxa"/>
            <w:vAlign w:val="center"/>
          </w:tcPr>
          <w:p>
            <w:pPr>
              <w:keepNext/>
              <w:spacing w:before="22" w:after="22"/>
              <w:jc w:val="right"/>
            </w:pPr>
            <w:r>
              <w:rPr>
                <w:rFonts w:ascii="Times New Roman" w:hAnsi="Times New Roman" w:cs="Times New Roman"/>
                <w:sz w:val="16"/>
                <w:szCs w:val="16"/>
              </w:rPr>
              <w:t xml:space="preserve">48.6</w:t>
            </w:r>
          </w:p>
        </w:tc>
        <w:tc>
          <w:tcPr>
            <w:tcW w:w="964" w:type="dxa"/>
            <w:vAlign w:val="center"/>
          </w:tcPr>
          <w:p>
            <w:pPr>
              <w:keepNext/>
              <w:spacing w:before="22" w:after="22"/>
              <w:jc w:val="right"/>
            </w:pPr>
            <w:r>
              <w:rPr>
                <w:rFonts w:ascii="Times New Roman" w:hAnsi="Times New Roman" w:cs="Times New Roman"/>
                <w:sz w:val="16"/>
                <w:szCs w:val="16"/>
              </w:rPr>
              <w:t xml:space="preserve">47.1</w:t>
            </w:r>
          </w:p>
        </w:tc>
      </w:tr>
      <w:tr>
        <w:trPr>
          <w:cantSplit/>
        </w:trPr>
        <w:tc>
          <w:tcPr>
            <w:tcW w:w="1368" w:type="dxa"/>
            <w:vAlign w:val="center"/>
          </w:tcPr>
          <w:p>
            <w:pPr>
              <w:keepNext/>
              <w:spacing w:before="22" w:after="22"/>
              <w:jc w:val="left"/>
            </w:pPr>
            <w:r>
              <w:rPr>
                <w:rFonts w:ascii="Times New Roman" w:hAnsi="Times New Roman" w:cs="Times New Roman"/>
                <w:sz w:val="16"/>
                <w:szCs w:val="16"/>
              </w:rPr>
              <w:t xml:space="preserve">multi-intent</w:t>
            </w:r>
          </w:p>
        </w:tc>
        <w:tc>
          <w:tcPr>
            <w:tcW w:w="503" w:type="dxa"/>
            <w:vAlign w:val="center"/>
          </w:tcPr>
          <w:p>
            <w:pPr>
              <w:keepNext/>
              <w:spacing w:before="22" w:after="22"/>
              <w:jc w:val="right"/>
            </w:pPr>
            <w:r>
              <w:rPr>
                <w:rFonts w:ascii="Times New Roman" w:hAnsi="Times New Roman" w:cs="Times New Roman"/>
                <w:sz w:val="16"/>
                <w:szCs w:val="16"/>
              </w:rPr>
              <w:t xml:space="preserve">20</w:t>
            </w:r>
          </w:p>
        </w:tc>
        <w:tc>
          <w:tcPr>
            <w:tcW w:w="979" w:type="dxa"/>
            <w:vAlign w:val="center"/>
          </w:tcPr>
          <w:p>
            <w:pPr>
              <w:keepNext/>
              <w:spacing w:before="22" w:after="22"/>
              <w:jc w:val="right"/>
            </w:pPr>
            <w:r>
              <w:rPr>
                <w:rFonts w:ascii="Times New Roman" w:hAnsi="Times New Roman" w:cs="Times New Roman"/>
                <w:sz w:val="16"/>
                <w:szCs w:val="16"/>
              </w:rPr>
              <w:t xml:space="preserve">0.0</w:t>
            </w:r>
          </w:p>
        </w:tc>
        <w:tc>
          <w:tcPr>
            <w:tcW w:w="979" w:type="dxa"/>
            <w:vAlign w:val="center"/>
          </w:tcPr>
          <w:p>
            <w:pPr>
              <w:keepNext/>
              <w:spacing w:before="22" w:after="22"/>
              <w:jc w:val="right"/>
            </w:pPr>
            <w:r>
              <w:rPr>
                <w:rFonts w:ascii="Times New Roman" w:hAnsi="Times New Roman" w:cs="Times New Roman"/>
                <w:sz w:val="16"/>
                <w:szCs w:val="16"/>
              </w:rPr>
              <w:t xml:space="preserve">30.0</w:t>
            </w:r>
          </w:p>
        </w:tc>
        <w:tc>
          <w:tcPr>
            <w:tcW w:w="964" w:type="dxa"/>
            <w:vAlign w:val="center"/>
          </w:tcPr>
          <w:p>
            <w:pPr>
              <w:keepNext/>
              <w:spacing w:before="22" w:after="22"/>
              <w:jc w:val="right"/>
            </w:pPr>
            <w:r>
              <w:rPr>
                <w:rFonts w:ascii="Times New Roman" w:hAnsi="Times New Roman" w:cs="Times New Roman"/>
                <w:sz w:val="16"/>
                <w:szCs w:val="16"/>
              </w:rPr>
              <w:t xml:space="preserve">10.0</w:t>
            </w:r>
          </w:p>
        </w:tc>
      </w:tr>
      <w:tr>
        <w:trPr>
          <w:cantSplit/>
        </w:trPr>
        <w:tc>
          <w:tcPr>
            <w:tcW w:w="1368" w:type="dxa"/>
            <w:vAlign w:val="center"/>
          </w:tcPr>
          <w:p>
            <w:pPr>
              <w:keepNext/>
              <w:spacing w:before="22" w:after="22"/>
              <w:jc w:val="left"/>
            </w:pPr>
            <w:r>
              <w:rPr>
                <w:rFonts w:ascii="Times New Roman" w:hAnsi="Times New Roman" w:cs="Times New Roman"/>
                <w:sz w:val="16"/>
                <w:szCs w:val="16"/>
              </w:rPr>
              <w:t xml:space="preserve">out-of-scope</w:t>
            </w:r>
          </w:p>
        </w:tc>
        <w:tc>
          <w:tcPr>
            <w:tcW w:w="503" w:type="dxa"/>
            <w:vAlign w:val="center"/>
          </w:tcPr>
          <w:p>
            <w:pPr>
              <w:keepNext/>
              <w:spacing w:before="22" w:after="22"/>
              <w:jc w:val="right"/>
            </w:pPr>
            <w:r>
              <w:rPr>
                <w:rFonts w:ascii="Times New Roman" w:hAnsi="Times New Roman" w:cs="Times New Roman"/>
                <w:sz w:val="16"/>
                <w:szCs w:val="16"/>
              </w:rPr>
              <w:t xml:space="preserve">40</w:t>
            </w:r>
          </w:p>
        </w:tc>
        <w:tc>
          <w:tcPr>
            <w:tcW w:w="979" w:type="dxa"/>
            <w:vAlign w:val="center"/>
          </w:tcPr>
          <w:p>
            <w:pPr>
              <w:keepNext/>
              <w:spacing w:before="22" w:after="22"/>
              <w:jc w:val="right"/>
            </w:pPr>
            <w:r>
              <w:rPr>
                <w:rFonts w:ascii="Times New Roman" w:hAnsi="Times New Roman" w:cs="Times New Roman"/>
                <w:sz w:val="16"/>
                <w:szCs w:val="16"/>
              </w:rPr>
              <w:t xml:space="preserve">95.0</w:t>
            </w:r>
          </w:p>
        </w:tc>
        <w:tc>
          <w:tcPr>
            <w:tcW w:w="979" w:type="dxa"/>
            <w:vAlign w:val="center"/>
          </w:tcPr>
          <w:p>
            <w:pPr>
              <w:keepNext/>
              <w:spacing w:before="22" w:after="22"/>
              <w:jc w:val="right"/>
            </w:pPr>
            <w:r>
              <w:rPr>
                <w:rFonts w:ascii="Times New Roman" w:hAnsi="Times New Roman" w:cs="Times New Roman"/>
                <w:sz w:val="16"/>
                <w:szCs w:val="16"/>
              </w:rPr>
              <w:t xml:space="preserve">47.5</w:t>
            </w:r>
          </w:p>
        </w:tc>
        <w:tc>
          <w:tcPr>
            <w:tcW w:w="964" w:type="dxa"/>
            <w:vAlign w:val="center"/>
          </w:tcPr>
          <w:p>
            <w:pPr>
              <w:keepNext/>
              <w:spacing w:before="22" w:after="22"/>
              <w:jc w:val="right"/>
            </w:pPr>
            <w:r>
              <w:rPr>
                <w:rFonts w:ascii="Times New Roman" w:hAnsi="Times New Roman" w:cs="Times New Roman"/>
                <w:sz w:val="16"/>
                <w:szCs w:val="16"/>
              </w:rPr>
              <w:t xml:space="preserve">45.0</w:t>
            </w:r>
          </w:p>
        </w:tc>
      </w:tr>
      <w:tr>
        <w:trPr>
          <w:cantSplit/>
        </w:trPr>
        <w:tc>
          <w:tcPr>
            <w:tcW w:w="1368" w:type="dxa"/>
            <w:vAlign w:val="center"/>
          </w:tcPr>
          <w:p>
            <w:pPr>
              <w:keepNext/>
              <w:spacing w:before="22" w:after="22"/>
              <w:jc w:val="left"/>
            </w:pPr>
            <w:r>
              <w:rPr>
                <w:rFonts w:ascii="Times New Roman" w:hAnsi="Times New Roman" w:cs="Times New Roman"/>
                <w:sz w:val="16"/>
                <w:szCs w:val="16"/>
              </w:rPr>
              <w:t xml:space="preserve">ambiguous</w:t>
            </w:r>
          </w:p>
        </w:tc>
        <w:tc>
          <w:tcPr>
            <w:tcW w:w="503" w:type="dxa"/>
            <w:vAlign w:val="center"/>
          </w:tcPr>
          <w:p>
            <w:pPr>
              <w:keepNext/>
              <w:spacing w:before="22" w:after="22"/>
              <w:jc w:val="right"/>
            </w:pPr>
            <w:r>
              <w:rPr>
                <w:rFonts w:ascii="Times New Roman" w:hAnsi="Times New Roman" w:cs="Times New Roman"/>
                <w:sz w:val="16"/>
                <w:szCs w:val="16"/>
              </w:rPr>
              <w:t xml:space="preserve">30</w:t>
            </w:r>
          </w:p>
        </w:tc>
        <w:tc>
          <w:tcPr>
            <w:tcW w:w="979" w:type="dxa"/>
            <w:vAlign w:val="center"/>
          </w:tcPr>
          <w:p>
            <w:pPr>
              <w:keepNext/>
              <w:spacing w:before="22" w:after="22"/>
              <w:jc w:val="right"/>
            </w:pPr>
            <w:r>
              <w:rPr>
                <w:rFonts w:ascii="Times New Roman" w:hAnsi="Times New Roman" w:cs="Times New Roman"/>
                <w:sz w:val="16"/>
                <w:szCs w:val="16"/>
              </w:rPr>
              <w:t xml:space="preserve">3.3</w:t>
            </w:r>
          </w:p>
        </w:tc>
        <w:tc>
          <w:tcPr>
            <w:tcW w:w="979" w:type="dxa"/>
            <w:vAlign w:val="center"/>
          </w:tcPr>
          <w:p>
            <w:pPr>
              <w:keepNext/>
              <w:spacing w:before="22" w:after="22"/>
              <w:jc w:val="right"/>
            </w:pPr>
            <w:r>
              <w:rPr>
                <w:rFonts w:ascii="Times New Roman" w:hAnsi="Times New Roman" w:cs="Times New Roman"/>
                <w:sz w:val="16"/>
                <w:szCs w:val="16"/>
              </w:rPr>
              <w:t xml:space="preserve">43.3</w:t>
            </w:r>
          </w:p>
        </w:tc>
        <w:tc>
          <w:tcPr>
            <w:tcW w:w="964" w:type="dxa"/>
            <w:vAlign w:val="center"/>
          </w:tcPr>
          <w:p>
            <w:pPr>
              <w:keepNext/>
              <w:spacing w:before="22" w:after="22"/>
              <w:jc w:val="right"/>
            </w:pPr>
            <w:r>
              <w:rPr>
                <w:rFonts w:ascii="Times New Roman" w:hAnsi="Times New Roman" w:cs="Times New Roman"/>
                <w:sz w:val="16"/>
                <w:szCs w:val="16"/>
              </w:rPr>
              <w:t xml:space="preserve">43.3</w:t>
            </w:r>
          </w:p>
        </w:tc>
      </w:tr>
      <w:tr>
        <w:trPr>
          <w:cantSplit/>
        </w:trPr>
        <w:tc>
          <w:tcPr>
            <w:tcW w:w="1368"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overall</w:t>
            </w:r>
          </w:p>
        </w:tc>
        <w:tc>
          <w:tcPr>
            <w:tcW w:w="503"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200</w:t>
            </w:r>
          </w:p>
        </w:tc>
        <w:tc>
          <w:tcPr>
            <w:tcW w:w="979"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39.5</w:t>
            </w:r>
          </w:p>
        </w:tc>
        <w:tc>
          <w:tcPr>
            <w:tcW w:w="979"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45.0</w:t>
            </w:r>
          </w:p>
        </w:tc>
        <w:tc>
          <w:tcPr>
            <w:tcW w:w="964"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53.0</w:t>
            </w:r>
          </w:p>
        </w:tc>
      </w:tr>
    </w:tbl>
    <w:p>
      <w:pPr>
        <w:spacing w:before="0" w:after="0"/>
      </w:pPr>
      <w:r>
        <w:rPr>
          <w:rFonts w:ascii="Times New Roman" w:hAnsi="Times New Roman" w:cs="Times New Roman"/>
          <w:sz w:val="18"/>
          <w:szCs w:val="18"/>
        </w:rPr>
        <w:t xml:space="preserve"/>
      </w:r>
    </w:p>
    <w:p>
      <w:pPr>
        <w:spacing w:before="0" w:after="110" w:line="200" w:lineRule="auto"/>
        <w:jc w:val="both"/>
      </w:pPr>
      <w:r>
        <w:rPr>
          <w:rFonts w:ascii="Times New Roman" w:hAnsi="Times New Roman" w:cs="Times New Roman"/>
          <w:b/>
          <w:sz w:val="16"/>
          <w:szCs w:val="16"/>
        </w:rPr>
        <w:t xml:space="preserve">Table 1.</w:t>
      </w:r>
      <w:r>
        <w:rPr>
          <w:rFonts w:ascii="Times New Roman" w:hAnsi="Times New Roman" w:cs="Times New Roman"/>
          <w:sz w:val="16"/>
          <w:szCs w:val="16"/>
        </w:rPr>
        <w:t xml:space="preserve"> Routing accuracy (%), clean text, n = 200. Wilson 95% CIs on the overall row: keyword 33.0–46.4, LLM-only 38.3–51.9, two-tier 46.1–59.8.</w:t>
      </w:r>
    </w:p>
    <w:p>
      <w:pPr>
        <w:spacing w:before="90" w:after="40"/>
        <w:jc w:val="center"/>
      </w:pPr>
      <w:r>
        <w:drawing>
          <wp:inline distT="0" distB="0" distL="0" distR="0">
            <wp:extent cx="3044952" cy="1691640"/>
            <wp:docPr id="3" name="Figure 3"/>
            <a:graphic>
              <a:graphicData uri="http://schemas.openxmlformats.org/drawingml/2006/picture">
                <pic:pic>
                  <pic:nvPicPr>
                    <pic:cNvPr id="3" name="f3_accuracy.png"/>
                    <pic:cNvPicPr/>
                  </pic:nvPicPr>
                  <pic:blipFill>
                    <a:blip r:embed="rIdImg3"/>
                    <a:stretch>
                      <a:fillRect/>
                    </a:stretch>
                  </pic:blipFill>
                  <pic:spPr>
                    <a:xfrm>
                      <a:off x="0" y="0"/>
                      <a:ext cx="3044952" cy="1691640"/>
                    </a:xfrm>
                    <a:prstGeom prst="rect">
                      <a:avLst/>
                    </a:prstGeom>
                  </pic:spPr>
                </pic:pic>
              </a:graphicData>
            </a:graphic>
          </wp:inline>
        </w:drawing>
      </w:r>
    </w:p>
    <w:p>
      <w:pPr>
        <w:spacing w:before="0" w:after="110" w:line="200" w:lineRule="auto"/>
        <w:jc w:val="both"/>
      </w:pPr>
      <w:r>
        <w:rPr>
          <w:rFonts w:ascii="Times New Roman" w:hAnsi="Times New Roman" w:cs="Times New Roman"/>
          <w:b/>
          <w:sz w:val="16"/>
          <w:szCs w:val="16"/>
        </w:rPr>
        <w:t xml:space="preserve">Figure 3.</w:t>
      </w:r>
      <w:r>
        <w:rPr>
          <w:rFonts w:ascii="Times New Roman" w:hAnsi="Times New Roman" w:cs="Times New Roman"/>
          <w:sz w:val="16"/>
          <w:szCs w:val="16"/>
        </w:rPr>
        <w:t xml:space="preserve"> Routing accuracy by category, n = 200. For out-of-scope, “accuracy” means correctly abstaining. The keyword bars at zero are not degradation but absence: a grammar cannot hear what is not in its grammar.</w:t>
      </w:r>
    </w:p>
    <w:p>
      <w:pPr>
        <w:spacing w:before="0" w:after="0" w:line="216" w:lineRule="auto"/>
        <w:ind w:firstLine="0"/>
        <w:jc w:val="both"/>
      </w:pPr>
      <w:r>
        <w:rPr>
          <w:rFonts w:ascii="Times New Roman" w:hAnsi="Times New Roman" w:cs="Times New Roman"/>
          <w:sz w:val="18"/>
          <w:szCs w:val="18"/>
        </w:rPr>
        <w:t xml:space="preserve">Three things in Table 1 matter more than the overall column.</w:t>
      </w:r>
    </w:p>
    <w:p>
      <w:pPr>
        <w:spacing w:before="0" w:after="0" w:line="216" w:lineRule="auto"/>
        <w:ind w:firstLine="201"/>
        <w:jc w:val="both"/>
      </w:pPr>
      <w:r>
        <w:rPr>
          <w:rFonts w:ascii="Times New Roman" w:hAnsi="Times New Roman" w:cs="Times New Roman"/>
          <w:b/>
          <w:sz w:val="18"/>
          <w:szCs w:val="18"/>
        </w:rPr>
        <w:t xml:space="preserve">The baseline's shape is the motivation stated as data. </w:t>
      </w:r>
      <w:r>
        <w:rPr>
          <w:rFonts w:ascii="Times New Roman" w:hAnsi="Times New Roman" w:cs="Times New Roman"/>
          <w:sz w:val="18"/>
          <w:szCs w:val="18"/>
        </w:rPr>
        <w:t xml:space="preserve">It is perfect on the phrasings it was designed for and </w:t>
      </w:r>
      <w:r>
        <w:rPr>
          <w:rFonts w:ascii="Times New Roman" w:hAnsi="Times New Roman" w:cs="Times New Roman"/>
          <w:i/>
          <w:sz w:val="18"/>
          <w:szCs w:val="18"/>
        </w:rPr>
        <w:t xml:space="preserve">zero</w:t>
      </w:r>
      <w:r>
        <w:rPr>
          <w:rFonts w:ascii="Times New Roman" w:hAnsi="Times New Roman" w:cs="Times New Roman"/>
          <w:sz w:val="18"/>
          <w:szCs w:val="18"/>
        </w:rPr>
        <w:t xml:space="preserve"> on paraphrase and multi-intent—not degraded, absent.</w:t>
      </w:r>
    </w:p>
    <w:p>
      <w:pPr>
        <w:spacing w:before="0" w:after="0" w:line="216" w:lineRule="auto"/>
        <w:ind w:firstLine="201"/>
        <w:jc w:val="both"/>
      </w:pPr>
      <w:r>
        <w:rPr>
          <w:rFonts w:ascii="Times New Roman" w:hAnsi="Times New Roman" w:cs="Times New Roman"/>
          <w:b/>
          <w:sz w:val="18"/>
          <w:szCs w:val="18"/>
        </w:rPr>
        <w:t xml:space="preserve">Tiering strictly dominates LLM-only. </w:t>
      </w:r>
      <w:r>
        <w:rPr>
          <w:rFonts w:ascii="Times New Roman" w:hAnsi="Times New Roman" w:cs="Times New Roman"/>
          <w:sz w:val="18"/>
          <w:szCs w:val="18"/>
        </w:rPr>
        <w:t xml:space="preserve">LLM-only loses 55% of the canonical category: the model mis-routes utterances the keyword parser gets right by construction, usually by substituting a plausible neighbour (</w:t>
      </w:r>
      <w:r>
        <w:rPr>
          <w:rFonts w:ascii="Consolas" w:hAnsi="Consolas" w:cs="Consolas"/>
          <w:sz w:val="16"/>
          <w:szCs w:val="16"/>
        </w:rPr>
        <w:t xml:space="preserve">describe</w:t>
      </w:r>
      <w:r>
        <w:rPr>
          <w:rFonts w:ascii="Times New Roman" w:hAnsi="Times New Roman" w:cs="Times New Roman"/>
          <w:sz w:val="18"/>
          <w:szCs w:val="18"/>
        </w:rPr>
        <w:t xml:space="preserve"> for </w:t>
      </w:r>
      <w:r>
        <w:rPr>
          <w:rFonts w:ascii="Consolas" w:hAnsi="Consolas" w:cs="Consolas"/>
          <w:sz w:val="16"/>
          <w:szCs w:val="16"/>
        </w:rPr>
        <w:t xml:space="preserve">count</w:t>
      </w:r>
      <w:r>
        <w:rPr>
          <w:rFonts w:ascii="Times New Roman" w:hAnsi="Times New Roman" w:cs="Times New Roman"/>
          <w:sz w:val="18"/>
          <w:szCs w:val="18"/>
        </w:rPr>
        <w:t xml:space="preserve">, </w:t>
      </w:r>
      <w:r>
        <w:rPr>
          <w:rFonts w:ascii="Consolas" w:hAnsi="Consolas" w:cs="Consolas"/>
          <w:sz w:val="16"/>
          <w:szCs w:val="16"/>
        </w:rPr>
        <w:t xml:space="preserve">walk</w:t>
      </w:r>
      <w:r>
        <w:rPr>
          <w:rFonts w:ascii="Times New Roman" w:hAnsi="Times New Roman" w:cs="Times New Roman"/>
          <w:sz w:val="18"/>
          <w:szCs w:val="18"/>
        </w:rPr>
        <w:t xml:space="preserve"> for </w:t>
      </w:r>
      <w:r>
        <w:rPr>
          <w:rFonts w:ascii="Consolas" w:hAnsi="Consolas" w:cs="Consolas"/>
          <w:sz w:val="16"/>
          <w:szCs w:val="16"/>
        </w:rPr>
        <w:t xml:space="preserve">zones</w:t>
      </w:r>
      <w:r>
        <w:rPr>
          <w:rFonts w:ascii="Times New Roman" w:hAnsi="Times New Roman" w:cs="Times New Roman"/>
          <w:sz w:val="18"/>
          <w:szCs w:val="18"/>
        </w:rPr>
        <w:t xml:space="preserve">). Two-tier keeps 100% there because those utterances never reach the model, and still collects most of the paraphrase gain. The deterministic tier is not a latency optimisation with an accuracy cost; it is more accurate </w:t>
      </w:r>
      <w:r>
        <w:rPr>
          <w:rFonts w:ascii="Times New Roman" w:hAnsi="Times New Roman" w:cs="Times New Roman"/>
          <w:i/>
          <w:sz w:val="18"/>
          <w:szCs w:val="18"/>
        </w:rPr>
        <w:t xml:space="preserve">and</w:t>
      </w:r>
      <w:r>
        <w:rPr>
          <w:rFonts w:ascii="Times New Roman" w:hAnsi="Times New Roman" w:cs="Times New Roman"/>
          <w:sz w:val="18"/>
          <w:szCs w:val="18"/>
        </w:rPr>
        <w:t xml:space="preserve"> faster on the traffic it covers.</w:t>
      </w:r>
    </w:p>
    <w:p>
      <w:pPr>
        <w:spacing w:before="0" w:after="0" w:line="216" w:lineRule="auto"/>
        <w:ind w:firstLine="201"/>
        <w:jc w:val="both"/>
      </w:pPr>
      <w:r>
        <w:rPr>
          <w:rFonts w:ascii="Times New Roman" w:hAnsi="Times New Roman" w:cs="Times New Roman"/>
          <w:b/>
          <w:sz w:val="18"/>
          <w:szCs w:val="18"/>
        </w:rPr>
        <w:t xml:space="preserve">The abstention collapse is the headline, and it is negative. </w:t>
      </w:r>
      <w:r>
        <w:rPr>
          <w:rFonts w:ascii="Times New Roman" w:hAnsi="Times New Roman" w:cs="Times New Roman"/>
          <w:sz w:val="18"/>
          <w:szCs w:val="18"/>
        </w:rPr>
        <w:t xml:space="preserve">The keyword baseline abstains on 95% of out-of-scope input for free—an unmatched utterance returns nothing. Both language-model configurations spend nearly all of it (Table 2): a 3B model choosing among fourteen tools nearly always finds one it likes. “Call my mum” becomes </w:t>
      </w:r>
      <w:r>
        <w:rPr>
          <w:rFonts w:ascii="Consolas" w:hAnsi="Consolas" w:cs="Consolas"/>
          <w:sz w:val="16"/>
          <w:szCs w:val="16"/>
        </w:rPr>
        <w:t xml:space="preserve">read</w:t>
      </w:r>
      <w:r>
        <w:rPr>
          <w:rFonts w:ascii="Times New Roman" w:hAnsi="Times New Roman" w:cs="Times New Roman"/>
          <w:sz w:val="18"/>
          <w:szCs w:val="18"/>
        </w:rPr>
        <w:t xml:space="preserve">; “what time is it” becomes </w:t>
      </w:r>
      <w:r>
        <w:rPr>
          <w:rFonts w:ascii="Consolas" w:hAnsi="Consolas" w:cs="Consolas"/>
          <w:sz w:val="16"/>
          <w:szCs w:val="16"/>
        </w:rPr>
        <w:t xml:space="preserve">clock</w:t>
      </w:r>
      <w:r>
        <w:rPr>
          <w:rFonts w:ascii="Times New Roman" w:hAnsi="Times New Roman" w:cs="Times New Roman"/>
          <w:sz w:val="18"/>
          <w:szCs w:val="18"/>
        </w:rPr>
        <w:t xml:space="preserve">; “take a photo” becomes </w:t>
      </w:r>
      <w:r>
        <w:rPr>
          <w:rFonts w:ascii="Consolas" w:hAnsi="Consolas" w:cs="Consolas"/>
          <w:sz w:val="16"/>
          <w:szCs w:val="16"/>
        </w:rPr>
        <w:t xml:space="preserve">walk</w:t>
      </w:r>
      <w:r>
        <w:rPr>
          <w:rFonts w:ascii="Times New Roman" w:hAnsi="Times New Roman" w:cs="Times New Roman"/>
          <w:sz w:val="18"/>
          <w:szCs w:val="18"/>
        </w:rPr>
        <w:t xml:space="preserve">. We report this unmitigated because the protocol was frozen before the router existed and tuning the prompt against this set is what the freeze forbids. It does not falsify C1 or C2—no run fabricated perception, and tier-0 abstention is intact for the traffic tier 0 covers—but it falsifies any reading of C5 in which adding a local model is a free improvement.</w:t>
      </w:r>
    </w:p>
    <w:tbl>
      <w:tblPr>
        <w:tblLayout w:type="fixed"/>
        <w:tblCellMar>
          <w:top w:w="18" w:type="dxa"/>
          <w:left w:w="40" w:type="dxa"/>
          <w:bottom w:w="18" w:type="dxa"/>
          <w:right w:w="40" w:type="dxa"/>
        </w:tblCellMar>
      </w:tblPr>
      <w:tblGrid>
        <w:gridCol w:w="1785"/>
        <w:gridCol w:w="1007"/>
        <w:gridCol w:w="1007"/>
        <w:gridCol w:w="993"/>
      </w:tblGrid>
      <w:tr>
        <w:trPr>
          <w:cantSplit/>
        </w:trPr>
        <w:tc>
          <w:tcPr>
            <w:tcW w:w="1785" w:type="dxa"/>
            <w:tcBorders>
              <w:top w:val="single" w:sz="12" w:space="0" w:color="000000"/>
              <w:bottom w:val="single" w:sz="6" w:space="0" w:color="000000"/>
            </w:tcBorders>
            <w:vAlign w:val="center"/>
          </w:tcPr>
          <w:p>
            <w:pPr>
              <w:keepNext/>
              <w:spacing w:before="22" w:after="22"/>
              <w:jc w:val="left"/>
            </w:pPr>
            <w:r>
              <w:rPr>
                <w:rFonts w:ascii="Times New Roman" w:hAnsi="Times New Roman" w:cs="Times New Roman"/>
                <w:b/>
                <w:sz w:val="16"/>
                <w:szCs w:val="16"/>
              </w:rPr>
              <w:t xml:space="preserve"/>
            </w:r>
          </w:p>
        </w:tc>
        <w:tc>
          <w:tcPr>
            <w:tcW w:w="1007"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keyword</w:t>
            </w:r>
          </w:p>
        </w:tc>
        <w:tc>
          <w:tcPr>
            <w:tcW w:w="1007"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LLM-only</w:t>
            </w:r>
          </w:p>
        </w:tc>
        <w:tc>
          <w:tcPr>
            <w:tcW w:w="993"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two-tier</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abstained</w:t>
            </w:r>
          </w:p>
        </w:tc>
        <w:tc>
          <w:tcPr>
            <w:tcW w:w="1007" w:type="dxa"/>
            <w:vAlign w:val="center"/>
          </w:tcPr>
          <w:p>
            <w:pPr>
              <w:keepNext/>
              <w:spacing w:before="22" w:after="22"/>
              <w:jc w:val="right"/>
            </w:pPr>
            <w:r>
              <w:rPr>
                <w:rFonts w:ascii="Times New Roman" w:hAnsi="Times New Roman" w:cs="Times New Roman"/>
                <w:sz w:val="16"/>
                <w:szCs w:val="16"/>
              </w:rPr>
              <w:t xml:space="preserve">38</w:t>
            </w:r>
          </w:p>
        </w:tc>
        <w:tc>
          <w:tcPr>
            <w:tcW w:w="1007" w:type="dxa"/>
            <w:vAlign w:val="center"/>
          </w:tcPr>
          <w:p>
            <w:pPr>
              <w:keepNext/>
              <w:spacing w:before="22" w:after="22"/>
              <w:jc w:val="right"/>
            </w:pPr>
            <w:r>
              <w:rPr>
                <w:rFonts w:ascii="Times New Roman" w:hAnsi="Times New Roman" w:cs="Times New Roman"/>
                <w:sz w:val="16"/>
                <w:szCs w:val="16"/>
              </w:rPr>
              <w:t xml:space="preserve">19</w:t>
            </w:r>
          </w:p>
        </w:tc>
        <w:tc>
          <w:tcPr>
            <w:tcW w:w="993" w:type="dxa"/>
            <w:vAlign w:val="center"/>
          </w:tcPr>
          <w:p>
            <w:pPr>
              <w:keepNext/>
              <w:spacing w:before="22" w:after="22"/>
              <w:jc w:val="right"/>
            </w:pPr>
            <w:r>
              <w:rPr>
                <w:rFonts w:ascii="Times New Roman" w:hAnsi="Times New Roman" w:cs="Times New Roman"/>
                <w:sz w:val="16"/>
                <w:szCs w:val="16"/>
              </w:rPr>
              <w:t xml:space="preserve">18</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answered anyway</w:t>
            </w:r>
          </w:p>
        </w:tc>
        <w:tc>
          <w:tcPr>
            <w:tcW w:w="1007" w:type="dxa"/>
            <w:vAlign w:val="center"/>
          </w:tcPr>
          <w:p>
            <w:pPr>
              <w:keepNext/>
              <w:spacing w:before="22" w:after="22"/>
              <w:jc w:val="right"/>
            </w:pPr>
            <w:r>
              <w:rPr>
                <w:rFonts w:ascii="Times New Roman" w:hAnsi="Times New Roman" w:cs="Times New Roman"/>
                <w:sz w:val="16"/>
                <w:szCs w:val="16"/>
              </w:rPr>
              <w:t xml:space="preserve">2</w:t>
            </w:r>
          </w:p>
        </w:tc>
        <w:tc>
          <w:tcPr>
            <w:tcW w:w="1007" w:type="dxa"/>
            <w:vAlign w:val="center"/>
          </w:tcPr>
          <w:p>
            <w:pPr>
              <w:keepNext/>
              <w:spacing w:before="22" w:after="22"/>
              <w:jc w:val="right"/>
            </w:pPr>
            <w:r>
              <w:rPr>
                <w:rFonts w:ascii="Times New Roman" w:hAnsi="Times New Roman" w:cs="Times New Roman"/>
                <w:sz w:val="16"/>
                <w:szCs w:val="16"/>
              </w:rPr>
              <w:t xml:space="preserve">21</w:t>
            </w:r>
          </w:p>
        </w:tc>
        <w:tc>
          <w:tcPr>
            <w:tcW w:w="993" w:type="dxa"/>
            <w:vAlign w:val="center"/>
          </w:tcPr>
          <w:p>
            <w:pPr>
              <w:keepNext/>
              <w:spacing w:before="22" w:after="22"/>
              <w:jc w:val="right"/>
            </w:pPr>
            <w:r>
              <w:rPr>
                <w:rFonts w:ascii="Times New Roman" w:hAnsi="Times New Roman" w:cs="Times New Roman"/>
                <w:sz w:val="16"/>
                <w:szCs w:val="16"/>
              </w:rPr>
              <w:t xml:space="preserve">22</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over-trigger rate</w:t>
            </w:r>
          </w:p>
        </w:tc>
        <w:tc>
          <w:tcPr>
            <w:tcW w:w="1007" w:type="dxa"/>
            <w:vAlign w:val="center"/>
          </w:tcPr>
          <w:p>
            <w:pPr>
              <w:keepNext/>
              <w:spacing w:before="22" w:after="22"/>
              <w:jc w:val="right"/>
            </w:pPr>
            <w:r>
              <w:rPr>
                <w:rFonts w:ascii="Times New Roman" w:hAnsi="Times New Roman" w:cs="Times New Roman"/>
                <w:sz w:val="16"/>
                <w:szCs w:val="16"/>
              </w:rPr>
              <w:t xml:space="preserve">5.0%</w:t>
            </w:r>
          </w:p>
        </w:tc>
        <w:tc>
          <w:tcPr>
            <w:tcW w:w="1007" w:type="dxa"/>
            <w:vAlign w:val="center"/>
          </w:tcPr>
          <w:p>
            <w:pPr>
              <w:keepNext/>
              <w:spacing w:before="22" w:after="22"/>
              <w:jc w:val="right"/>
            </w:pPr>
            <w:r>
              <w:rPr>
                <w:rFonts w:ascii="Times New Roman" w:hAnsi="Times New Roman" w:cs="Times New Roman"/>
                <w:sz w:val="16"/>
                <w:szCs w:val="16"/>
              </w:rPr>
              <w:t xml:space="preserve">52.5%</w:t>
            </w:r>
          </w:p>
        </w:tc>
        <w:tc>
          <w:tcPr>
            <w:tcW w:w="993" w:type="dxa"/>
            <w:vAlign w:val="center"/>
          </w:tcPr>
          <w:p>
            <w:pPr>
              <w:keepNext/>
              <w:spacing w:before="22" w:after="22"/>
              <w:jc w:val="right"/>
            </w:pPr>
            <w:r>
              <w:rPr>
                <w:rFonts w:ascii="Times New Roman" w:hAnsi="Times New Roman" w:cs="Times New Roman"/>
                <w:sz w:val="16"/>
                <w:szCs w:val="16"/>
              </w:rPr>
              <w:t xml:space="preserve">55.0%</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tier-0 hit, p50</w:t>
            </w:r>
          </w:p>
        </w:tc>
        <w:tc>
          <w:tcPr>
            <w:tcW w:w="1007" w:type="dxa"/>
            <w:vAlign w:val="center"/>
          </w:tcPr>
          <w:p>
            <w:pPr>
              <w:keepNext/>
              <w:spacing w:before="22" w:after="22"/>
              <w:jc w:val="right"/>
            </w:pPr>
            <w:r>
              <w:rPr>
                <w:rFonts w:ascii="Times New Roman" w:hAnsi="Times New Roman" w:cs="Times New Roman"/>
                <w:sz w:val="16"/>
                <w:szCs w:val="16"/>
              </w:rPr>
              <w:t xml:space="preserve">5 µs</w:t>
            </w:r>
          </w:p>
        </w:tc>
        <w:tc>
          <w:tcPr>
            <w:tcW w:w="1007" w:type="dxa"/>
            <w:vAlign w:val="center"/>
          </w:tcPr>
          <w:p>
            <w:pPr>
              <w:keepNext/>
              <w:spacing w:before="22" w:after="22"/>
              <w:jc w:val="right"/>
            </w:pPr>
            <w:r>
              <w:rPr>
                <w:rFonts w:ascii="Times New Roman" w:hAnsi="Times New Roman" w:cs="Times New Roman"/>
                <w:sz w:val="16"/>
                <w:szCs w:val="16"/>
              </w:rPr>
              <w:t xml:space="preserve">—</w:t>
            </w:r>
          </w:p>
        </w:tc>
        <w:tc>
          <w:tcPr>
            <w:tcW w:w="993" w:type="dxa"/>
            <w:vAlign w:val="center"/>
          </w:tcPr>
          <w:p>
            <w:pPr>
              <w:keepNext/>
              <w:spacing w:before="22" w:after="22"/>
              <w:jc w:val="right"/>
            </w:pPr>
            <w:r>
              <w:rPr>
                <w:rFonts w:ascii="Times New Roman" w:hAnsi="Times New Roman" w:cs="Times New Roman"/>
                <w:sz w:val="16"/>
                <w:szCs w:val="16"/>
              </w:rPr>
              <w:t xml:space="preserve">5 µs</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tier-1 hit, p50</w:t>
            </w:r>
          </w:p>
        </w:tc>
        <w:tc>
          <w:tcPr>
            <w:tcW w:w="1007" w:type="dxa"/>
            <w:vAlign w:val="center"/>
          </w:tcPr>
          <w:p>
            <w:pPr>
              <w:keepNext/>
              <w:spacing w:before="22" w:after="22"/>
              <w:jc w:val="right"/>
            </w:pPr>
            <w:r>
              <w:rPr>
                <w:rFonts w:ascii="Times New Roman" w:hAnsi="Times New Roman" w:cs="Times New Roman"/>
                <w:sz w:val="16"/>
                <w:szCs w:val="16"/>
              </w:rPr>
              <w:t xml:space="preserve">—</w:t>
            </w:r>
          </w:p>
        </w:tc>
        <w:tc>
          <w:tcPr>
            <w:tcW w:w="1007" w:type="dxa"/>
            <w:vAlign w:val="center"/>
          </w:tcPr>
          <w:p>
            <w:pPr>
              <w:keepNext/>
              <w:spacing w:before="22" w:after="22"/>
              <w:jc w:val="right"/>
            </w:pPr>
            <w:r>
              <w:rPr>
                <w:rFonts w:ascii="Times New Roman" w:hAnsi="Times New Roman" w:cs="Times New Roman"/>
                <w:sz w:val="16"/>
                <w:szCs w:val="16"/>
              </w:rPr>
              <w:t xml:space="preserve">1172 ms</w:t>
            </w:r>
          </w:p>
        </w:tc>
        <w:tc>
          <w:tcPr>
            <w:tcW w:w="993" w:type="dxa"/>
            <w:vAlign w:val="center"/>
          </w:tcPr>
          <w:p>
            <w:pPr>
              <w:keepNext/>
              <w:spacing w:before="22" w:after="22"/>
              <w:jc w:val="right"/>
            </w:pPr>
            <w:r>
              <w:rPr>
                <w:rFonts w:ascii="Times New Roman" w:hAnsi="Times New Roman" w:cs="Times New Roman"/>
                <w:sz w:val="16"/>
                <w:szCs w:val="16"/>
              </w:rPr>
              <w:t xml:space="preserve">1188 ms</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tier-1 hit, p95</w:t>
            </w:r>
          </w:p>
        </w:tc>
        <w:tc>
          <w:tcPr>
            <w:tcW w:w="1007" w:type="dxa"/>
            <w:vAlign w:val="center"/>
          </w:tcPr>
          <w:p>
            <w:pPr>
              <w:keepNext/>
              <w:spacing w:before="22" w:after="22"/>
              <w:jc w:val="right"/>
            </w:pPr>
            <w:r>
              <w:rPr>
                <w:rFonts w:ascii="Times New Roman" w:hAnsi="Times New Roman" w:cs="Times New Roman"/>
                <w:sz w:val="16"/>
                <w:szCs w:val="16"/>
              </w:rPr>
              <w:t xml:space="preserve">—</w:t>
            </w:r>
          </w:p>
        </w:tc>
        <w:tc>
          <w:tcPr>
            <w:tcW w:w="1007" w:type="dxa"/>
            <w:vAlign w:val="center"/>
          </w:tcPr>
          <w:p>
            <w:pPr>
              <w:keepNext/>
              <w:spacing w:before="22" w:after="22"/>
              <w:jc w:val="right"/>
            </w:pPr>
            <w:r>
              <w:rPr>
                <w:rFonts w:ascii="Times New Roman" w:hAnsi="Times New Roman" w:cs="Times New Roman"/>
                <w:sz w:val="16"/>
                <w:szCs w:val="16"/>
              </w:rPr>
              <w:t xml:space="preserve">1578 ms</w:t>
            </w:r>
          </w:p>
        </w:tc>
        <w:tc>
          <w:tcPr>
            <w:tcW w:w="993" w:type="dxa"/>
            <w:vAlign w:val="center"/>
          </w:tcPr>
          <w:p>
            <w:pPr>
              <w:keepNext/>
              <w:spacing w:before="22" w:after="22"/>
              <w:jc w:val="right"/>
            </w:pPr>
            <w:r>
              <w:rPr>
                <w:rFonts w:ascii="Times New Roman" w:hAnsi="Times New Roman" w:cs="Times New Roman"/>
                <w:sz w:val="16"/>
                <w:szCs w:val="16"/>
              </w:rPr>
              <w:t xml:space="preserve">1500 ms</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served by tier 0</w:t>
            </w:r>
          </w:p>
        </w:tc>
        <w:tc>
          <w:tcPr>
            <w:tcW w:w="1007" w:type="dxa"/>
            <w:vAlign w:val="center"/>
          </w:tcPr>
          <w:p>
            <w:pPr>
              <w:keepNext/>
              <w:spacing w:before="22" w:after="22"/>
              <w:jc w:val="right"/>
            </w:pPr>
            <w:r>
              <w:rPr>
                <w:rFonts w:ascii="Times New Roman" w:hAnsi="Times New Roman" w:cs="Times New Roman"/>
                <w:sz w:val="16"/>
                <w:szCs w:val="16"/>
              </w:rPr>
              <w:t xml:space="preserve">30.0%</w:t>
            </w:r>
          </w:p>
        </w:tc>
        <w:tc>
          <w:tcPr>
            <w:tcW w:w="1007" w:type="dxa"/>
            <w:vAlign w:val="center"/>
          </w:tcPr>
          <w:p>
            <w:pPr>
              <w:keepNext/>
              <w:spacing w:before="22" w:after="22"/>
              <w:jc w:val="right"/>
            </w:pPr>
            <w:r>
              <w:rPr>
                <w:rFonts w:ascii="Times New Roman" w:hAnsi="Times New Roman" w:cs="Times New Roman"/>
                <w:sz w:val="16"/>
                <w:szCs w:val="16"/>
              </w:rPr>
              <w:t xml:space="preserve">0%</w:t>
            </w:r>
          </w:p>
        </w:tc>
        <w:tc>
          <w:tcPr>
            <w:tcW w:w="993" w:type="dxa"/>
            <w:vAlign w:val="center"/>
          </w:tcPr>
          <w:p>
            <w:pPr>
              <w:keepNext/>
              <w:spacing w:before="22" w:after="22"/>
              <w:jc w:val="right"/>
            </w:pPr>
            <w:r>
              <w:rPr>
                <w:rFonts w:ascii="Times New Roman" w:hAnsi="Times New Roman" w:cs="Times New Roman"/>
                <w:sz w:val="16"/>
                <w:szCs w:val="16"/>
              </w:rPr>
              <w:t xml:space="preserve">30.0%</w:t>
            </w:r>
          </w:p>
        </w:tc>
      </w:tr>
      <w:tr>
        <w:trPr>
          <w:cantSplit/>
        </w:trPr>
        <w:tc>
          <w:tcPr>
            <w:tcW w:w="1785"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conversational replies</w:t>
            </w:r>
          </w:p>
        </w:tc>
        <w:tc>
          <w:tcPr>
            <w:tcW w:w="1007"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0</w:t>
            </w:r>
          </w:p>
        </w:tc>
        <w:tc>
          <w:tcPr>
            <w:tcW w:w="1007"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4</w:t>
            </w:r>
          </w:p>
        </w:tc>
        <w:tc>
          <w:tcPr>
            <w:tcW w:w="993"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6</w:t>
            </w:r>
          </w:p>
        </w:tc>
      </w:tr>
    </w:tbl>
    <w:p>
      <w:pPr>
        <w:spacing w:before="0" w:after="0"/>
      </w:pPr>
      <w:r>
        <w:rPr>
          <w:rFonts w:ascii="Times New Roman" w:hAnsi="Times New Roman" w:cs="Times New Roman"/>
          <w:sz w:val="18"/>
          <w:szCs w:val="18"/>
        </w:rPr>
        <w:t xml:space="preserve"/>
      </w:r>
    </w:p>
    <w:p>
      <w:pPr>
        <w:spacing w:before="0" w:after="110" w:line="200" w:lineRule="auto"/>
        <w:jc w:val="both"/>
      </w:pPr>
      <w:r>
        <w:rPr>
          <w:rFonts w:ascii="Times New Roman" w:hAnsi="Times New Roman" w:cs="Times New Roman"/>
          <w:b/>
          <w:sz w:val="16"/>
          <w:szCs w:val="16"/>
        </w:rPr>
        <w:t xml:space="preserve">Table 2.</w:t>
      </w:r>
      <w:r>
        <w:rPr>
          <w:rFonts w:ascii="Times New Roman" w:hAnsi="Times New Roman" w:cs="Times New Roman"/>
          <w:sz w:val="16"/>
          <w:szCs w:val="16"/>
        </w:rPr>
        <w:t xml:space="preserve"> Out-of-scope behaviour (n = 40) and routing latency. Wilson 95% CIs on the over-trigger rates: keyword 1.4–16.5, LLM-only 37.5–67.1, two-tier 39.8–69.3.</w:t>
      </w:r>
    </w:p>
    <w:p>
      <w:pPr>
        <w:spacing w:before="0" w:after="0" w:line="216" w:lineRule="auto"/>
        <w:ind w:firstLine="0"/>
        <w:jc w:val="both"/>
      </w:pPr>
      <w:r>
        <w:rPr>
          <w:rFonts w:ascii="Times New Roman" w:hAnsi="Times New Roman" w:cs="Times New Roman"/>
          <w:sz w:val="18"/>
          <w:szCs w:val="18"/>
        </w:rPr>
        <w:t xml:space="preserve">Both keyword over-triggers are substring collisions: “read my email” contains </w:t>
      </w:r>
      <w:r>
        <w:rPr>
          <w:rFonts w:ascii="Times New Roman" w:hAnsi="Times New Roman" w:cs="Times New Roman"/>
          <w:i/>
          <w:sz w:val="18"/>
          <w:szCs w:val="18"/>
        </w:rPr>
        <w:t xml:space="preserve">read</w:t>
      </w:r>
      <w:r>
        <w:rPr>
          <w:rFonts w:ascii="Times New Roman" w:hAnsi="Times New Roman" w:cs="Times New Roman"/>
          <w:sz w:val="18"/>
          <w:szCs w:val="18"/>
        </w:rPr>
        <w:t xml:space="preserve">; “how do i get to the bus stop” contains </w:t>
      </w:r>
      <w:r>
        <w:rPr>
          <w:rFonts w:ascii="Times New Roman" w:hAnsi="Times New Roman" w:cs="Times New Roman"/>
          <w:i/>
          <w:sz w:val="18"/>
          <w:szCs w:val="18"/>
        </w:rPr>
        <w:t xml:space="preserve">stop</w:t>
      </w:r>
      <w:r>
        <w:rPr>
          <w:rFonts w:ascii="Times New Roman" w:hAnsi="Times New Roman" w:cs="Times New Roman"/>
          <w:sz w:val="18"/>
          <w:szCs w:val="18"/>
        </w:rPr>
        <w:t xml:space="preserve">. They are the price of matching on keywords, and they are exactly the errors a router with sentence-level context should remove—it does not, because tier 0 claims them before the model is consulted. That is the cost side of C3 stated plainly.</w:t>
      </w:r>
    </w:p>
    <w:p>
      <w:pPr>
        <w:spacing w:before="0" w:after="0" w:line="216" w:lineRule="auto"/>
        <w:ind w:firstLine="201"/>
        <w:jc w:val="both"/>
      </w:pPr>
      <w:r>
        <w:rPr>
          <w:rFonts w:ascii="Times New Roman" w:hAnsi="Times New Roman" w:cs="Times New Roman"/>
          <w:sz w:val="18"/>
          <w:szCs w:val="18"/>
        </w:rPr>
        <w:t xml:space="preserve">Per-call tier-1 latency is essentially identical across the two configurations (1172 vs 1188 ms at p50), so two-tier's latency advantage is entirely a question of how much traffic reaches the model: 30% of utterances are served at 5 µs, and the trained commands users issue most often are exactly that 30%. Tier 1 is usable for on-demand questions and unusable inside a continuous guidance loop; every capability here is on-demand, which is a fact about this system rather than a general result.</w:t>
      </w:r>
    </w:p>
    <w:p>
      <w:pPr>
        <w:spacing w:before="90" w:after="40"/>
        <w:jc w:val="center"/>
      </w:pPr>
      <w:r>
        <w:drawing>
          <wp:inline distT="0" distB="0" distL="0" distR="0">
            <wp:extent cx="3044952" cy="1051560"/>
            <wp:docPr id="4" name="Figure 4"/>
            <a:graphic>
              <a:graphicData uri="http://schemas.openxmlformats.org/drawingml/2006/picture">
                <pic:pic>
                  <pic:nvPicPr>
                    <pic:cNvPr id="4" name="f4_fabrication.png"/>
                    <pic:cNvPicPr/>
                  </pic:nvPicPr>
                  <pic:blipFill>
                    <a:blip r:embed="rIdImg4"/>
                    <a:stretch>
                      <a:fillRect/>
                    </a:stretch>
                  </pic:blipFill>
                  <pic:spPr>
                    <a:xfrm>
                      <a:off x="0" y="0"/>
                      <a:ext cx="3044952" cy="1051560"/>
                    </a:xfrm>
                    <a:prstGeom prst="rect">
                      <a:avLst/>
                    </a:prstGeom>
                  </pic:spPr>
                </pic:pic>
              </a:graphicData>
            </a:graphic>
          </wp:inline>
        </w:drawing>
      </w:r>
    </w:p>
    <w:p>
      <w:pPr>
        <w:spacing w:before="0" w:after="110" w:line="200" w:lineRule="auto"/>
        <w:jc w:val="both"/>
      </w:pPr>
      <w:r>
        <w:rPr>
          <w:rFonts w:ascii="Times New Roman" w:hAnsi="Times New Roman" w:cs="Times New Roman"/>
          <w:b/>
          <w:sz w:val="16"/>
          <w:szCs w:val="16"/>
        </w:rPr>
        <w:t xml:space="preserve">Figure 4.</w:t>
      </w:r>
      <w:r>
        <w:rPr>
          <w:rFonts w:ascii="Times New Roman" w:hAnsi="Times New Roman" w:cs="Times New Roman"/>
          <w:sz w:val="16"/>
          <w:szCs w:val="16"/>
        </w:rPr>
        <w:t xml:space="preserve"> The same model, the same deterministic state block. Asked to choose a tool, it fabricated nothing in any configuration; asked to answer, it fabricated in 42.5% of responses. The zero is by construction, not by tuning; the 42.5% is a keyword-based lower bound counting invented objects only.</w:t>
      </w:r>
    </w:p>
    <w:p>
      <w:pPr>
        <w:spacing w:before="0" w:after="0" w:line="216" w:lineRule="auto"/>
        <w:ind w:firstLine="0"/>
        <w:jc w:val="both"/>
      </w:pPr>
      <w:r>
        <w:rPr>
          <w:rFonts w:ascii="Times New Roman" w:hAnsi="Times New Roman" w:cs="Times New Roman"/>
          <w:sz w:val="18"/>
          <w:szCs w:val="18"/>
        </w:rPr>
        <w:t xml:space="preserve">Figure 4 is the clearest result in the paper, and the character of the inventions is worse than the rate suggests. Asked to “find bottle” with a state block listing no bottle, the model replied:</w:t>
      </w:r>
    </w:p>
    <w:p>
      <w:pPr>
        <w:spacing w:before="60" w:after="60" w:line="216" w:lineRule="auto"/>
        <w:ind w:left="230" w:hanging="230"/>
        <w:jc w:val="both"/>
      </w:pPr>
      <w:r>
        <w:rPr>
          <w:rFonts w:ascii="Times New Roman" w:hAnsi="Times New Roman" w:cs="Times New Roman"/>
          <w:i/>
          <w:sz w:val="18"/>
          <w:szCs w:val="18"/>
        </w:rPr>
        <w:t xml:space="preserve">“i'm walking in front of you, my cane tapping on the ground. i've stopped about 6 feet away from your right side. there's a small…”</w:t>
      </w:r>
    </w:p>
    <w:p>
      <w:pPr>
        <w:spacing w:before="0" w:after="0" w:line="216" w:lineRule="auto"/>
        <w:ind w:firstLine="201"/>
        <w:jc w:val="both"/>
      </w:pPr>
      <w:r>
        <w:rPr>
          <w:rFonts w:ascii="Times New Roman" w:hAnsi="Times New Roman" w:cs="Times New Roman"/>
          <w:sz w:val="18"/>
          <w:szCs w:val="18"/>
        </w:rPr>
        <w:t xml:space="preserve">It invents an object, a distance in feet, a bearing, and a first-person travelling companion with a cane. For a sighted user this is a curiosity to dismiss. For the user this system is built for it arrives in the same voice, at the same volume, with the same confidence as a real detection.</w:t>
      </w:r>
    </w:p>
    <w:p>
      <w:pPr>
        <w:keepNext/>
        <w:spacing w:before="110" w:after="40"/>
      </w:pPr>
      <w:r>
        <w:rPr>
          <w:rFonts w:ascii="Times New Roman" w:hAnsi="Times New Roman" w:cs="Times New Roman"/>
          <w:b/>
          <w:i/>
          <w:sz w:val="18"/>
          <w:szCs w:val="18"/>
        </w:rPr>
        <w:t xml:space="preserve">7.1  What real speech does to all of this</w:t>
      </w:r>
    </w:p>
    <w:tbl>
      <w:tblPr>
        <w:tblLayout w:type="fixed"/>
        <w:tblCellMar>
          <w:top w:w="18" w:type="dxa"/>
          <w:left w:w="40" w:type="dxa"/>
          <w:bottom w:w="18" w:type="dxa"/>
          <w:right w:w="40" w:type="dxa"/>
        </w:tblCellMar>
      </w:tblPr>
      <w:tblGrid>
        <w:gridCol w:w="1324"/>
        <w:gridCol w:w="864"/>
        <w:gridCol w:w="864"/>
        <w:gridCol w:w="864"/>
        <w:gridCol w:w="878"/>
      </w:tblGrid>
      <w:tr>
        <w:trPr>
          <w:cantSplit/>
        </w:trPr>
        <w:tc>
          <w:tcPr>
            <w:tcW w:w="1324" w:type="dxa"/>
            <w:tcBorders>
              <w:top w:val="single" w:sz="12" w:space="0" w:color="000000"/>
            </w:tcBorders>
            <w:vAlign w:val="center"/>
          </w:tcPr>
          <w:p>
            <w:pPr>
              <w:keepNext/>
              <w:spacing w:before="22" w:after="22"/>
              <w:jc w:val="left"/>
            </w:pPr>
            <w:r>
              <w:rPr>
                <w:rFonts w:ascii="Times New Roman" w:hAnsi="Times New Roman" w:cs="Times New Roman"/>
                <w:b/>
                <w:sz w:val="16"/>
                <w:szCs w:val="16"/>
              </w:rPr>
              <w:t xml:space="preserve"/>
            </w:r>
          </w:p>
        </w:tc>
        <w:tc>
          <w:tcPr>
            <w:tcW w:w="864" w:type="dxa"/>
            <w:tcBorders>
              <w:top w:val="single" w:sz="12" w:space="0" w:color="000000"/>
            </w:tcBorders>
            <w:vAlign w:val="center"/>
          </w:tcPr>
          <w:p>
            <w:pPr>
              <w:keepNext/>
              <w:spacing w:before="22" w:after="22"/>
              <w:jc w:val="right"/>
            </w:pPr>
            <w:r>
              <w:rPr>
                <w:rFonts w:ascii="Times New Roman" w:hAnsi="Times New Roman" w:cs="Times New Roman"/>
                <w:b/>
                <w:sz w:val="16"/>
                <w:szCs w:val="16"/>
              </w:rPr>
              <w:t xml:space="preserve">keyword</w:t>
            </w:r>
          </w:p>
        </w:tc>
        <w:tc>
          <w:tcPr>
            <w:tcW w:w="864" w:type="dxa"/>
            <w:tcBorders>
              <w:top w:val="single" w:sz="12" w:space="0" w:color="000000"/>
            </w:tcBorders>
            <w:vAlign w:val="center"/>
          </w:tcPr>
          <w:p>
            <w:pPr>
              <w:keepNext/>
              <w:spacing w:before="22" w:after="22"/>
              <w:jc w:val="right"/>
            </w:pPr>
            <w:r>
              <w:rPr>
                <w:rFonts w:ascii="Times New Roman" w:hAnsi="Times New Roman" w:cs="Times New Roman"/>
                <w:b/>
                <w:sz w:val="16"/>
                <w:szCs w:val="16"/>
              </w:rPr>
              <w:t xml:space="preserve">keyword</w:t>
            </w:r>
          </w:p>
        </w:tc>
        <w:tc>
          <w:tcPr>
            <w:tcW w:w="864" w:type="dxa"/>
            <w:tcBorders>
              <w:top w:val="single" w:sz="12" w:space="0" w:color="000000"/>
            </w:tcBorders>
            <w:vAlign w:val="center"/>
          </w:tcPr>
          <w:p>
            <w:pPr>
              <w:keepNext/>
              <w:spacing w:before="22" w:after="22"/>
              <w:jc w:val="right"/>
            </w:pPr>
            <w:r>
              <w:rPr>
                <w:rFonts w:ascii="Times New Roman" w:hAnsi="Times New Roman" w:cs="Times New Roman"/>
                <w:b/>
                <w:sz w:val="16"/>
                <w:szCs w:val="16"/>
              </w:rPr>
              <w:t xml:space="preserve">two-tier</w:t>
            </w:r>
          </w:p>
        </w:tc>
        <w:tc>
          <w:tcPr>
            <w:tcW w:w="878" w:type="dxa"/>
            <w:tcBorders>
              <w:top w:val="single" w:sz="12" w:space="0" w:color="000000"/>
            </w:tcBorders>
            <w:vAlign w:val="center"/>
          </w:tcPr>
          <w:p>
            <w:pPr>
              <w:keepNext/>
              <w:spacing w:before="22" w:after="22"/>
              <w:jc w:val="right"/>
            </w:pPr>
            <w:r>
              <w:rPr>
                <w:rFonts w:ascii="Times New Roman" w:hAnsi="Times New Roman" w:cs="Times New Roman"/>
                <w:b/>
                <w:sz w:val="16"/>
                <w:szCs w:val="16"/>
              </w:rPr>
              <w:t xml:space="preserve">two-tier</w:t>
            </w:r>
          </w:p>
        </w:tc>
      </w:tr>
      <w:tr>
        <w:trPr>
          <w:cantSplit/>
        </w:trPr>
        <w:tc>
          <w:tcPr>
            <w:tcW w:w="1324" w:type="dxa"/>
            <w:tcBorders>
              <w:bottom w:val="single" w:sz="6" w:space="0" w:color="000000"/>
            </w:tcBorders>
            <w:vAlign w:val="center"/>
          </w:tcPr>
          <w:p>
            <w:pPr>
              <w:keepNext/>
              <w:spacing w:before="22" w:after="22"/>
              <w:jc w:val="left"/>
            </w:pPr>
            <w:r>
              <w:rPr>
                <w:rFonts w:ascii="Times New Roman" w:hAnsi="Times New Roman" w:cs="Times New Roman"/>
                <w:b/>
                <w:sz w:val="16"/>
                <w:szCs w:val="16"/>
              </w:rPr>
              <w:t xml:space="preserve"/>
            </w:r>
          </w:p>
        </w:tc>
        <w:tc>
          <w:tcPr>
            <w:tcW w:w="864" w:type="dxa"/>
            <w:tcBorders>
              <w:bottom w:val="single" w:sz="6" w:space="0" w:color="000000"/>
            </w:tcBorders>
            <w:vAlign w:val="center"/>
          </w:tcPr>
          <w:p>
            <w:pPr>
              <w:keepNext/>
              <w:spacing w:before="22" w:after="22"/>
              <w:jc w:val="right"/>
            </w:pPr>
            <w:r>
              <w:rPr>
                <w:rFonts w:ascii="Times New Roman" w:hAnsi="Times New Roman" w:cs="Times New Roman"/>
                <w:b/>
                <w:sz w:val="16"/>
                <w:szCs w:val="16"/>
              </w:rPr>
              <w:t xml:space="preserve">text</w:t>
            </w:r>
          </w:p>
        </w:tc>
        <w:tc>
          <w:tcPr>
            <w:tcW w:w="864" w:type="dxa"/>
            <w:tcBorders>
              <w:bottom w:val="single" w:sz="6" w:space="0" w:color="000000"/>
            </w:tcBorders>
            <w:vAlign w:val="center"/>
          </w:tcPr>
          <w:p>
            <w:pPr>
              <w:keepNext/>
              <w:spacing w:before="22" w:after="22"/>
              <w:jc w:val="right"/>
            </w:pPr>
            <w:r>
              <w:rPr>
                <w:rFonts w:ascii="Times New Roman" w:hAnsi="Times New Roman" w:cs="Times New Roman"/>
                <w:b/>
                <w:sz w:val="16"/>
                <w:szCs w:val="16"/>
              </w:rPr>
              <w:t xml:space="preserve">spoken</w:t>
            </w:r>
          </w:p>
        </w:tc>
        <w:tc>
          <w:tcPr>
            <w:tcW w:w="864" w:type="dxa"/>
            <w:tcBorders>
              <w:bottom w:val="single" w:sz="6" w:space="0" w:color="000000"/>
            </w:tcBorders>
            <w:vAlign w:val="center"/>
          </w:tcPr>
          <w:p>
            <w:pPr>
              <w:keepNext/>
              <w:spacing w:before="22" w:after="22"/>
              <w:jc w:val="right"/>
            </w:pPr>
            <w:r>
              <w:rPr>
                <w:rFonts w:ascii="Times New Roman" w:hAnsi="Times New Roman" w:cs="Times New Roman"/>
                <w:b/>
                <w:sz w:val="16"/>
                <w:szCs w:val="16"/>
              </w:rPr>
              <w:t xml:space="preserve">text</w:t>
            </w:r>
          </w:p>
        </w:tc>
        <w:tc>
          <w:tcPr>
            <w:tcW w:w="878" w:type="dxa"/>
            <w:tcBorders>
              <w:bottom w:val="single" w:sz="6" w:space="0" w:color="000000"/>
            </w:tcBorders>
            <w:vAlign w:val="center"/>
          </w:tcPr>
          <w:p>
            <w:pPr>
              <w:keepNext/>
              <w:spacing w:before="22" w:after="22"/>
              <w:jc w:val="right"/>
            </w:pPr>
            <w:r>
              <w:rPr>
                <w:rFonts w:ascii="Times New Roman" w:hAnsi="Times New Roman" w:cs="Times New Roman"/>
                <w:b/>
                <w:sz w:val="16"/>
                <w:szCs w:val="16"/>
              </w:rPr>
              <w:t xml:space="preserve">spoken</w:t>
            </w:r>
          </w:p>
        </w:tc>
      </w:tr>
      <w:tr>
        <w:trPr>
          <w:cantSplit/>
        </w:trPr>
        <w:tc>
          <w:tcPr>
            <w:tcW w:w="1324" w:type="dxa"/>
            <w:vAlign w:val="center"/>
          </w:tcPr>
          <w:p>
            <w:pPr>
              <w:keepNext/>
              <w:spacing w:before="22" w:after="22"/>
              <w:jc w:val="left"/>
            </w:pPr>
            <w:r>
              <w:rPr>
                <w:rFonts w:ascii="Times New Roman" w:hAnsi="Times New Roman" w:cs="Times New Roman"/>
                <w:sz w:val="16"/>
                <w:szCs w:val="16"/>
              </w:rPr>
              <w:t xml:space="preserve">canonical</w:t>
            </w:r>
          </w:p>
        </w:tc>
        <w:tc>
          <w:tcPr>
            <w:tcW w:w="864" w:type="dxa"/>
            <w:vAlign w:val="center"/>
          </w:tcPr>
          <w:p>
            <w:pPr>
              <w:keepNext/>
              <w:spacing w:before="22" w:after="22"/>
              <w:jc w:val="right"/>
            </w:pPr>
            <w:r>
              <w:rPr>
                <w:rFonts w:ascii="Times New Roman" w:hAnsi="Times New Roman" w:cs="Times New Roman"/>
                <w:sz w:val="16"/>
                <w:szCs w:val="16"/>
              </w:rPr>
              <w:t xml:space="preserve">100.0</w:t>
            </w:r>
          </w:p>
        </w:tc>
        <w:tc>
          <w:tcPr>
            <w:tcW w:w="864" w:type="dxa"/>
            <w:vAlign w:val="center"/>
          </w:tcPr>
          <w:p>
            <w:pPr>
              <w:keepNext/>
              <w:spacing w:before="22" w:after="22"/>
              <w:jc w:val="right"/>
            </w:pPr>
            <w:r>
              <w:rPr>
                <w:rFonts w:ascii="Times New Roman" w:hAnsi="Times New Roman" w:cs="Times New Roman"/>
                <w:sz w:val="16"/>
                <w:szCs w:val="16"/>
              </w:rPr>
              <w:t xml:space="preserve">84.2</w:t>
            </w:r>
          </w:p>
        </w:tc>
        <w:tc>
          <w:tcPr>
            <w:tcW w:w="864" w:type="dxa"/>
            <w:vAlign w:val="center"/>
          </w:tcPr>
          <w:p>
            <w:pPr>
              <w:keepNext/>
              <w:spacing w:before="22" w:after="22"/>
              <w:jc w:val="right"/>
            </w:pPr>
            <w:r>
              <w:rPr>
                <w:rFonts w:ascii="Times New Roman" w:hAnsi="Times New Roman" w:cs="Times New Roman"/>
                <w:sz w:val="16"/>
                <w:szCs w:val="16"/>
              </w:rPr>
              <w:t xml:space="preserve">100.0</w:t>
            </w:r>
          </w:p>
        </w:tc>
        <w:tc>
          <w:tcPr>
            <w:tcW w:w="878" w:type="dxa"/>
            <w:vAlign w:val="center"/>
          </w:tcPr>
          <w:p>
            <w:pPr>
              <w:keepNext/>
              <w:spacing w:before="22" w:after="22"/>
              <w:jc w:val="right"/>
            </w:pPr>
            <w:r>
              <w:rPr>
                <w:rFonts w:ascii="Times New Roman" w:hAnsi="Times New Roman" w:cs="Times New Roman"/>
                <w:sz w:val="16"/>
                <w:szCs w:val="16"/>
              </w:rPr>
              <w:t xml:space="preserve">84.2</w:t>
            </w:r>
          </w:p>
        </w:tc>
      </w:tr>
      <w:tr>
        <w:trPr>
          <w:cantSplit/>
        </w:trPr>
        <w:tc>
          <w:tcPr>
            <w:tcW w:w="1324" w:type="dxa"/>
            <w:vAlign w:val="center"/>
          </w:tcPr>
          <w:p>
            <w:pPr>
              <w:keepNext/>
              <w:spacing w:before="22" w:after="22"/>
              <w:jc w:val="left"/>
            </w:pPr>
            <w:r>
              <w:rPr>
                <w:rFonts w:ascii="Times New Roman" w:hAnsi="Times New Roman" w:cs="Times New Roman"/>
                <w:sz w:val="16"/>
                <w:szCs w:val="16"/>
              </w:rPr>
              <w:t xml:space="preserve">paraphrase</w:t>
            </w:r>
          </w:p>
        </w:tc>
        <w:tc>
          <w:tcPr>
            <w:tcW w:w="864" w:type="dxa"/>
            <w:vAlign w:val="center"/>
          </w:tcPr>
          <w:p>
            <w:pPr>
              <w:keepNext/>
              <w:spacing w:before="22" w:after="22"/>
              <w:jc w:val="right"/>
            </w:pPr>
            <w:r>
              <w:rPr>
                <w:rFonts w:ascii="Times New Roman" w:hAnsi="Times New Roman" w:cs="Times New Roman"/>
                <w:sz w:val="16"/>
                <w:szCs w:val="16"/>
              </w:rPr>
              <w:t xml:space="preserve">0.0</w:t>
            </w:r>
          </w:p>
        </w:tc>
        <w:tc>
          <w:tcPr>
            <w:tcW w:w="864" w:type="dxa"/>
            <w:vAlign w:val="center"/>
          </w:tcPr>
          <w:p>
            <w:pPr>
              <w:keepNext/>
              <w:spacing w:before="22" w:after="22"/>
              <w:jc w:val="right"/>
            </w:pPr>
            <w:r>
              <w:rPr>
                <w:rFonts w:ascii="Times New Roman" w:hAnsi="Times New Roman" w:cs="Times New Roman"/>
                <w:sz w:val="16"/>
                <w:szCs w:val="16"/>
              </w:rPr>
              <w:t xml:space="preserve">0.0</w:t>
            </w:r>
          </w:p>
        </w:tc>
        <w:tc>
          <w:tcPr>
            <w:tcW w:w="864" w:type="dxa"/>
            <w:vAlign w:val="center"/>
          </w:tcPr>
          <w:p>
            <w:pPr>
              <w:keepNext/>
              <w:spacing w:before="22" w:after="22"/>
              <w:jc w:val="right"/>
            </w:pPr>
            <w:r>
              <w:rPr>
                <w:rFonts w:ascii="Times New Roman" w:hAnsi="Times New Roman" w:cs="Times New Roman"/>
                <w:sz w:val="16"/>
                <w:szCs w:val="16"/>
              </w:rPr>
              <w:t xml:space="preserve">16.7</w:t>
            </w:r>
          </w:p>
        </w:tc>
        <w:tc>
          <w:tcPr>
            <w:tcW w:w="878" w:type="dxa"/>
            <w:vAlign w:val="center"/>
          </w:tcPr>
          <w:p>
            <w:pPr>
              <w:keepNext/>
              <w:spacing w:before="22" w:after="22"/>
              <w:jc w:val="right"/>
            </w:pPr>
            <w:r>
              <w:rPr>
                <w:rFonts w:ascii="Times New Roman" w:hAnsi="Times New Roman" w:cs="Times New Roman"/>
                <w:sz w:val="16"/>
                <w:szCs w:val="16"/>
              </w:rPr>
              <w:t xml:space="preserve">13.0</w:t>
            </w:r>
          </w:p>
        </w:tc>
      </w:tr>
      <w:tr>
        <w:trPr>
          <w:cantSplit/>
        </w:trPr>
        <w:tc>
          <w:tcPr>
            <w:tcW w:w="1324" w:type="dxa"/>
            <w:vAlign w:val="center"/>
          </w:tcPr>
          <w:p>
            <w:pPr>
              <w:keepNext/>
              <w:spacing w:before="22" w:after="22"/>
              <w:jc w:val="left"/>
            </w:pPr>
            <w:r>
              <w:rPr>
                <w:rFonts w:ascii="Times New Roman" w:hAnsi="Times New Roman" w:cs="Times New Roman"/>
                <w:sz w:val="16"/>
                <w:szCs w:val="16"/>
              </w:rPr>
              <w:t xml:space="preserve">multi-intent</w:t>
            </w:r>
          </w:p>
        </w:tc>
        <w:tc>
          <w:tcPr>
            <w:tcW w:w="864" w:type="dxa"/>
            <w:vAlign w:val="center"/>
          </w:tcPr>
          <w:p>
            <w:pPr>
              <w:keepNext/>
              <w:spacing w:before="22" w:after="22"/>
              <w:jc w:val="right"/>
            </w:pPr>
            <w:r>
              <w:rPr>
                <w:rFonts w:ascii="Times New Roman" w:hAnsi="Times New Roman" w:cs="Times New Roman"/>
                <w:sz w:val="16"/>
                <w:szCs w:val="16"/>
              </w:rPr>
              <w:t xml:space="preserve">0.0</w:t>
            </w:r>
          </w:p>
        </w:tc>
        <w:tc>
          <w:tcPr>
            <w:tcW w:w="864" w:type="dxa"/>
            <w:vAlign w:val="center"/>
          </w:tcPr>
          <w:p>
            <w:pPr>
              <w:keepNext/>
              <w:spacing w:before="22" w:after="22"/>
              <w:jc w:val="right"/>
            </w:pPr>
            <w:r>
              <w:rPr>
                <w:rFonts w:ascii="Times New Roman" w:hAnsi="Times New Roman" w:cs="Times New Roman"/>
                <w:sz w:val="16"/>
                <w:szCs w:val="16"/>
              </w:rPr>
              <w:t xml:space="preserve">0.0</w:t>
            </w:r>
          </w:p>
        </w:tc>
        <w:tc>
          <w:tcPr>
            <w:tcW w:w="864" w:type="dxa"/>
            <w:vAlign w:val="center"/>
          </w:tcPr>
          <w:p>
            <w:pPr>
              <w:keepNext/>
              <w:spacing w:before="22" w:after="22"/>
              <w:jc w:val="right"/>
            </w:pPr>
            <w:r>
              <w:rPr>
                <w:rFonts w:ascii="Times New Roman" w:hAnsi="Times New Roman" w:cs="Times New Roman"/>
                <w:sz w:val="16"/>
                <w:szCs w:val="16"/>
              </w:rPr>
              <w:t xml:space="preserve">8.3</w:t>
            </w:r>
          </w:p>
        </w:tc>
        <w:tc>
          <w:tcPr>
            <w:tcW w:w="878" w:type="dxa"/>
            <w:vAlign w:val="center"/>
          </w:tcPr>
          <w:p>
            <w:pPr>
              <w:keepNext/>
              <w:spacing w:before="22" w:after="22"/>
              <w:jc w:val="right"/>
            </w:pPr>
            <w:r>
              <w:rPr>
                <w:rFonts w:ascii="Times New Roman" w:hAnsi="Times New Roman" w:cs="Times New Roman"/>
                <w:sz w:val="16"/>
                <w:szCs w:val="16"/>
              </w:rPr>
              <w:t xml:space="preserve">8.7</w:t>
            </w:r>
          </w:p>
        </w:tc>
      </w:tr>
      <w:tr>
        <w:trPr>
          <w:cantSplit/>
        </w:trPr>
        <w:tc>
          <w:tcPr>
            <w:tcW w:w="1324" w:type="dxa"/>
            <w:vAlign w:val="center"/>
          </w:tcPr>
          <w:p>
            <w:pPr>
              <w:keepNext/>
              <w:spacing w:before="22" w:after="22"/>
              <w:jc w:val="left"/>
            </w:pPr>
            <w:r>
              <w:rPr>
                <w:rFonts w:ascii="Times New Roman" w:hAnsi="Times New Roman" w:cs="Times New Roman"/>
                <w:sz w:val="16"/>
                <w:szCs w:val="16"/>
              </w:rPr>
              <w:t xml:space="preserve">out-of-scope</w:t>
            </w:r>
          </w:p>
        </w:tc>
        <w:tc>
          <w:tcPr>
            <w:tcW w:w="864" w:type="dxa"/>
            <w:vAlign w:val="center"/>
          </w:tcPr>
          <w:p>
            <w:pPr>
              <w:keepNext/>
              <w:spacing w:before="22" w:after="22"/>
              <w:jc w:val="right"/>
            </w:pPr>
            <w:r>
              <w:rPr>
                <w:rFonts w:ascii="Times New Roman" w:hAnsi="Times New Roman" w:cs="Times New Roman"/>
                <w:sz w:val="16"/>
                <w:szCs w:val="16"/>
              </w:rPr>
              <w:t xml:space="preserve">91.7</w:t>
            </w:r>
          </w:p>
        </w:tc>
        <w:tc>
          <w:tcPr>
            <w:tcW w:w="864" w:type="dxa"/>
            <w:vAlign w:val="center"/>
          </w:tcPr>
          <w:p>
            <w:pPr>
              <w:keepNext/>
              <w:spacing w:before="22" w:after="22"/>
              <w:jc w:val="right"/>
            </w:pPr>
            <w:r>
              <w:rPr>
                <w:rFonts w:ascii="Times New Roman" w:hAnsi="Times New Roman" w:cs="Times New Roman"/>
                <w:sz w:val="16"/>
                <w:szCs w:val="16"/>
              </w:rPr>
              <w:t xml:space="preserve">91.3</w:t>
            </w:r>
          </w:p>
        </w:tc>
        <w:tc>
          <w:tcPr>
            <w:tcW w:w="864" w:type="dxa"/>
            <w:vAlign w:val="center"/>
          </w:tcPr>
          <w:p>
            <w:pPr>
              <w:keepNext/>
              <w:spacing w:before="22" w:after="22"/>
              <w:jc w:val="right"/>
            </w:pPr>
            <w:r>
              <w:rPr>
                <w:rFonts w:ascii="Times New Roman" w:hAnsi="Times New Roman" w:cs="Times New Roman"/>
                <w:sz w:val="16"/>
                <w:szCs w:val="16"/>
              </w:rPr>
              <w:t xml:space="preserve">41.7</w:t>
            </w:r>
          </w:p>
        </w:tc>
        <w:tc>
          <w:tcPr>
            <w:tcW w:w="878" w:type="dxa"/>
            <w:vAlign w:val="center"/>
          </w:tcPr>
          <w:p>
            <w:pPr>
              <w:keepNext/>
              <w:spacing w:before="22" w:after="22"/>
              <w:jc w:val="right"/>
            </w:pPr>
            <w:r>
              <w:rPr>
                <w:rFonts w:ascii="Times New Roman" w:hAnsi="Times New Roman" w:cs="Times New Roman"/>
                <w:sz w:val="16"/>
                <w:szCs w:val="16"/>
              </w:rPr>
              <w:t xml:space="preserve">30.4</w:t>
            </w:r>
          </w:p>
        </w:tc>
      </w:tr>
      <w:tr>
        <w:trPr>
          <w:cantSplit/>
        </w:trPr>
        <w:tc>
          <w:tcPr>
            <w:tcW w:w="1324" w:type="dxa"/>
            <w:vAlign w:val="center"/>
          </w:tcPr>
          <w:p>
            <w:pPr>
              <w:keepNext/>
              <w:spacing w:before="22" w:after="22"/>
              <w:jc w:val="left"/>
            </w:pPr>
            <w:r>
              <w:rPr>
                <w:rFonts w:ascii="Times New Roman" w:hAnsi="Times New Roman" w:cs="Times New Roman"/>
                <w:sz w:val="16"/>
                <w:szCs w:val="16"/>
              </w:rPr>
              <w:t xml:space="preserve">ambiguous</w:t>
            </w:r>
          </w:p>
        </w:tc>
        <w:tc>
          <w:tcPr>
            <w:tcW w:w="864" w:type="dxa"/>
            <w:vAlign w:val="center"/>
          </w:tcPr>
          <w:p>
            <w:pPr>
              <w:keepNext/>
              <w:spacing w:before="22" w:after="22"/>
              <w:jc w:val="right"/>
            </w:pPr>
            <w:r>
              <w:rPr>
                <w:rFonts w:ascii="Times New Roman" w:hAnsi="Times New Roman" w:cs="Times New Roman"/>
                <w:sz w:val="16"/>
                <w:szCs w:val="16"/>
              </w:rPr>
              <w:t xml:space="preserve">0.0</w:t>
            </w:r>
          </w:p>
        </w:tc>
        <w:tc>
          <w:tcPr>
            <w:tcW w:w="864" w:type="dxa"/>
            <w:vAlign w:val="center"/>
          </w:tcPr>
          <w:p>
            <w:pPr>
              <w:keepNext/>
              <w:spacing w:before="22" w:after="22"/>
              <w:jc w:val="right"/>
            </w:pPr>
            <w:r>
              <w:rPr>
                <w:rFonts w:ascii="Times New Roman" w:hAnsi="Times New Roman" w:cs="Times New Roman"/>
                <w:sz w:val="16"/>
                <w:szCs w:val="16"/>
              </w:rPr>
              <w:t xml:space="preserve">0.0</w:t>
            </w:r>
          </w:p>
        </w:tc>
        <w:tc>
          <w:tcPr>
            <w:tcW w:w="864" w:type="dxa"/>
            <w:vAlign w:val="center"/>
          </w:tcPr>
          <w:p>
            <w:pPr>
              <w:keepNext/>
              <w:spacing w:before="22" w:after="22"/>
              <w:jc w:val="right"/>
            </w:pPr>
            <w:r>
              <w:rPr>
                <w:rFonts w:ascii="Times New Roman" w:hAnsi="Times New Roman" w:cs="Times New Roman"/>
                <w:sz w:val="16"/>
                <w:szCs w:val="16"/>
              </w:rPr>
              <w:t xml:space="preserve">58.3</w:t>
            </w:r>
          </w:p>
        </w:tc>
        <w:tc>
          <w:tcPr>
            <w:tcW w:w="878" w:type="dxa"/>
            <w:vAlign w:val="center"/>
          </w:tcPr>
          <w:p>
            <w:pPr>
              <w:keepNext/>
              <w:spacing w:before="22" w:after="22"/>
              <w:jc w:val="right"/>
            </w:pPr>
            <w:r>
              <w:rPr>
                <w:rFonts w:ascii="Times New Roman" w:hAnsi="Times New Roman" w:cs="Times New Roman"/>
                <w:sz w:val="16"/>
                <w:szCs w:val="16"/>
              </w:rPr>
              <w:t xml:space="preserve">52.6</w:t>
            </w:r>
          </w:p>
        </w:tc>
      </w:tr>
      <w:tr>
        <w:trPr>
          <w:cantSplit/>
        </w:trPr>
        <w:tc>
          <w:tcPr>
            <w:tcW w:w="1324" w:type="dxa"/>
            <w:vAlign w:val="center"/>
          </w:tcPr>
          <w:p>
            <w:pPr>
              <w:keepNext/>
              <w:spacing w:before="22" w:after="22"/>
              <w:jc w:val="left"/>
            </w:pPr>
            <w:r>
              <w:rPr>
                <w:rFonts w:ascii="Times New Roman" w:hAnsi="Times New Roman" w:cs="Times New Roman"/>
                <w:sz w:val="16"/>
                <w:szCs w:val="16"/>
              </w:rPr>
              <w:t xml:space="preserve">overall</w:t>
            </w:r>
          </w:p>
        </w:tc>
        <w:tc>
          <w:tcPr>
            <w:tcW w:w="864" w:type="dxa"/>
            <w:vAlign w:val="center"/>
          </w:tcPr>
          <w:p>
            <w:pPr>
              <w:keepNext/>
              <w:spacing w:before="22" w:after="22"/>
              <w:jc w:val="right"/>
            </w:pPr>
            <w:r>
              <w:rPr>
                <w:rFonts w:ascii="Times New Roman" w:hAnsi="Times New Roman" w:cs="Times New Roman"/>
                <w:sz w:val="16"/>
                <w:szCs w:val="16"/>
              </w:rPr>
              <w:t xml:space="preserve">37.3</w:t>
            </w:r>
          </w:p>
        </w:tc>
        <w:tc>
          <w:tcPr>
            <w:tcW w:w="864" w:type="dxa"/>
            <w:vAlign w:val="center"/>
          </w:tcPr>
          <w:p>
            <w:pPr>
              <w:keepNext/>
              <w:spacing w:before="22" w:after="22"/>
              <w:jc w:val="right"/>
            </w:pPr>
            <w:r>
              <w:rPr>
                <w:rFonts w:ascii="Times New Roman" w:hAnsi="Times New Roman" w:cs="Times New Roman"/>
                <w:sz w:val="16"/>
                <w:szCs w:val="16"/>
              </w:rPr>
              <w:t xml:space="preserve">34.6</w:t>
            </w:r>
          </w:p>
        </w:tc>
        <w:tc>
          <w:tcPr>
            <w:tcW w:w="864" w:type="dxa"/>
            <w:vAlign w:val="center"/>
          </w:tcPr>
          <w:p>
            <w:pPr>
              <w:keepNext/>
              <w:spacing w:before="22" w:after="22"/>
              <w:jc w:val="right"/>
            </w:pPr>
            <w:r>
              <w:rPr>
                <w:rFonts w:ascii="Times New Roman" w:hAnsi="Times New Roman" w:cs="Times New Roman"/>
                <w:sz w:val="16"/>
                <w:szCs w:val="16"/>
              </w:rPr>
              <w:t xml:space="preserve">44.1</w:t>
            </w:r>
          </w:p>
        </w:tc>
        <w:tc>
          <w:tcPr>
            <w:tcW w:w="878" w:type="dxa"/>
            <w:vAlign w:val="center"/>
          </w:tcPr>
          <w:p>
            <w:pPr>
              <w:keepNext/>
              <w:spacing w:before="22" w:after="22"/>
              <w:jc w:val="right"/>
            </w:pPr>
            <w:r>
              <w:rPr>
                <w:rFonts w:ascii="Times New Roman" w:hAnsi="Times New Roman" w:cs="Times New Roman"/>
                <w:sz w:val="16"/>
                <w:szCs w:val="16"/>
              </w:rPr>
              <w:t xml:space="preserve">35.5</w:t>
            </w:r>
          </w:p>
        </w:tc>
      </w:tr>
      <w:tr>
        <w:trPr>
          <w:cantSplit/>
        </w:trPr>
        <w:tc>
          <w:tcPr>
            <w:tcW w:w="1324"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over-trigger</w:t>
            </w:r>
          </w:p>
        </w:tc>
        <w:tc>
          <w:tcPr>
            <w:tcW w:w="864"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8.3</w:t>
            </w:r>
          </w:p>
        </w:tc>
        <w:tc>
          <w:tcPr>
            <w:tcW w:w="864"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8.7</w:t>
            </w:r>
          </w:p>
        </w:tc>
        <w:tc>
          <w:tcPr>
            <w:tcW w:w="864"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58.3</w:t>
            </w:r>
          </w:p>
        </w:tc>
        <w:tc>
          <w:tcPr>
            <w:tcW w:w="878"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69.6</w:t>
            </w:r>
          </w:p>
        </w:tc>
      </w:tr>
    </w:tbl>
    <w:p>
      <w:pPr>
        <w:spacing w:before="0" w:after="0"/>
      </w:pPr>
      <w:r>
        <w:rPr>
          <w:rFonts w:ascii="Times New Roman" w:hAnsi="Times New Roman" w:cs="Times New Roman"/>
          <w:sz w:val="18"/>
          <w:szCs w:val="18"/>
        </w:rPr>
        <w:t xml:space="preserve"/>
      </w:r>
    </w:p>
    <w:p>
      <w:pPr>
        <w:spacing w:before="0" w:after="110" w:line="200" w:lineRule="auto"/>
        <w:jc w:val="both"/>
      </w:pPr>
      <w:r>
        <w:rPr>
          <w:rFonts w:ascii="Times New Roman" w:hAnsi="Times New Roman" w:cs="Times New Roman"/>
          <w:b/>
          <w:sz w:val="16"/>
          <w:szCs w:val="16"/>
        </w:rPr>
        <w:t xml:space="preserve">Table 3.</w:t>
      </w:r>
      <w:r>
        <w:rPr>
          <w:rFonts w:ascii="Times New Roman" w:hAnsi="Times New Roman" w:cs="Times New Roman"/>
          <w:sz w:val="16"/>
          <w:szCs w:val="16"/>
        </w:rPr>
        <w:t xml:space="preserve"> Accuracy (%) on the matched subset: the same 59 records, as written text and as 107 real transcripts from two speakers. The subset's category mix differs from the full set, so these columns compare only with each other, not with Table 1.</w:t>
      </w:r>
    </w:p>
    <w:p>
      <w:pPr>
        <w:spacing w:before="0" w:after="0" w:line="216" w:lineRule="auto"/>
        <w:ind w:firstLine="0"/>
        <w:jc w:val="both"/>
      </w:pPr>
      <w:r>
        <w:rPr>
          <w:rFonts w:ascii="Times New Roman" w:hAnsi="Times New Roman" w:cs="Times New Roman"/>
          <w:sz w:val="18"/>
          <w:szCs w:val="18"/>
        </w:rPr>
        <w:t xml:space="preserve">The spoken condition changes the conclusion, which is why the protocol specified it in advance. Three readings.</w:t>
      </w:r>
    </w:p>
    <w:p>
      <w:pPr>
        <w:spacing w:before="0" w:after="0" w:line="216" w:lineRule="auto"/>
        <w:ind w:firstLine="201"/>
        <w:jc w:val="both"/>
      </w:pPr>
      <w:r>
        <w:rPr>
          <w:rFonts w:ascii="Times New Roman" w:hAnsi="Times New Roman" w:cs="Times New Roman"/>
          <w:b/>
          <w:sz w:val="18"/>
          <w:szCs w:val="18"/>
        </w:rPr>
        <w:t xml:space="preserve">The deterministic tier barely notices. </w:t>
      </w:r>
      <w:r>
        <w:rPr>
          <w:rFonts w:ascii="Times New Roman" w:hAnsi="Times New Roman" w:cs="Times New Roman"/>
          <w:sz w:val="18"/>
          <w:szCs w:val="18"/>
        </w:rPr>
        <w:t xml:space="preserve">Keyword accuracy falls 37.3 → 34.6 and its over-trigger rate is flat (8.3 → 8.7). A grammar that matches on a handful of content words degrades gracefully when the recogniser drops a function word.</w:t>
      </w:r>
    </w:p>
    <w:p>
      <w:pPr>
        <w:spacing w:before="0" w:after="0" w:line="216" w:lineRule="auto"/>
        <w:ind w:firstLine="201"/>
        <w:jc w:val="both"/>
      </w:pPr>
      <w:r>
        <w:rPr>
          <w:rFonts w:ascii="Times New Roman" w:hAnsi="Times New Roman" w:cs="Times New Roman"/>
          <w:b/>
          <w:sz w:val="18"/>
          <w:szCs w:val="18"/>
        </w:rPr>
        <w:t xml:space="preserve">The agent layer's advantage mostly evaporates. </w:t>
      </w:r>
      <w:r>
        <w:rPr>
          <w:rFonts w:ascii="Times New Roman" w:hAnsi="Times New Roman" w:cs="Times New Roman"/>
          <w:sz w:val="18"/>
          <w:szCs w:val="18"/>
        </w:rPr>
        <w:t xml:space="preserve">Two-tier beats the baseline by 6.8 points on written text (44.1 vs 37.3) and by 0.9 points on the same utterances spoken (35.5 vs 34.6). The paraphrase coverage the agent exists to provide is largely destroyed upstream of it: a paraphrase is long, contains unconstrained vocabulary, and is exactly what a 40 MB open-dictation model transcribes worst. An evaluation on clean text substantially overstates what this layer delivers to a user who speaks to it.</w:t>
      </w:r>
    </w:p>
    <w:p>
      <w:pPr>
        <w:spacing w:before="0" w:after="0" w:line="216" w:lineRule="auto"/>
        <w:ind w:firstLine="201"/>
        <w:jc w:val="both"/>
      </w:pPr>
      <w:r>
        <w:rPr>
          <w:rFonts w:ascii="Times New Roman" w:hAnsi="Times New Roman" w:cs="Times New Roman"/>
          <w:b/>
          <w:sz w:val="18"/>
          <w:szCs w:val="18"/>
        </w:rPr>
        <w:t xml:space="preserve">Recognition noise degrades abstention selectively. </w:t>
      </w:r>
      <w:r>
        <w:rPr>
          <w:rFonts w:ascii="Times New Roman" w:hAnsi="Times New Roman" w:cs="Times New Roman"/>
          <w:sz w:val="18"/>
          <w:szCs w:val="18"/>
        </w:rPr>
        <w:t xml:space="preserve">Under ASR the keyword configuration's out-of-scope abstention holds (91.7 → 91.3) while two-tier's falls (41.7 → 30.4), pushing over-triggering from 58.3% to 69.6%. A garbled out-of-scope utterance is not a signal to the model that it should decline; it is additional room for interpretation. The layer that abstains by construction keeps abstaining, and the layer that abstains by judgement abstains less exactly when the input got worse. That is the paper's thesis showing up as a measurement rather than an argument.</w:t>
      </w:r>
    </w:p>
    <w:p>
      <w:pPr>
        <w:spacing w:before="0" w:after="0" w:line="216" w:lineRule="auto"/>
        <w:ind w:firstLine="201"/>
        <w:jc w:val="both"/>
      </w:pPr>
      <w:r>
        <w:rPr>
          <w:rFonts w:ascii="Times New Roman" w:hAnsi="Times New Roman" w:cs="Times New Roman"/>
          <w:b/>
          <w:sz w:val="18"/>
          <w:szCs w:val="18"/>
        </w:rPr>
        <w:t xml:space="preserve">A capability added after the freeze. </w:t>
      </w:r>
      <w:r>
        <w:rPr>
          <w:rFonts w:ascii="Times New Roman" w:hAnsi="Times New Roman" w:cs="Times New Roman"/>
          <w:sz w:val="18"/>
          <w:szCs w:val="18"/>
        </w:rPr>
        <w:t xml:space="preserve">The </w:t>
      </w:r>
      <w:r>
        <w:rPr>
          <w:rFonts w:ascii="Consolas" w:hAnsi="Consolas" w:cs="Consolas"/>
          <w:sz w:val="16"/>
          <w:szCs w:val="16"/>
        </w:rPr>
        <w:t xml:space="preserve">check</w:t>
      </w:r>
      <w:r>
        <w:rPr>
          <w:rFonts w:ascii="Times New Roman" w:hAnsi="Times New Roman" w:cs="Times New Roman"/>
          <w:sz w:val="18"/>
          <w:szCs w:val="18"/>
        </w:rPr>
        <w:t xml:space="preserve"> capability was implemented after the set was committed. Two records are affected and neither was re-labelled: one paraphrase whose gold we consider superseded, and one ambiguous record whose failure mode changed from silent abstention to a confident answer to a different question—strictly worse, and the predictable cost of widening a keyword grammar. A third instance was caught by the frozen out-of-scope category before any user met it: the first implementation treated any “left” as a direction, so “how much battery is left” routed to a scene query, raising over-trigger to 7.5%. “Left” and “right” are ordinary English words; “ahead”, “front” and “forward” are not, so the rule now requires a positional lead-in for the ambiguous pair only.</w:t>
      </w:r>
    </w:p>
    <w:p>
      <w:pPr>
        <w:keepNext/>
        <w:spacing w:before="170" w:after="60"/>
      </w:pPr>
      <w:r>
        <w:rPr>
          <w:rFonts w:ascii="Times New Roman" w:hAnsi="Times New Roman" w:cs="Times New Roman"/>
          <w:b/>
          <w:sz w:val="19"/>
          <w:szCs w:val="19"/>
        </w:rPr>
        <w:t xml:space="preserve">8  DISCUSSION AND LIMITATIONS</w:t>
      </w:r>
    </w:p>
    <w:p>
      <w:pPr>
        <w:spacing w:before="0" w:after="0" w:line="216" w:lineRule="auto"/>
        <w:ind w:firstLine="0"/>
        <w:jc w:val="both"/>
      </w:pPr>
      <w:r>
        <w:rPr>
          <w:rFonts w:ascii="Times New Roman" w:hAnsi="Times New Roman" w:cs="Times New Roman"/>
          <w:b/>
          <w:sz w:val="18"/>
          <w:szCs w:val="18"/>
        </w:rPr>
        <w:t xml:space="preserve">No blind participants. </w:t>
      </w:r>
      <w:r>
        <w:rPr>
          <w:rFonts w:ascii="Times New Roman" w:hAnsi="Times New Roman" w:cs="Times New Roman"/>
          <w:sz w:val="18"/>
          <w:szCs w:val="18"/>
        </w:rPr>
        <w:t xml:space="preserve">The system has been field-walked by a single sighted developer. Every claim here about what is </w:t>
      </w:r>
      <w:r>
        <w:rPr>
          <w:rFonts w:ascii="Times New Roman" w:hAnsi="Times New Roman" w:cs="Times New Roman"/>
          <w:i/>
          <w:sz w:val="18"/>
          <w:szCs w:val="18"/>
        </w:rPr>
        <w:t xml:space="preserve">safer</w:t>
      </w:r>
      <w:r>
        <w:rPr>
          <w:rFonts w:ascii="Times New Roman" w:hAnsi="Times New Roman" w:cs="Times New Roman"/>
          <w:sz w:val="18"/>
          <w:szCs w:val="18"/>
        </w:rPr>
        <w:t xml:space="preserve"> is a design argument supported by mechanism and by deterministic tests, not by user data. A study with blind participants is the necessary next step and specifically the one that could falsify the premise: users may prefer a guessed answer to an abstention, and the over-trigger rate we optimise against may not be the quantity that matters to them.</w:t>
      </w:r>
    </w:p>
    <w:p>
      <w:pPr>
        <w:spacing w:before="0" w:after="0" w:line="216" w:lineRule="auto"/>
        <w:ind w:firstLine="201"/>
        <w:jc w:val="both"/>
      </w:pPr>
      <w:r>
        <w:rPr>
          <w:rFonts w:ascii="Times New Roman" w:hAnsi="Times New Roman" w:cs="Times New Roman"/>
          <w:b/>
          <w:sz w:val="18"/>
          <w:szCs w:val="18"/>
        </w:rPr>
        <w:t xml:space="preserve">Over-triggering is measured, not solved. </w:t>
      </w:r>
      <w:r>
        <w:rPr>
          <w:rFonts w:ascii="Times New Roman" w:hAnsi="Times New Roman" w:cs="Times New Roman"/>
          <w:sz w:val="18"/>
          <w:szCs w:val="18"/>
        </w:rPr>
        <w:t xml:space="preserve">55% on text and 69.6% on speech is the largest open problem this evaluation exposes. Rejection examples in the prompt, a second-pass scope classifier, and a model-confidence gate [14] are all available; none is evaluated, because each would be tuning against a frozen set. A held-out set comes first.</w:t>
      </w:r>
    </w:p>
    <w:p>
      <w:pPr>
        <w:spacing w:before="0" w:after="0" w:line="216" w:lineRule="auto"/>
        <w:ind w:firstLine="201"/>
        <w:jc w:val="both"/>
      </w:pPr>
      <w:r>
        <w:rPr>
          <w:rFonts w:ascii="Times New Roman" w:hAnsi="Times New Roman" w:cs="Times New Roman"/>
          <w:b/>
          <w:sz w:val="18"/>
          <w:szCs w:val="18"/>
        </w:rPr>
        <w:t xml:space="preserve">The spoken condition is small and gated. </w:t>
      </w:r>
      <w:r>
        <w:rPr>
          <w:rFonts w:ascii="Times New Roman" w:hAnsi="Times New Roman" w:cs="Times New Roman"/>
          <w:sz w:val="18"/>
          <w:szCs w:val="18"/>
        </w:rPr>
        <w:t xml:space="preserve">Two speakers, 59 records, 107 transcripts, one recogniser, one room. The alignment gate that recovers utterance boundaries drops the worst-recognised utterances, so the degradation reported in §7.1 is a floor on the true degradation, not an estimate of it. A larger panel, more rooms, and the Whisper path as a second recogniser arm would all sharpen it; none of them is likely to move the direction of the effect.</w:t>
      </w:r>
    </w:p>
    <w:p>
      <w:pPr>
        <w:spacing w:before="0" w:after="0" w:line="216" w:lineRule="auto"/>
        <w:ind w:firstLine="201"/>
        <w:jc w:val="both"/>
      </w:pPr>
      <w:r>
        <w:rPr>
          <w:rFonts w:ascii="Times New Roman" w:hAnsi="Times New Roman" w:cs="Times New Roman"/>
          <w:b/>
          <w:sz w:val="18"/>
          <w:szCs w:val="18"/>
        </w:rPr>
        <w:t xml:space="preserve">One model, one machine. </w:t>
      </w:r>
      <w:r>
        <w:rPr>
          <w:rFonts w:ascii="Times New Roman" w:hAnsi="Times New Roman" w:cs="Times New Roman"/>
          <w:sz w:val="18"/>
          <w:szCs w:val="18"/>
        </w:rPr>
        <w:t xml:space="preserve">A second arm with a reasoning model (</w:t>
      </w:r>
      <w:r>
        <w:rPr>
          <w:rFonts w:ascii="Consolas" w:hAnsi="Consolas" w:cs="Consolas"/>
          <w:sz w:val="16"/>
          <w:szCs w:val="16"/>
        </w:rPr>
        <w:t xml:space="preserve">qwen3:4b</w:t>
      </w:r>
      <w:r>
        <w:rPr>
          <w:rFonts w:ascii="Times New Roman" w:hAnsi="Times New Roman" w:cs="Times New Roman"/>
          <w:sz w:val="18"/>
          <w:szCs w:val="18"/>
        </w:rPr>
        <w:t xml:space="preserve">) returned no parseable tool call on 102 of 140 tier-1 calls at 6–8 s each, so tier 1 contributed nothing and the run scored exactly the keyword baseline. The validation boundary degraded to fewer capabilities rather than to wrong ones, which is the designed behaviour, but the comparison is not informative about model size until thinking output is disabled.</w:t>
      </w:r>
    </w:p>
    <w:p>
      <w:pPr>
        <w:spacing w:before="0" w:after="0" w:line="216" w:lineRule="auto"/>
        <w:ind w:firstLine="201"/>
        <w:jc w:val="both"/>
      </w:pPr>
      <w:r>
        <w:rPr>
          <w:rFonts w:ascii="Times New Roman" w:hAnsi="Times New Roman" w:cs="Times New Roman"/>
          <w:b/>
          <w:sz w:val="18"/>
          <w:szCs w:val="18"/>
        </w:rPr>
        <w:t xml:space="preserve">The clock mapping is camera-frame, not O&amp;M. </w:t>
      </w:r>
      <w:r>
        <w:rPr>
          <w:rFonts w:ascii="Times New Roman" w:hAnsi="Times New Roman" w:cs="Times New Roman"/>
          <w:sz w:val="18"/>
          <w:szCs w:val="18"/>
        </w:rPr>
        <w:t xml:space="preserve">Frame width spans 10–2 o'clock over roughly a 60° field of view, so “2 o'clock” means the right frame edge, not the 90° a trained traveller would turn. This needs relabelling or a genuine remapping before the system claims compatibility with Orientation &amp; Mobility instruction.</w:t>
      </w:r>
    </w:p>
    <w:p>
      <w:pPr>
        <w:spacing w:before="0" w:after="0" w:line="216" w:lineRule="auto"/>
        <w:ind w:firstLine="201"/>
        <w:jc w:val="both"/>
      </w:pPr>
      <w:r>
        <w:rPr>
          <w:rFonts w:ascii="Times New Roman" w:hAnsi="Times New Roman" w:cs="Times New Roman"/>
          <w:b/>
          <w:sz w:val="18"/>
          <w:szCs w:val="18"/>
        </w:rPr>
        <w:t xml:space="preserve">Distance is coarse and the fabrication detector is crude. </w:t>
      </w:r>
      <w:r>
        <w:rPr>
          <w:rFonts w:ascii="Times New Roman" w:hAnsi="Times New Roman" w:cs="Times New Roman"/>
          <w:sz w:val="18"/>
          <w:szCs w:val="18"/>
        </w:rPr>
        <w:t xml:space="preserve">Roughly ±30–40% at 5 m with an uncalibrated focal constant; the gating argument concerns </w:t>
      </w:r>
      <w:r>
        <w:rPr>
          <w:rFonts w:ascii="Times New Roman" w:hAnsi="Times New Roman" w:cs="Times New Roman"/>
          <w:i/>
          <w:sz w:val="18"/>
          <w:szCs w:val="18"/>
        </w:rPr>
        <w:t xml:space="preserve">when</w:t>
      </w:r>
      <w:r>
        <w:rPr>
          <w:rFonts w:ascii="Times New Roman" w:hAnsi="Times New Roman" w:cs="Times New Roman"/>
          <w:sz w:val="18"/>
          <w:szCs w:val="18"/>
        </w:rPr>
        <w:t xml:space="preserve"> to speak a number, not how good it is, but a one-time per-device calibration would strengthen any accuracy claim. The fabrication detector flags invented objects only, missing invented distances, bearings and counts—several of which appear in the samples it did flag. It is a lower bound.</w:t>
      </w:r>
    </w:p>
    <w:p>
      <w:pPr>
        <w:spacing w:before="0" w:after="0" w:line="216" w:lineRule="auto"/>
        <w:ind w:firstLine="201"/>
        <w:jc w:val="both"/>
      </w:pPr>
      <w:r>
        <w:rPr>
          <w:rFonts w:ascii="Times New Roman" w:hAnsi="Times New Roman" w:cs="Times New Roman"/>
          <w:b/>
          <w:sz w:val="18"/>
          <w:szCs w:val="18"/>
        </w:rPr>
        <w:t xml:space="preserve">Chat replies are counted, not judged. </w:t>
      </w:r>
      <w:r>
        <w:rPr>
          <w:rFonts w:ascii="Times New Roman" w:hAnsi="Times New Roman" w:cs="Times New Roman"/>
          <w:sz w:val="18"/>
          <w:szCs w:val="18"/>
        </w:rPr>
        <w:t xml:space="preserve">They are excluded from the fabrication metric by definition and listed for inspection, but we do not measure whether they are correct or well-calibrated. They are now part of what the system says, so a user study would have to.</w:t>
      </w:r>
    </w:p>
    <w:p>
      <w:pPr>
        <w:spacing w:before="0" w:after="0" w:line="216" w:lineRule="auto"/>
        <w:ind w:firstLine="201"/>
        <w:jc w:val="both"/>
      </w:pPr>
      <w:r>
        <w:rPr>
          <w:rFonts w:ascii="Times New Roman" w:hAnsi="Times New Roman" w:cs="Times New Roman"/>
          <w:b/>
          <w:sz w:val="18"/>
          <w:szCs w:val="18"/>
        </w:rPr>
        <w:t xml:space="preserve">Tether dependency. </w:t>
      </w:r>
      <w:r>
        <w:rPr>
          <w:rFonts w:ascii="Times New Roman" w:hAnsi="Times New Roman" w:cs="Times New Roman"/>
          <w:sz w:val="18"/>
          <w:szCs w:val="18"/>
        </w:rPr>
        <w:t xml:space="preserve">The remote-primary architecture assumes a laptop and a local network; §4 makes the failure safe, not absent. On-device viability awaits a lighter detector head or hardware whose delegate partitions the model cleanly.</w:t>
      </w:r>
    </w:p>
    <w:p>
      <w:pPr>
        <w:keepNext/>
        <w:spacing w:before="170" w:after="60"/>
      </w:pPr>
      <w:r>
        <w:rPr>
          <w:rFonts w:ascii="Times New Roman" w:hAnsi="Times New Roman" w:cs="Times New Roman"/>
          <w:b/>
          <w:sz w:val="19"/>
          <w:szCs w:val="19"/>
        </w:rPr>
        <w:t xml:space="preserve">9  ETHICS, POSITIONALITY AND AVAILABILITY</w:t>
      </w:r>
    </w:p>
    <w:p>
      <w:pPr>
        <w:spacing w:before="0" w:after="0" w:line="216" w:lineRule="auto"/>
        <w:ind w:firstLine="0"/>
        <w:jc w:val="both"/>
      </w:pPr>
      <w:r>
        <w:rPr>
          <w:rFonts w:ascii="Times New Roman" w:hAnsi="Times New Roman" w:cs="Times New Roman"/>
          <w:sz w:val="18"/>
          <w:szCs w:val="18"/>
        </w:rPr>
        <w:t xml:space="preserve">The author is a sighted student developer and is not a member of the population this system is built for. Nothing here was co-designed with blind users, and the one field walk was performed by the author. We have tried to make that limitation load-bearing rather than decorative: every safety claim is tied to a mechanism and a test that a reader can inspect, so that a blind participant study can falsify the design arguments rather than merely fail to confirm them. No human-subjects data was collected and no ethics approval was required for the work reported; a participant study is not attempted here precisely because doing it informally, with an unvalidated prototype and no approval, would be the wrong way to involve the population concerned. The two speakers who recorded the spoken condition read a fixed list of system commands, contributed voluntarily, and are identified only as A and B.</w:t>
      </w:r>
    </w:p>
    <w:p>
      <w:pPr>
        <w:spacing w:before="0" w:after="0" w:line="216" w:lineRule="auto"/>
        <w:ind w:firstLine="201"/>
        <w:jc w:val="both"/>
      </w:pPr>
      <w:r>
        <w:rPr>
          <w:rFonts w:ascii="Times New Roman" w:hAnsi="Times New Roman" w:cs="Times New Roman"/>
          <w:sz w:val="18"/>
          <w:szCs w:val="18"/>
        </w:rPr>
        <w:t xml:space="preserve">The system runs offline by design—detection on a locally tethered laptop, speech recognition, synthesis and OCR on the handset—so no camera frame, no utterance and no location leaves the user's own devices. The tether is an unencrypted local link, which is adequate for a prototype on a personal hotspot and would need transport security before any deployment.</w:t>
      </w:r>
    </w:p>
    <w:p>
      <w:pPr>
        <w:spacing w:before="0" w:after="0" w:line="216" w:lineRule="auto"/>
        <w:ind w:firstLine="201"/>
        <w:jc w:val="both"/>
      </w:pPr>
      <w:r>
        <w:rPr>
          <w:rFonts w:ascii="Times New Roman" w:hAnsi="Times New Roman" w:cs="Times New Roman"/>
          <w:sz w:val="18"/>
          <w:szCs w:val="18"/>
        </w:rPr>
        <w:t xml:space="preserve">Source code, the capability registry manifest, the frozen evaluation protocol, the 200-record labelled set and every run report are available at github.com/Aditya17-bot/object_detection_blind. Clean-condition results carry the eval-set SHA-256 prefix </w:t>
      </w:r>
      <w:r>
        <w:rPr>
          <w:rFonts w:ascii="Consolas" w:hAnsi="Consolas" w:cs="Consolas"/>
          <w:sz w:val="16"/>
          <w:szCs w:val="16"/>
        </w:rPr>
        <w:t xml:space="preserve">e4eeca83070e2d66</w:t>
      </w:r>
      <w:r>
        <w:rPr>
          <w:rFonts w:ascii="Times New Roman" w:hAnsi="Times New Roman" w:cs="Times New Roman"/>
          <w:sz w:val="18"/>
          <w:szCs w:val="18"/>
        </w:rPr>
        <w:t xml:space="preserve">; adding the spoken transcripts changes it to </w:t>
      </w:r>
      <w:r>
        <w:rPr>
          <w:rFonts w:ascii="Consolas" w:hAnsi="Consolas" w:cs="Consolas"/>
          <w:sz w:val="16"/>
          <w:szCs w:val="16"/>
        </w:rPr>
        <w:t xml:space="preserve">f9e775b6a65279a4</w:t>
      </w:r>
      <w:r>
        <w:rPr>
          <w:rFonts w:ascii="Times New Roman" w:hAnsi="Times New Roman" w:cs="Times New Roman"/>
          <w:sz w:val="18"/>
          <w:szCs w:val="18"/>
        </w:rPr>
        <w:t xml:space="preserve">, and only the transcripts differ between them.</w:t>
      </w:r>
    </w:p>
    <w:p>
      <w:pPr>
        <w:keepNext/>
        <w:spacing w:before="170" w:after="60"/>
      </w:pPr>
      <w:r>
        <w:rPr>
          <w:rFonts w:ascii="Times New Roman" w:hAnsi="Times New Roman" w:cs="Times New Roman"/>
          <w:b/>
          <w:sz w:val="19"/>
          <w:szCs w:val="19"/>
        </w:rPr>
        <w:t xml:space="preserve">10  CONCLUSION</w:t>
      </w:r>
    </w:p>
    <w:p>
      <w:pPr>
        <w:spacing w:before="0" w:after="0" w:line="216" w:lineRule="auto"/>
        <w:ind w:firstLine="0"/>
        <w:jc w:val="both"/>
      </w:pPr>
      <w:r>
        <w:rPr>
          <w:rFonts w:ascii="Times New Roman" w:hAnsi="Times New Roman" w:cs="Times New Roman"/>
          <w:sz w:val="18"/>
          <w:szCs w:val="18"/>
        </w:rPr>
        <w:t xml:space="preserve">For users who cannot audit what a system tells them, abstention is not an error path—it is a feature that must be designed, implemented and measured at every layer where the system can be wrong. We showed five such designs in a working offline assistive system, each with criteria specific to its layer's failure mode, and extended the pattern to a voice agent whose language model may choose what the system does and never what it says about the world. The interesting claim is not that tool mediation prevents fabrication—it plainly does—but that the same principle that motivates it also explains a distance gate, a path threshold, a null-versus-empty distinction and a warning-rate ceiling three layers away. The spoken-input result sharpens rather than softens that: the mechanisms that abstain by construction were the ones still abstaining when the input degraded.</w:t>
      </w:r>
    </w:p>
    <w:tbl>
      <w:tblPr>
        <w:tblLayout w:type="fixed"/>
        <w:tblCellMar>
          <w:top w:w="18" w:type="dxa"/>
          <w:left w:w="40" w:type="dxa"/>
          <w:bottom w:w="18" w:type="dxa"/>
          <w:right w:w="40" w:type="dxa"/>
        </w:tblCellMar>
      </w:tblPr>
      <w:tblGrid>
        <w:gridCol w:w="1296"/>
        <w:gridCol w:w="1728"/>
        <w:gridCol w:w="1771"/>
      </w:tblGrid>
      <w:tr>
        <w:trPr>
          <w:cantSplit/>
        </w:trPr>
        <w:tc>
          <w:tcPr>
            <w:tcW w:w="1296" w:type="dxa"/>
            <w:tcBorders>
              <w:top w:val="single" w:sz="12" w:space="0" w:color="000000"/>
              <w:bottom w:val="single" w:sz="6" w:space="0" w:color="000000"/>
            </w:tcBorders>
            <w:vAlign w:val="center"/>
          </w:tcPr>
          <w:p>
            <w:pPr>
              <w:keepNext/>
              <w:spacing w:before="22" w:after="22"/>
              <w:jc w:val="left"/>
            </w:pPr>
            <w:r>
              <w:rPr>
                <w:rFonts w:ascii="Times New Roman" w:hAnsi="Times New Roman" w:cs="Times New Roman"/>
                <w:b/>
                <w:sz w:val="16"/>
                <w:szCs w:val="16"/>
              </w:rPr>
              <w:t xml:space="preserve">Tool</w:t>
            </w:r>
          </w:p>
        </w:tc>
        <w:tc>
          <w:tcPr>
            <w:tcW w:w="1728" w:type="dxa"/>
            <w:tcBorders>
              <w:top w:val="single" w:sz="12" w:space="0" w:color="000000"/>
              <w:bottom w:val="single" w:sz="6" w:space="0" w:color="000000"/>
            </w:tcBorders>
            <w:vAlign w:val="center"/>
          </w:tcPr>
          <w:p>
            <w:pPr>
              <w:keepNext/>
              <w:spacing w:before="22" w:after="22"/>
              <w:jc w:val="left"/>
            </w:pPr>
            <w:r>
              <w:rPr>
                <w:rFonts w:ascii="Times New Roman" w:hAnsi="Times New Roman" w:cs="Times New Roman"/>
                <w:b/>
                <w:sz w:val="16"/>
                <w:szCs w:val="16"/>
              </w:rPr>
              <w:t xml:space="preserve">Argument</w:t>
            </w:r>
          </w:p>
        </w:tc>
        <w:tc>
          <w:tcPr>
            <w:tcW w:w="1771" w:type="dxa"/>
            <w:tcBorders>
              <w:top w:val="single" w:sz="12" w:space="0" w:color="000000"/>
              <w:bottom w:val="single" w:sz="6" w:space="0" w:color="000000"/>
            </w:tcBorders>
            <w:vAlign w:val="center"/>
          </w:tcPr>
          <w:p>
            <w:pPr>
              <w:keepNext/>
              <w:spacing w:before="22" w:after="22"/>
              <w:jc w:val="left"/>
            </w:pPr>
            <w:r>
              <w:rPr>
                <w:rFonts w:ascii="Times New Roman" w:hAnsi="Times New Roman" w:cs="Times New Roman"/>
                <w:b/>
                <w:sz w:val="16"/>
                <w:szCs w:val="16"/>
              </w:rPr>
              <w:t xml:space="preserve">Backed by</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walk</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engine mode</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find</w:t>
            </w:r>
          </w:p>
        </w:tc>
        <w:tc>
          <w:tcPr>
            <w:tcW w:w="1728" w:type="dxa"/>
            <w:vAlign w:val="center"/>
          </w:tcPr>
          <w:p>
            <w:pPr>
              <w:keepNext/>
              <w:spacing w:before="22" w:after="22"/>
              <w:jc w:val="left"/>
            </w:pPr>
            <w:r>
              <w:rPr>
                <w:rFonts w:ascii="Times New Roman" w:hAnsi="Times New Roman" w:cs="Times New Roman"/>
                <w:sz w:val="16"/>
                <w:szCs w:val="16"/>
              </w:rPr>
              <w:t xml:space="preserve">class, required</w:t>
            </w:r>
          </w:p>
        </w:tc>
        <w:tc>
          <w:tcPr>
            <w:tcW w:w="1771" w:type="dxa"/>
            <w:vAlign w:val="center"/>
          </w:tcPr>
          <w:p>
            <w:pPr>
              <w:keepNext/>
              <w:spacing w:before="22" w:after="22"/>
              <w:jc w:val="left"/>
            </w:pPr>
            <w:r>
              <w:rPr>
                <w:rFonts w:ascii="Times New Roman" w:hAnsi="Times New Roman" w:cs="Times New Roman"/>
                <w:sz w:val="16"/>
                <w:szCs w:val="16"/>
              </w:rPr>
              <w:t xml:space="preserve">find_message</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describe</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summarize_scene</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count</w:t>
            </w:r>
          </w:p>
        </w:tc>
        <w:tc>
          <w:tcPr>
            <w:tcW w:w="1728" w:type="dxa"/>
            <w:vAlign w:val="center"/>
          </w:tcPr>
          <w:p>
            <w:pPr>
              <w:keepNext/>
              <w:spacing w:before="22" w:after="22"/>
              <w:jc w:val="left"/>
            </w:pPr>
            <w:r>
              <w:rPr>
                <w:rFonts w:ascii="Times New Roman" w:hAnsi="Times New Roman" w:cs="Times New Roman"/>
                <w:sz w:val="16"/>
                <w:szCs w:val="16"/>
              </w:rPr>
              <w:t xml:space="preserve">class, required</w:t>
            </w:r>
          </w:p>
        </w:tc>
        <w:tc>
          <w:tcPr>
            <w:tcW w:w="1771" w:type="dxa"/>
            <w:vAlign w:val="center"/>
          </w:tcPr>
          <w:p>
            <w:pPr>
              <w:keepNext/>
              <w:spacing w:before="22" w:after="22"/>
              <w:jc w:val="left"/>
            </w:pPr>
            <w:r>
              <w:rPr>
                <w:rFonts w:ascii="Times New Roman" w:hAnsi="Times New Roman" w:cs="Times New Roman"/>
                <w:sz w:val="16"/>
                <w:szCs w:val="16"/>
              </w:rPr>
              <w:t xml:space="preserve">count_message</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recall</w:t>
            </w:r>
          </w:p>
        </w:tc>
        <w:tc>
          <w:tcPr>
            <w:tcW w:w="1728" w:type="dxa"/>
            <w:vAlign w:val="center"/>
          </w:tcPr>
          <w:p>
            <w:pPr>
              <w:keepNext/>
              <w:spacing w:before="22" w:after="22"/>
              <w:jc w:val="left"/>
            </w:pPr>
            <w:r>
              <w:rPr>
                <w:rFonts w:ascii="Times New Roman" w:hAnsi="Times New Roman" w:cs="Times New Roman"/>
                <w:sz w:val="16"/>
                <w:szCs w:val="16"/>
              </w:rPr>
              <w:t xml:space="preserve">class, required</w:t>
            </w:r>
          </w:p>
        </w:tc>
        <w:tc>
          <w:tcPr>
            <w:tcW w:w="1771" w:type="dxa"/>
            <w:vAlign w:val="center"/>
          </w:tcPr>
          <w:p>
            <w:pPr>
              <w:keepNext/>
              <w:spacing w:before="22" w:after="22"/>
              <w:jc w:val="left"/>
            </w:pPr>
            <w:r>
              <w:rPr>
                <w:rFonts w:ascii="Times New Roman" w:hAnsi="Times New Roman" w:cs="Times New Roman"/>
                <w:sz w:val="16"/>
                <w:szCs w:val="16"/>
              </w:rPr>
              <w:t xml:space="preserve">object memory</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path</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clear_path</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check</w:t>
            </w:r>
          </w:p>
        </w:tc>
        <w:tc>
          <w:tcPr>
            <w:tcW w:w="1728" w:type="dxa"/>
            <w:vAlign w:val="center"/>
          </w:tcPr>
          <w:p>
            <w:pPr>
              <w:keepNext/>
              <w:spacing w:before="22" w:after="22"/>
              <w:jc w:val="left"/>
            </w:pPr>
            <w:r>
              <w:rPr>
                <w:rFonts w:ascii="Times New Roman" w:hAnsi="Times New Roman" w:cs="Times New Roman"/>
                <w:sz w:val="16"/>
                <w:szCs w:val="16"/>
              </w:rPr>
              <w:t xml:space="preserve">direction, required</w:t>
            </w:r>
          </w:p>
        </w:tc>
        <w:tc>
          <w:tcPr>
            <w:tcW w:w="1771" w:type="dxa"/>
            <w:vAlign w:val="center"/>
          </w:tcPr>
          <w:p>
            <w:pPr>
              <w:keepNext/>
              <w:spacing w:before="22" w:after="22"/>
              <w:jc w:val="left"/>
            </w:pPr>
            <w:r>
              <w:rPr>
                <w:rFonts w:ascii="Times New Roman" w:hAnsi="Times New Roman" w:cs="Times New Roman"/>
                <w:sz w:val="16"/>
                <w:szCs w:val="16"/>
              </w:rPr>
              <w:t xml:space="preserve">check_direction</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read</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on-device OCR</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clock / zones</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bearing style</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sonar</w:t>
            </w:r>
          </w:p>
        </w:tc>
        <w:tc>
          <w:tcPr>
            <w:tcW w:w="1728" w:type="dxa"/>
            <w:vAlign w:val="center"/>
          </w:tcPr>
          <w:p>
            <w:pPr>
              <w:keepNext/>
              <w:spacing w:before="22" w:after="22"/>
              <w:jc w:val="left"/>
            </w:pPr>
            <w:r>
              <w:rPr>
                <w:rFonts w:ascii="Times New Roman" w:hAnsi="Times New Roman" w:cs="Times New Roman"/>
                <w:sz w:val="16"/>
                <w:szCs w:val="16"/>
              </w:rPr>
              <w:t xml:space="preserve">on/off</w:t>
            </w:r>
          </w:p>
        </w:tc>
        <w:tc>
          <w:tcPr>
            <w:tcW w:w="1771" w:type="dxa"/>
            <w:vAlign w:val="center"/>
          </w:tcPr>
          <w:p>
            <w:pPr>
              <w:keepNext/>
              <w:spacing w:before="22" w:after="22"/>
              <w:jc w:val="left"/>
            </w:pPr>
            <w:r>
              <w:rPr>
                <w:rFonts w:ascii="Times New Roman" w:hAnsi="Times New Roman" w:cs="Times New Roman"/>
                <w:sz w:val="16"/>
                <w:szCs w:val="16"/>
              </w:rPr>
              <w:t xml:space="preserve">sonar controller</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mute</w:t>
            </w:r>
          </w:p>
        </w:tc>
        <w:tc>
          <w:tcPr>
            <w:tcW w:w="1728" w:type="dxa"/>
            <w:vAlign w:val="center"/>
          </w:tcPr>
          <w:p>
            <w:pPr>
              <w:keepNext/>
              <w:spacing w:before="22" w:after="22"/>
              <w:jc w:val="left"/>
            </w:pPr>
            <w:r>
              <w:rPr>
                <w:rFonts w:ascii="Times New Roman" w:hAnsi="Times New Roman" w:cs="Times New Roman"/>
                <w:sz w:val="16"/>
                <w:szCs w:val="16"/>
              </w:rPr>
              <w:t xml:space="preserve">on/off, required</w:t>
            </w:r>
          </w:p>
        </w:tc>
        <w:tc>
          <w:tcPr>
            <w:tcW w:w="1771" w:type="dxa"/>
            <w:vAlign w:val="center"/>
          </w:tcPr>
          <w:p>
            <w:pPr>
              <w:keepNext/>
              <w:spacing w:before="22" w:after="22"/>
              <w:jc w:val="left"/>
            </w:pPr>
            <w:r>
              <w:rPr>
                <w:rFonts w:ascii="Times New Roman" w:hAnsi="Times New Roman" w:cs="Times New Roman"/>
                <w:sz w:val="16"/>
                <w:szCs w:val="16"/>
              </w:rPr>
              <w:t xml:space="preserve">speech controller</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stop / repeat</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speech controller</w:t>
            </w:r>
          </w:p>
        </w:tc>
      </w:tr>
      <w:tr>
        <w:trPr>
          <w:cantSplit/>
        </w:trPr>
        <w:tc>
          <w:tcPr>
            <w:tcW w:w="1296"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abstain</w:t>
            </w:r>
          </w:p>
        </w:tc>
        <w:tc>
          <w:tcPr>
            <w:tcW w:w="1728"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template key</w:t>
            </w:r>
          </w:p>
        </w:tc>
        <w:tc>
          <w:tcPr>
            <w:tcW w:w="1771"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fixed template table</w:t>
            </w:r>
          </w:p>
        </w:tc>
      </w:tr>
    </w:tbl>
    <w:p>
      <w:pPr>
        <w:spacing w:before="0" w:after="0"/>
      </w:pPr>
      <w:r>
        <w:rPr>
          <w:rFonts w:ascii="Times New Roman" w:hAnsi="Times New Roman" w:cs="Times New Roman"/>
          <w:sz w:val="18"/>
          <w:szCs w:val="18"/>
        </w:rPr>
        <w:t xml:space="preserve"/>
      </w:r>
    </w:p>
    <w:p>
      <w:pPr>
        <w:spacing w:before="0" w:after="110" w:line="200" w:lineRule="auto"/>
        <w:jc w:val="both"/>
      </w:pPr>
      <w:r>
        <w:rPr>
          <w:rFonts w:ascii="Times New Roman" w:hAnsi="Times New Roman" w:cs="Times New Roman"/>
          <w:b/>
          <w:sz w:val="16"/>
          <w:szCs w:val="16"/>
        </w:rPr>
        <w:t xml:space="preserve">Table 4.</w:t>
      </w:r>
      <w:r>
        <w:rPr>
          <w:rFonts w:ascii="Times New Roman" w:hAnsi="Times New Roman" w:cs="Times New Roman"/>
          <w:sz w:val="16"/>
          <w:szCs w:val="16"/>
        </w:rPr>
        <w:t xml:space="preserve"> The capability registry. One declarative table drives the recogniser's phrase list, the model's tool schema, the executor, and a manifest both languages' test suites assert against.</w:t>
      </w:r>
    </w:p>
    <w:p>
      <w:pPr>
        <w:keepNext/>
        <w:spacing w:before="170" w:after="60"/>
      </w:pPr>
      <w:r>
        <w:rPr>
          <w:rFonts w:ascii="Times New Roman" w:hAnsi="Times New Roman" w:cs="Times New Roman"/>
          <w:b/>
          <w:sz w:val="19"/>
          <w:szCs w:val="19"/>
        </w:rPr>
        <w:t xml:space="preserve">REFERENCES</w:t>
      </w:r>
    </w:p>
    <w:p>
      <w:pPr>
        <w:spacing w:before="0" w:after="26" w:line="200" w:lineRule="auto"/>
        <w:ind w:left="230" w:hanging="230"/>
        <w:jc w:val="both"/>
      </w:pPr>
      <w:r>
        <w:rPr>
          <w:rFonts w:ascii="Times New Roman" w:hAnsi="Times New Roman" w:cs="Times New Roman"/>
          <w:sz w:val="15"/>
          <w:szCs w:val="15"/>
        </w:rPr>
        <w:t xml:space="preserve">[1]  </w:t>
      </w:r>
      <w:r>
        <w:rPr>
          <w:rFonts w:ascii="Times New Roman" w:hAnsi="Times New Roman" w:cs="Times New Roman"/>
          <w:sz w:val="15"/>
          <w:szCs w:val="15"/>
        </w:rPr>
        <w:t xml:space="preserve">Rudaiba Adnin and Maitraye Das. 2024. “I Look at It as the King of Knowledge”: How Blind People Use and Understand Generative AI Tools. In Proceedings of the 26th International ACM SIGACCESS Conference on Computers and Accessibility (ASSETS).</w:t>
      </w:r>
    </w:p>
    <w:p>
      <w:pPr>
        <w:spacing w:before="0" w:after="26" w:line="200" w:lineRule="auto"/>
        <w:ind w:left="230" w:hanging="230"/>
        <w:jc w:val="both"/>
      </w:pPr>
      <w:r>
        <w:rPr>
          <w:rFonts w:ascii="Times New Roman" w:hAnsi="Times New Roman" w:cs="Times New Roman"/>
          <w:sz w:val="15"/>
          <w:szCs w:val="15"/>
        </w:rPr>
        <w:t xml:space="preserve">[2]  </w:t>
      </w:r>
      <w:r>
        <w:rPr>
          <w:rFonts w:ascii="Times New Roman" w:hAnsi="Times New Roman" w:cs="Times New Roman"/>
          <w:sz w:val="15"/>
          <w:szCs w:val="15"/>
        </w:rPr>
        <w:t xml:space="preserve">Dragan Ahmetovic, Cole Gleason, Chengxiong Ruan, Kris Kitani, Hironobu Takagi, and Chieko Asakawa. 2016. NavCog: A Navigational Cognitive Assistant for the Blind. In MobileHCI.</w:t>
      </w:r>
    </w:p>
    <w:p>
      <w:pPr>
        <w:spacing w:before="0" w:after="26" w:line="200" w:lineRule="auto"/>
        <w:ind w:left="230" w:hanging="230"/>
        <w:jc w:val="both"/>
      </w:pPr>
      <w:r>
        <w:rPr>
          <w:rFonts w:ascii="Times New Roman" w:hAnsi="Times New Roman" w:cs="Times New Roman"/>
          <w:sz w:val="15"/>
          <w:szCs w:val="15"/>
        </w:rPr>
        <w:t xml:space="preserve">[3]  </w:t>
      </w:r>
      <w:r>
        <w:rPr>
          <w:rFonts w:ascii="Times New Roman" w:hAnsi="Times New Roman" w:cs="Times New Roman"/>
          <w:sz w:val="15"/>
          <w:szCs w:val="15"/>
        </w:rPr>
        <w:t xml:space="preserve">Be My Eyes. Be My Eyes: See the World Together. https://www.bemyeyes.com/</w:t>
      </w:r>
    </w:p>
    <w:p>
      <w:pPr>
        <w:spacing w:before="0" w:after="26" w:line="200" w:lineRule="auto"/>
        <w:ind w:left="230" w:hanging="230"/>
        <w:jc w:val="both"/>
      </w:pPr>
      <w:r>
        <w:rPr>
          <w:rFonts w:ascii="Times New Roman" w:hAnsi="Times New Roman" w:cs="Times New Roman"/>
          <w:sz w:val="15"/>
          <w:szCs w:val="15"/>
        </w:rPr>
        <w:t xml:space="preserve">[4]  </w:t>
      </w:r>
      <w:r>
        <w:rPr>
          <w:rFonts w:ascii="Times New Roman" w:hAnsi="Times New Roman" w:cs="Times New Roman"/>
          <w:sz w:val="15"/>
          <w:szCs w:val="15"/>
        </w:rPr>
        <w:t xml:space="preserve">Jeffrey P. Bigham, Chandrika Jayant, Hanjie Ji, Greg Little, Andrew Miller, Robert C. Miller, Robin Miller, Aubrey Tatarowicz, Brandyn White, Samual White, and Tom Yeh. 2010. VizWiz: Nearly Real-Time Answers to Visual Questions. In UIST.</w:t>
      </w:r>
    </w:p>
    <w:p>
      <w:pPr>
        <w:spacing w:before="0" w:after="26" w:line="200" w:lineRule="auto"/>
        <w:ind w:left="230" w:hanging="230"/>
        <w:jc w:val="both"/>
      </w:pPr>
      <w:r>
        <w:rPr>
          <w:rFonts w:ascii="Times New Roman" w:hAnsi="Times New Roman" w:cs="Times New Roman"/>
          <w:sz w:val="15"/>
          <w:szCs w:val="15"/>
        </w:rPr>
        <w:t xml:space="preserve">[5]  </w:t>
      </w:r>
      <w:r>
        <w:rPr>
          <w:rFonts w:ascii="Times New Roman" w:hAnsi="Times New Roman" w:cs="Times New Roman"/>
          <w:sz w:val="15"/>
          <w:szCs w:val="15"/>
        </w:rPr>
        <w:t xml:space="preserve">Shlomo Breznitz. 1984. Cry Wolf: The Psychology of False Alarms. Lawrence Erlbaum Associates.</w:t>
      </w:r>
    </w:p>
    <w:p>
      <w:pPr>
        <w:spacing w:before="0" w:after="26" w:line="200" w:lineRule="auto"/>
        <w:ind w:left="230" w:hanging="230"/>
        <w:jc w:val="both"/>
      </w:pPr>
      <w:r>
        <w:rPr>
          <w:rFonts w:ascii="Times New Roman" w:hAnsi="Times New Roman" w:cs="Times New Roman"/>
          <w:sz w:val="15"/>
          <w:szCs w:val="15"/>
        </w:rPr>
        <w:t xml:space="preserve">[6]  </w:t>
      </w:r>
      <w:r>
        <w:rPr>
          <w:rFonts w:ascii="Times New Roman" w:hAnsi="Times New Roman" w:cs="Times New Roman"/>
          <w:sz w:val="15"/>
          <w:szCs w:val="15"/>
        </w:rPr>
        <w:t xml:space="preserve">C. K. Chow. 1970. On Optimum Recognition Error and Reject Tradeoff. IEEE Transactions on Information Theory 16, 1.</w:t>
      </w:r>
    </w:p>
    <w:p>
      <w:pPr>
        <w:spacing w:before="0" w:after="26" w:line="200" w:lineRule="auto"/>
        <w:ind w:left="230" w:hanging="230"/>
        <w:jc w:val="both"/>
      </w:pPr>
      <w:r>
        <w:rPr>
          <w:rFonts w:ascii="Times New Roman" w:hAnsi="Times New Roman" w:cs="Times New Roman"/>
          <w:sz w:val="15"/>
          <w:szCs w:val="15"/>
        </w:rPr>
        <w:t xml:space="preserve">[7]  </w:t>
      </w:r>
      <w:r>
        <w:rPr>
          <w:rFonts w:ascii="Times New Roman" w:hAnsi="Times New Roman" w:cs="Times New Roman"/>
          <w:sz w:val="15"/>
          <w:szCs w:val="15"/>
        </w:rPr>
        <w:t xml:space="preserve">Ádám Csapó and György Wersényi. 2013. Overview of Auditory Representations in Human-Machine Interfaces. ACM Computing Surveys 46, 2.</w:t>
      </w:r>
    </w:p>
    <w:p>
      <w:pPr>
        <w:spacing w:before="0" w:after="26" w:line="200" w:lineRule="auto"/>
        <w:ind w:left="230" w:hanging="230"/>
        <w:jc w:val="both"/>
      </w:pPr>
      <w:r>
        <w:rPr>
          <w:rFonts w:ascii="Times New Roman" w:hAnsi="Times New Roman" w:cs="Times New Roman"/>
          <w:sz w:val="15"/>
          <w:szCs w:val="15"/>
        </w:rPr>
        <w:t xml:space="preserve">[8]  </w:t>
      </w:r>
      <w:r>
        <w:rPr>
          <w:rFonts w:ascii="Times New Roman" w:hAnsi="Times New Roman" w:cs="Times New Roman"/>
          <w:sz w:val="15"/>
          <w:szCs w:val="15"/>
        </w:rPr>
        <w:t xml:space="preserve">Ran El-Yaniv and Yair Wiener. 2010. On the Foundations of Noise-Free Selective Classification. Journal of Machine Learning Research 11.</w:t>
      </w:r>
    </w:p>
    <w:p>
      <w:pPr>
        <w:spacing w:before="0" w:after="26" w:line="200" w:lineRule="auto"/>
        <w:ind w:left="230" w:hanging="230"/>
        <w:jc w:val="both"/>
      </w:pPr>
      <w:r>
        <w:rPr>
          <w:rFonts w:ascii="Times New Roman" w:hAnsi="Times New Roman" w:cs="Times New Roman"/>
          <w:sz w:val="15"/>
          <w:szCs w:val="15"/>
        </w:rPr>
        <w:t xml:space="preserve">[9]  </w:t>
      </w:r>
      <w:r>
        <w:rPr>
          <w:rFonts w:ascii="Times New Roman" w:hAnsi="Times New Roman" w:cs="Times New Roman"/>
          <w:sz w:val="15"/>
          <w:szCs w:val="15"/>
        </w:rPr>
        <w:t xml:space="preserve">Envision. Envision: Perceive Possibility. https://www.letsenvision.com/</w:t>
      </w:r>
    </w:p>
    <w:p>
      <w:pPr>
        <w:spacing w:before="0" w:after="26" w:line="200" w:lineRule="auto"/>
        <w:ind w:left="230" w:hanging="230"/>
        <w:jc w:val="both"/>
      </w:pPr>
      <w:r>
        <w:rPr>
          <w:rFonts w:ascii="Times New Roman" w:hAnsi="Times New Roman" w:cs="Times New Roman"/>
          <w:sz w:val="15"/>
          <w:szCs w:val="15"/>
        </w:rPr>
        <w:t xml:space="preserve">[10]  </w:t>
      </w:r>
      <w:r>
        <w:rPr>
          <w:rFonts w:ascii="Times New Roman" w:hAnsi="Times New Roman" w:cs="Times New Roman"/>
          <w:sz w:val="15"/>
          <w:szCs w:val="15"/>
        </w:rPr>
        <w:t xml:space="preserve">Yonatan Geifman and Ran El-Yaniv. 2017. Selective Classification for Deep Neural Networks. In NeurIPS.</w:t>
      </w:r>
    </w:p>
    <w:p>
      <w:pPr>
        <w:spacing w:before="0" w:after="26" w:line="200" w:lineRule="auto"/>
        <w:ind w:left="230" w:hanging="230"/>
        <w:jc w:val="both"/>
      </w:pPr>
      <w:r>
        <w:rPr>
          <w:rFonts w:ascii="Times New Roman" w:hAnsi="Times New Roman" w:cs="Times New Roman"/>
          <w:sz w:val="15"/>
          <w:szCs w:val="15"/>
        </w:rPr>
        <w:t xml:space="preserve">[11]  </w:t>
      </w:r>
      <w:r>
        <w:rPr>
          <w:rFonts w:ascii="Times New Roman" w:hAnsi="Times New Roman" w:cs="Times New Roman"/>
          <w:sz w:val="15"/>
          <w:szCs w:val="15"/>
        </w:rPr>
        <w:t xml:space="preserve">João Guerreiro, Daisuke Sato, Saki Asakawa, Huixu Dong, Kris M. Kitani, and Chieko Asakawa. 2019. CaBot: Designing and Evaluating an Autonomous Navigation Robot for Blind People. In ASSETS.</w:t>
      </w:r>
    </w:p>
    <w:p>
      <w:pPr>
        <w:spacing w:before="0" w:after="26" w:line="200" w:lineRule="auto"/>
        <w:ind w:left="230" w:hanging="230"/>
        <w:jc w:val="both"/>
      </w:pPr>
      <w:r>
        <w:rPr>
          <w:rFonts w:ascii="Times New Roman" w:hAnsi="Times New Roman" w:cs="Times New Roman"/>
          <w:sz w:val="15"/>
          <w:szCs w:val="15"/>
        </w:rPr>
        <w:t xml:space="preserve">[12]  </w:t>
      </w:r>
      <w:r>
        <w:rPr>
          <w:rFonts w:ascii="Times New Roman" w:hAnsi="Times New Roman" w:cs="Times New Roman"/>
          <w:sz w:val="15"/>
          <w:szCs w:val="15"/>
        </w:rPr>
        <w:t xml:space="preserve">Chuan Guo, Geoff Pleiss, Yu Sun, and Kilian Q. Weinberger. 2017. On Calibration of Modern Neural Networks. In ICML.</w:t>
      </w:r>
    </w:p>
    <w:p>
      <w:pPr>
        <w:spacing w:before="0" w:after="26" w:line="200" w:lineRule="auto"/>
        <w:ind w:left="230" w:hanging="230"/>
        <w:jc w:val="both"/>
      </w:pPr>
      <w:r>
        <w:rPr>
          <w:rFonts w:ascii="Times New Roman" w:hAnsi="Times New Roman" w:cs="Times New Roman"/>
          <w:sz w:val="15"/>
          <w:szCs w:val="15"/>
        </w:rPr>
        <w:t xml:space="preserve">[13]  </w:t>
      </w:r>
      <w:r>
        <w:rPr>
          <w:rFonts w:ascii="Times New Roman" w:hAnsi="Times New Roman" w:cs="Times New Roman"/>
          <w:sz w:val="15"/>
          <w:szCs w:val="15"/>
        </w:rPr>
        <w:t xml:space="preserve">Danna Gurari, Qing Li, Abigale J. Stangl, Anhong Guo, Chi Lin, Kristen Grauman, Jiebo Luo, and Jeffrey P. Bigham. 2018. VizWiz Grand Challenge: Answering Visual Questions from Blind People. In CVPR.</w:t>
      </w:r>
    </w:p>
    <w:p>
      <w:pPr>
        <w:spacing w:before="0" w:after="26" w:line="200" w:lineRule="auto"/>
        <w:ind w:left="230" w:hanging="230"/>
        <w:jc w:val="both"/>
      </w:pPr>
      <w:r>
        <w:rPr>
          <w:rFonts w:ascii="Times New Roman" w:hAnsi="Times New Roman" w:cs="Times New Roman"/>
          <w:sz w:val="15"/>
          <w:szCs w:val="15"/>
        </w:rPr>
        <w:t xml:space="preserve">[14]  </w:t>
      </w:r>
      <w:r>
        <w:rPr>
          <w:rFonts w:ascii="Times New Roman" w:hAnsi="Times New Roman" w:cs="Times New Roman"/>
          <w:sz w:val="15"/>
          <w:szCs w:val="15"/>
        </w:rPr>
        <w:t xml:space="preserve">Dan Hendrycks and Kevin Gimpel. 2017. A Baseline for Detecting Misclassified and Out-of-Distribution Examples in Neural Networks. In ICLR.</w:t>
      </w:r>
    </w:p>
    <w:p>
      <w:pPr>
        <w:spacing w:before="0" w:after="26" w:line="200" w:lineRule="auto"/>
        <w:ind w:left="230" w:hanging="230"/>
        <w:jc w:val="both"/>
      </w:pPr>
      <w:r>
        <w:rPr>
          <w:rFonts w:ascii="Times New Roman" w:hAnsi="Times New Roman" w:cs="Times New Roman"/>
          <w:sz w:val="15"/>
          <w:szCs w:val="15"/>
        </w:rPr>
        <w:t xml:space="preserve">[15]  </w:t>
      </w:r>
      <w:r>
        <w:rPr>
          <w:rFonts w:ascii="Times New Roman" w:hAnsi="Times New Roman" w:cs="Times New Roman"/>
          <w:sz w:val="15"/>
          <w:szCs w:val="15"/>
        </w:rPr>
        <w:t xml:space="preserve">Ziwei Ji, Nayeon Lee, Rita Frieske, Tiezheng Yu, Dan Su, Yan Xu, Etsuko Ishii, Yejin Bang, Andrea Madotto, and Pascale Fung. 2023. Survey of Hallucination in Natural Language Generation. ACM Computing Surveys 55, 12.</w:t>
      </w:r>
    </w:p>
    <w:p>
      <w:pPr>
        <w:spacing w:before="0" w:after="26" w:line="200" w:lineRule="auto"/>
        <w:ind w:left="230" w:hanging="230"/>
        <w:jc w:val="both"/>
      </w:pPr>
      <w:r>
        <w:rPr>
          <w:rFonts w:ascii="Times New Roman" w:hAnsi="Times New Roman" w:cs="Times New Roman"/>
          <w:sz w:val="15"/>
          <w:szCs w:val="15"/>
        </w:rPr>
        <w:t xml:space="preserve">[16]  </w:t>
      </w:r>
      <w:r>
        <w:rPr>
          <w:rFonts w:ascii="Times New Roman" w:hAnsi="Times New Roman" w:cs="Times New Roman"/>
          <w:sz w:val="15"/>
          <w:szCs w:val="15"/>
        </w:rPr>
        <w:t xml:space="preserve">Glenn Jocher, Ayush Chaurasia, and Jing Qiu. 2023. Ultralytics YOLO. Software. https://github.com/ultralytics/ultralytics</w:t>
      </w:r>
    </w:p>
    <w:p>
      <w:pPr>
        <w:spacing w:before="0" w:after="26" w:line="200" w:lineRule="auto"/>
        <w:ind w:left="230" w:hanging="230"/>
        <w:jc w:val="both"/>
      </w:pPr>
      <w:r>
        <w:rPr>
          <w:rFonts w:ascii="Times New Roman" w:hAnsi="Times New Roman" w:cs="Times New Roman"/>
          <w:sz w:val="15"/>
          <w:szCs w:val="15"/>
        </w:rPr>
        <w:t xml:space="preserve">[17]  </w:t>
      </w:r>
      <w:r>
        <w:rPr>
          <w:rFonts w:ascii="Times New Roman" w:hAnsi="Times New Roman" w:cs="Times New Roman"/>
          <w:sz w:val="15"/>
          <w:szCs w:val="15"/>
        </w:rPr>
        <w:t xml:space="preserve">Hernisa Kacorri, Kris M. Kitani, Jeffrey P. Bigham, and Chieko Asakawa. 2017. People with Visual Impairment Training Personal Object Recognizers: Feasibility and Challenges. In CHI.</w:t>
      </w:r>
    </w:p>
    <w:p>
      <w:pPr>
        <w:spacing w:before="0" w:after="26" w:line="200" w:lineRule="auto"/>
        <w:ind w:left="230" w:hanging="230"/>
        <w:jc w:val="both"/>
      </w:pPr>
      <w:r>
        <w:rPr>
          <w:rFonts w:ascii="Times New Roman" w:hAnsi="Times New Roman" w:cs="Times New Roman"/>
          <w:sz w:val="15"/>
          <w:szCs w:val="15"/>
        </w:rPr>
        <w:t xml:space="preserve">[18]  </w:t>
      </w:r>
      <w:r>
        <w:rPr>
          <w:rFonts w:ascii="Times New Roman" w:hAnsi="Times New Roman" w:cs="Times New Roman"/>
          <w:sz w:val="15"/>
          <w:szCs w:val="15"/>
        </w:rPr>
        <w:t xml:space="preserve">Saurav Kadavath, Tom Conerly, Amanda Askell, Tom Henighan, Dawn Drain, Ethan Perez, et al. 2022. Language Models (Mostly) Know What They Know. arXiv:2207.05221.</w:t>
      </w:r>
    </w:p>
    <w:p>
      <w:pPr>
        <w:spacing w:before="0" w:after="26" w:line="200" w:lineRule="auto"/>
        <w:ind w:left="230" w:hanging="230"/>
        <w:jc w:val="both"/>
      </w:pPr>
      <w:r>
        <w:rPr>
          <w:rFonts w:ascii="Times New Roman" w:hAnsi="Times New Roman" w:cs="Times New Roman"/>
          <w:sz w:val="15"/>
          <w:szCs w:val="15"/>
        </w:rPr>
        <w:t xml:space="preserve">[19]  </w:t>
      </w:r>
      <w:r>
        <w:rPr>
          <w:rFonts w:ascii="Times New Roman" w:hAnsi="Times New Roman" w:cs="Times New Roman"/>
          <w:sz w:val="15"/>
          <w:szCs w:val="15"/>
        </w:rPr>
        <w:t xml:space="preserve">Bineeth Kuriakose, Raju Shrestha, and Frode Eika Sandnes. 2022. Tools and Technologies for Blind and Visually Impaired Navigation Support: A Review. IETE Technical Review 39, 1.</w:t>
      </w:r>
    </w:p>
    <w:p>
      <w:pPr>
        <w:spacing w:before="0" w:after="26" w:line="200" w:lineRule="auto"/>
        <w:ind w:left="230" w:hanging="230"/>
        <w:jc w:val="both"/>
      </w:pPr>
      <w:r>
        <w:rPr>
          <w:rFonts w:ascii="Times New Roman" w:hAnsi="Times New Roman" w:cs="Times New Roman"/>
          <w:sz w:val="15"/>
          <w:szCs w:val="15"/>
        </w:rPr>
        <w:t xml:space="preserve">[20]  </w:t>
      </w:r>
      <w:r>
        <w:rPr>
          <w:rFonts w:ascii="Times New Roman" w:hAnsi="Times New Roman" w:cs="Times New Roman"/>
          <w:sz w:val="15"/>
          <w:szCs w:val="15"/>
        </w:rPr>
        <w:t xml:space="preserve">John D. Lee and Katrina A. See. 2004. Trust in Automation: Designing for Appropriate Reliance. Human Factors 46, 1.</w:t>
      </w:r>
    </w:p>
    <w:p>
      <w:pPr>
        <w:spacing w:before="0" w:after="26" w:line="200" w:lineRule="auto"/>
        <w:ind w:left="230" w:hanging="230"/>
        <w:jc w:val="both"/>
      </w:pPr>
      <w:r>
        <w:rPr>
          <w:rFonts w:ascii="Times New Roman" w:hAnsi="Times New Roman" w:cs="Times New Roman"/>
          <w:sz w:val="15"/>
          <w:szCs w:val="15"/>
        </w:rPr>
        <w:t xml:space="preserve">[21]  </w:t>
      </w:r>
      <w:r>
        <w:rPr>
          <w:rFonts w:ascii="Times New Roman" w:hAnsi="Times New Roman" w:cs="Times New Roman"/>
          <w:sz w:val="15"/>
          <w:szCs w:val="15"/>
        </w:rPr>
        <w:t xml:space="preserve">Tsung-Yi Lin, Michael Maire, Serge Belongie, James Hays, Pietro Perona, Deva Ramanan, Piotr Dollár, and C. Lawrence Zitnick. 2014. Microsoft COCO: Common Objects in Context. In ECCV.</w:t>
      </w:r>
    </w:p>
    <w:p>
      <w:pPr>
        <w:spacing w:before="0" w:after="26" w:line="200" w:lineRule="auto"/>
        <w:ind w:left="230" w:hanging="230"/>
        <w:jc w:val="both"/>
      </w:pPr>
      <w:r>
        <w:rPr>
          <w:rFonts w:ascii="Times New Roman" w:hAnsi="Times New Roman" w:cs="Times New Roman"/>
          <w:sz w:val="15"/>
          <w:szCs w:val="15"/>
        </w:rPr>
        <w:t xml:space="preserve">[22]  </w:t>
      </w:r>
      <w:r>
        <w:rPr>
          <w:rFonts w:ascii="Times New Roman" w:hAnsi="Times New Roman" w:cs="Times New Roman"/>
          <w:sz w:val="15"/>
          <w:szCs w:val="15"/>
        </w:rPr>
        <w:t xml:space="preserve">Llama Team, AI @ Meta. 2024. The Llama 3 Herd of Models. arXiv:2407.21783.</w:t>
      </w:r>
    </w:p>
    <w:p>
      <w:pPr>
        <w:spacing w:before="0" w:after="26" w:line="200" w:lineRule="auto"/>
        <w:ind w:left="230" w:hanging="230"/>
        <w:jc w:val="both"/>
      </w:pPr>
      <w:r>
        <w:rPr>
          <w:rFonts w:ascii="Times New Roman" w:hAnsi="Times New Roman" w:cs="Times New Roman"/>
          <w:sz w:val="15"/>
          <w:szCs w:val="15"/>
        </w:rPr>
        <w:t xml:space="preserve">[23]  </w:t>
      </w:r>
      <w:r>
        <w:rPr>
          <w:rFonts w:ascii="Times New Roman" w:hAnsi="Times New Roman" w:cs="Times New Roman"/>
          <w:sz w:val="15"/>
          <w:szCs w:val="15"/>
        </w:rPr>
        <w:t xml:space="preserve">Google. Lookout: Assisted Vision. https://support.google.com/accessibility/android/answer/9031274</w:t>
      </w:r>
    </w:p>
    <w:p>
      <w:pPr>
        <w:spacing w:before="0" w:after="26" w:line="200" w:lineRule="auto"/>
        <w:ind w:left="230" w:hanging="230"/>
        <w:jc w:val="both"/>
      </w:pPr>
      <w:r>
        <w:rPr>
          <w:rFonts w:ascii="Times New Roman" w:hAnsi="Times New Roman" w:cs="Times New Roman"/>
          <w:sz w:val="15"/>
          <w:szCs w:val="15"/>
        </w:rPr>
        <w:t xml:space="preserve">[24]  </w:t>
      </w:r>
      <w:r>
        <w:rPr>
          <w:rFonts w:ascii="Times New Roman" w:hAnsi="Times New Roman" w:cs="Times New Roman"/>
          <w:sz w:val="15"/>
          <w:szCs w:val="15"/>
        </w:rPr>
        <w:t xml:space="preserve">Haley MacLeod, Cynthia L. Bennett, Meredith Ringel Morris, and Edward Cutrell. 2017. Understanding Blind People's Experiences with Computer-Generated Captions of Social Media Images. In CHI.</w:t>
      </w:r>
    </w:p>
    <w:p>
      <w:pPr>
        <w:spacing w:before="0" w:after="26" w:line="200" w:lineRule="auto"/>
        <w:ind w:left="230" w:hanging="230"/>
        <w:jc w:val="both"/>
      </w:pPr>
      <w:r>
        <w:rPr>
          <w:rFonts w:ascii="Times New Roman" w:hAnsi="Times New Roman" w:cs="Times New Roman"/>
          <w:sz w:val="15"/>
          <w:szCs w:val="15"/>
        </w:rPr>
        <w:t xml:space="preserve">[25]  </w:t>
      </w:r>
      <w:r>
        <w:rPr>
          <w:rFonts w:ascii="Times New Roman" w:hAnsi="Times New Roman" w:cs="Times New Roman"/>
          <w:sz w:val="15"/>
          <w:szCs w:val="15"/>
        </w:rPr>
        <w:t xml:space="preserve">David Madras, Toniann Pitassi, and Richard Zemel. 2018. Predict Responsibly: Improving Fairness and Accuracy by Learning to Defer. In NeurIPS.</w:t>
      </w:r>
    </w:p>
    <w:p>
      <w:pPr>
        <w:spacing w:before="0" w:after="26" w:line="200" w:lineRule="auto"/>
        <w:ind w:left="230" w:hanging="230"/>
        <w:jc w:val="both"/>
      </w:pPr>
      <w:r>
        <w:rPr>
          <w:rFonts w:ascii="Times New Roman" w:hAnsi="Times New Roman" w:cs="Times New Roman"/>
          <w:sz w:val="15"/>
          <w:szCs w:val="15"/>
        </w:rPr>
        <w:t xml:space="preserve">[26]  </w:t>
      </w:r>
      <w:r>
        <w:rPr>
          <w:rFonts w:ascii="Times New Roman" w:hAnsi="Times New Roman" w:cs="Times New Roman"/>
          <w:sz w:val="15"/>
          <w:szCs w:val="15"/>
        </w:rPr>
        <w:t xml:space="preserve">Joshua Maynez, Shashi Narayan, Bernd Bohnet,and Ryan McDonald. 2020. On Faithfulness and Factuality in Abstractive Summarization. In ACL.</w:t>
      </w:r>
    </w:p>
    <w:p>
      <w:pPr>
        <w:spacing w:before="0" w:after="26" w:line="200" w:lineRule="auto"/>
        <w:ind w:left="230" w:hanging="230"/>
        <w:jc w:val="both"/>
      </w:pPr>
      <w:r>
        <w:rPr>
          <w:rFonts w:ascii="Times New Roman" w:hAnsi="Times New Roman" w:cs="Times New Roman"/>
          <w:sz w:val="15"/>
          <w:szCs w:val="15"/>
        </w:rPr>
        <w:t xml:space="preserve">[27]  </w:t>
      </w:r>
      <w:r>
        <w:rPr>
          <w:rFonts w:ascii="Times New Roman" w:hAnsi="Times New Roman" w:cs="Times New Roman"/>
          <w:sz w:val="15"/>
          <w:szCs w:val="15"/>
        </w:rPr>
        <w:t xml:space="preserve">Peter B. L. Meijer. 1992. An Experimental System for Auditory Image Representations. IEEE Transactions on Biomedical Engineering 39, 2.</w:t>
      </w:r>
    </w:p>
    <w:p>
      <w:pPr>
        <w:spacing w:before="0" w:after="26" w:line="200" w:lineRule="auto"/>
        <w:ind w:left="230" w:hanging="230"/>
        <w:jc w:val="both"/>
      </w:pPr>
      <w:r>
        <w:rPr>
          <w:rFonts w:ascii="Times New Roman" w:hAnsi="Times New Roman" w:cs="Times New Roman"/>
          <w:sz w:val="15"/>
          <w:szCs w:val="15"/>
        </w:rPr>
        <w:t xml:space="preserve">[28]  </w:t>
      </w:r>
      <w:r>
        <w:rPr>
          <w:rFonts w:ascii="Times New Roman" w:hAnsi="Times New Roman" w:cs="Times New Roman"/>
          <w:sz w:val="15"/>
          <w:szCs w:val="15"/>
        </w:rPr>
        <w:t xml:space="preserve">Meredith Ringel Morris, Annuska Zolyomi, Catherine Yao, Sina Bahram, Jeffrey P. Bigham, and Shaun K. Kane. 2016. “With Most of It Being Pictures Now, I Rarely Use It”: Understanding Twitter's Evolving Accessibility to Blind Users. In CHI.</w:t>
      </w:r>
    </w:p>
    <w:p>
      <w:pPr>
        <w:spacing w:before="0" w:after="26" w:line="200" w:lineRule="auto"/>
        <w:ind w:left="230" w:hanging="230"/>
        <w:jc w:val="both"/>
      </w:pPr>
      <w:r>
        <w:rPr>
          <w:rFonts w:ascii="Times New Roman" w:hAnsi="Times New Roman" w:cs="Times New Roman"/>
          <w:sz w:val="15"/>
          <w:szCs w:val="15"/>
        </w:rPr>
        <w:t xml:space="preserve">[29]  </w:t>
      </w:r>
      <w:r>
        <w:rPr>
          <w:rFonts w:ascii="Times New Roman" w:hAnsi="Times New Roman" w:cs="Times New Roman"/>
          <w:sz w:val="15"/>
          <w:szCs w:val="15"/>
        </w:rPr>
        <w:t xml:space="preserve">Hussein Mozannar and David Sontag. 2020. Consistent Estimators for Learning to Defer to an Expert. In ICML.</w:t>
      </w:r>
    </w:p>
    <w:p>
      <w:pPr>
        <w:spacing w:before="0" w:after="26" w:line="200" w:lineRule="auto"/>
        <w:ind w:left="230" w:hanging="230"/>
        <w:jc w:val="both"/>
      </w:pPr>
      <w:r>
        <w:rPr>
          <w:rFonts w:ascii="Times New Roman" w:hAnsi="Times New Roman" w:cs="Times New Roman"/>
          <w:sz w:val="15"/>
          <w:szCs w:val="15"/>
        </w:rPr>
        <w:t xml:space="preserve">[30]  </w:t>
      </w:r>
      <w:r>
        <w:rPr>
          <w:rFonts w:ascii="Times New Roman" w:hAnsi="Times New Roman" w:cs="Times New Roman"/>
          <w:sz w:val="15"/>
          <w:szCs w:val="15"/>
        </w:rPr>
        <w:t xml:space="preserve">Ollama. Ollama: Get Up and Running with Large Language Models Locally. https://ollama.com</w:t>
      </w:r>
    </w:p>
    <w:p>
      <w:pPr>
        <w:spacing w:before="0" w:after="26" w:line="200" w:lineRule="auto"/>
        <w:ind w:left="230" w:hanging="230"/>
        <w:jc w:val="both"/>
      </w:pPr>
      <w:r>
        <w:rPr>
          <w:rFonts w:ascii="Times New Roman" w:hAnsi="Times New Roman" w:cs="Times New Roman"/>
          <w:sz w:val="15"/>
          <w:szCs w:val="15"/>
        </w:rPr>
        <w:t xml:space="preserve">[31]  </w:t>
      </w:r>
      <w:r>
        <w:rPr>
          <w:rFonts w:ascii="Times New Roman" w:hAnsi="Times New Roman" w:cs="Times New Roman"/>
          <w:sz w:val="15"/>
          <w:szCs w:val="15"/>
        </w:rPr>
        <w:t xml:space="preserve">OrCam. OrCam MyEye. https://www.orcam.com/</w:t>
      </w:r>
    </w:p>
    <w:p>
      <w:pPr>
        <w:spacing w:before="0" w:after="26" w:line="200" w:lineRule="auto"/>
        <w:ind w:left="230" w:hanging="230"/>
        <w:jc w:val="both"/>
      </w:pPr>
      <w:r>
        <w:rPr>
          <w:rFonts w:ascii="Times New Roman" w:hAnsi="Times New Roman" w:cs="Times New Roman"/>
          <w:sz w:val="15"/>
          <w:szCs w:val="15"/>
        </w:rPr>
        <w:t xml:space="preserve">[32]  </w:t>
      </w:r>
      <w:r>
        <w:rPr>
          <w:rFonts w:ascii="Times New Roman" w:hAnsi="Times New Roman" w:cs="Times New Roman"/>
          <w:sz w:val="15"/>
          <w:szCs w:val="15"/>
        </w:rPr>
        <w:t xml:space="preserve">Raja Parasuraman and Victor Riley. 1997. Humans and Automation: Use, Misuse, Disuse, Abuse. Human Factors 39, 2.</w:t>
      </w:r>
    </w:p>
    <w:p>
      <w:pPr>
        <w:spacing w:before="0" w:after="26" w:line="200" w:lineRule="auto"/>
        <w:ind w:left="230" w:hanging="230"/>
        <w:jc w:val="both"/>
      </w:pPr>
      <w:r>
        <w:rPr>
          <w:rFonts w:ascii="Times New Roman" w:hAnsi="Times New Roman" w:cs="Times New Roman"/>
          <w:sz w:val="15"/>
          <w:szCs w:val="15"/>
        </w:rPr>
        <w:t xml:space="preserve">[33]  </w:t>
      </w:r>
      <w:r>
        <w:rPr>
          <w:rFonts w:ascii="Times New Roman" w:hAnsi="Times New Roman" w:cs="Times New Roman"/>
          <w:sz w:val="15"/>
          <w:szCs w:val="15"/>
        </w:rPr>
        <w:t xml:space="preserve">Aaron Parisi, Yao Zhao, and Noah Fiedel. 2022. TALM: Tool Augmented Language Models. arXiv:2205.12255.</w:t>
      </w:r>
    </w:p>
    <w:p>
      <w:pPr>
        <w:spacing w:before="0" w:after="26" w:line="200" w:lineRule="auto"/>
        <w:ind w:left="230" w:hanging="230"/>
        <w:jc w:val="both"/>
      </w:pPr>
      <w:r>
        <w:rPr>
          <w:rFonts w:ascii="Times New Roman" w:hAnsi="Times New Roman" w:cs="Times New Roman"/>
          <w:sz w:val="15"/>
          <w:szCs w:val="15"/>
        </w:rPr>
        <w:t xml:space="preserve">[34]  </w:t>
      </w:r>
      <w:r>
        <w:rPr>
          <w:rFonts w:ascii="Times New Roman" w:hAnsi="Times New Roman" w:cs="Times New Roman"/>
          <w:sz w:val="15"/>
          <w:szCs w:val="15"/>
        </w:rPr>
        <w:t xml:space="preserve">Daniel Povey, Arnab Ghoshal, Gilles Boulianne, et al. 2011. The Kaldi Speech Recognition Toolkit. In IEEE ASRU.</w:t>
      </w:r>
    </w:p>
    <w:p>
      <w:pPr>
        <w:spacing w:before="0" w:after="26" w:line="200" w:lineRule="auto"/>
        <w:ind w:left="230" w:hanging="230"/>
        <w:jc w:val="both"/>
      </w:pPr>
      <w:r>
        <w:rPr>
          <w:rFonts w:ascii="Times New Roman" w:hAnsi="Times New Roman" w:cs="Times New Roman"/>
          <w:sz w:val="15"/>
          <w:szCs w:val="15"/>
        </w:rPr>
        <w:t xml:space="preserve">[35]  </w:t>
      </w:r>
      <w:r>
        <w:rPr>
          <w:rFonts w:ascii="Times New Roman" w:hAnsi="Times New Roman" w:cs="Times New Roman"/>
          <w:sz w:val="15"/>
          <w:szCs w:val="15"/>
        </w:rPr>
        <w:t xml:space="preserve">Yujia Qin, Shihao Liang, Yining Ye, Kunlun Zhu, Lan Yan, Yaxi Lu, Yankai Lin, Xin Cong, Xiangru Tang, Bill Qian, et al. 2024. ToolLLM: Facilitating Large Language Models to Master 16000+ Real-World APIs. In ICLR.</w:t>
      </w:r>
    </w:p>
    <w:p>
      <w:pPr>
        <w:spacing w:before="0" w:after="26" w:line="200" w:lineRule="auto"/>
        <w:ind w:left="230" w:hanging="230"/>
        <w:jc w:val="both"/>
      </w:pPr>
      <w:r>
        <w:rPr>
          <w:rFonts w:ascii="Times New Roman" w:hAnsi="Times New Roman" w:cs="Times New Roman"/>
          <w:sz w:val="15"/>
          <w:szCs w:val="15"/>
        </w:rPr>
        <w:t xml:space="preserve">[36]  </w:t>
      </w:r>
      <w:r>
        <w:rPr>
          <w:rFonts w:ascii="Times New Roman" w:hAnsi="Times New Roman" w:cs="Times New Roman"/>
          <w:sz w:val="15"/>
          <w:szCs w:val="15"/>
        </w:rPr>
        <w:t xml:space="preserve">Alec Radford, Jong Wook Kim, Tao Xu, Greg Brockman, Christine McLeavey, and Ilya Sutskever. 2023. Robust Speech Recognition via Large-Scale Weak Supervision. In ICML.</w:t>
      </w:r>
    </w:p>
    <w:p>
      <w:pPr>
        <w:spacing w:before="0" w:after="26" w:line="200" w:lineRule="auto"/>
        <w:ind w:left="230" w:hanging="230"/>
        <w:jc w:val="both"/>
      </w:pPr>
      <w:r>
        <w:rPr>
          <w:rFonts w:ascii="Times New Roman" w:hAnsi="Times New Roman" w:cs="Times New Roman"/>
          <w:sz w:val="15"/>
          <w:szCs w:val="15"/>
        </w:rPr>
        <w:t xml:space="preserve">[37]  </w:t>
      </w:r>
      <w:r>
        <w:rPr>
          <w:rFonts w:ascii="Times New Roman" w:hAnsi="Times New Roman" w:cs="Times New Roman"/>
          <w:sz w:val="15"/>
          <w:szCs w:val="15"/>
        </w:rPr>
        <w:t xml:space="preserve">René Ranftl, Katrin Lasinger, David Hafner, Konrad Schindler, and Vladlen Koltun. 2022. Towards Robust Monocular Depth Estimation: Mixing Datasets for Zero-Shot Cross-Dataset Transfer. IEEE TPAMI 44, 3.</w:t>
      </w:r>
    </w:p>
    <w:p>
      <w:pPr>
        <w:spacing w:before="0" w:after="26" w:line="200" w:lineRule="auto"/>
        <w:ind w:left="230" w:hanging="230"/>
        <w:jc w:val="both"/>
      </w:pPr>
      <w:r>
        <w:rPr>
          <w:rFonts w:ascii="Times New Roman" w:hAnsi="Times New Roman" w:cs="Times New Roman"/>
          <w:sz w:val="15"/>
          <w:szCs w:val="15"/>
        </w:rPr>
        <w:t xml:space="preserve">[38]  </w:t>
      </w:r>
      <w:r>
        <w:rPr>
          <w:rFonts w:ascii="Times New Roman" w:hAnsi="Times New Roman" w:cs="Times New Roman"/>
          <w:sz w:val="15"/>
          <w:szCs w:val="15"/>
        </w:rPr>
        <w:t xml:space="preserve">Joseph Redmon, Santosh Divvala, Ross Girshick, and Ali Farhadi. 2016. You Only Look Once: Unified, Real-Time Object Detection. In CVPR.</w:t>
      </w:r>
    </w:p>
    <w:p>
      <w:pPr>
        <w:spacing w:before="0" w:after="26" w:line="200" w:lineRule="auto"/>
        <w:ind w:left="230" w:hanging="230"/>
        <w:jc w:val="both"/>
      </w:pPr>
      <w:r>
        <w:rPr>
          <w:rFonts w:ascii="Times New Roman" w:hAnsi="Times New Roman" w:cs="Times New Roman"/>
          <w:sz w:val="15"/>
          <w:szCs w:val="15"/>
        </w:rPr>
        <w:t xml:space="preserve">[39]  </w:t>
      </w:r>
      <w:r>
        <w:rPr>
          <w:rFonts w:ascii="Times New Roman" w:hAnsi="Times New Roman" w:cs="Times New Roman"/>
          <w:sz w:val="15"/>
          <w:szCs w:val="15"/>
        </w:rPr>
        <w:t xml:space="preserve">Daisuke Sato, Uran Oh, Kakuya Naito, Hironobu Takagi, Kris Kitani, and Chieko Asakawa. 2017. NavCog3: An Evaluation of a Smartphone-Based Blind Indoor Navigation Assistant with Semantic Features in a Large-Scale Environment. In ASSETS.</w:t>
      </w:r>
    </w:p>
    <w:p>
      <w:pPr>
        <w:spacing w:before="0" w:after="26" w:line="200" w:lineRule="auto"/>
        <w:ind w:left="230" w:hanging="230"/>
        <w:jc w:val="both"/>
      </w:pPr>
      <w:r>
        <w:rPr>
          <w:rFonts w:ascii="Times New Roman" w:hAnsi="Times New Roman" w:cs="Times New Roman"/>
          <w:sz w:val="15"/>
          <w:szCs w:val="15"/>
        </w:rPr>
        <w:t xml:space="preserve">[40]  </w:t>
      </w:r>
      <w:r>
        <w:rPr>
          <w:rFonts w:ascii="Times New Roman" w:hAnsi="Times New Roman" w:cs="Times New Roman"/>
          <w:sz w:val="15"/>
          <w:szCs w:val="15"/>
        </w:rPr>
        <w:t xml:space="preserve">Timo Schick, Jane Dwivedi-Yu, Roberto Dessì, Roberta Raileanu, Maria Lomeli, Luke Zettlemoyer, Nicola Cancedda, and Thomas Scialom. 2023. Toolformer: Language Models Can Teach Themselves to Use Tools. In NeurIPS.</w:t>
      </w:r>
    </w:p>
    <w:p>
      <w:pPr>
        <w:spacing w:before="0" w:after="26" w:line="200" w:lineRule="auto"/>
        <w:ind w:left="230" w:hanging="230"/>
        <w:jc w:val="both"/>
      </w:pPr>
      <w:r>
        <w:rPr>
          <w:rFonts w:ascii="Times New Roman" w:hAnsi="Times New Roman" w:cs="Times New Roman"/>
          <w:sz w:val="15"/>
          <w:szCs w:val="15"/>
        </w:rPr>
        <w:t xml:space="preserve">[41]  </w:t>
      </w:r>
      <w:r>
        <w:rPr>
          <w:rFonts w:ascii="Times New Roman" w:hAnsi="Times New Roman" w:cs="Times New Roman"/>
          <w:sz w:val="15"/>
          <w:szCs w:val="15"/>
        </w:rPr>
        <w:t xml:space="preserve">Torsten Scholak, Nathan Schucher, and Dzmitry Bahdanau. 2021. PICARD: Parsing Incrementally for Constrained Auto-Regressive Decoding from Language Models. In EMNLP.</w:t>
      </w:r>
    </w:p>
    <w:p>
      <w:pPr>
        <w:spacing w:before="0" w:after="26" w:line="200" w:lineRule="auto"/>
        <w:ind w:left="230" w:hanging="230"/>
        <w:jc w:val="both"/>
      </w:pPr>
      <w:r>
        <w:rPr>
          <w:rFonts w:ascii="Times New Roman" w:hAnsi="Times New Roman" w:cs="Times New Roman"/>
          <w:sz w:val="15"/>
          <w:szCs w:val="15"/>
        </w:rPr>
        <w:t xml:space="preserve">[42]  </w:t>
      </w:r>
      <w:r>
        <w:rPr>
          <w:rFonts w:ascii="Times New Roman" w:hAnsi="Times New Roman" w:cs="Times New Roman"/>
          <w:sz w:val="15"/>
          <w:szCs w:val="15"/>
        </w:rPr>
        <w:t xml:space="preserve">Microsoft. Seeing AI: Talking Camera App for the Blind and Low Vision Community. https://www.seeingai.com/</w:t>
      </w:r>
    </w:p>
    <w:p>
      <w:pPr>
        <w:spacing w:before="0" w:after="26" w:line="200" w:lineRule="auto"/>
        <w:ind w:left="230" w:hanging="230"/>
        <w:jc w:val="both"/>
      </w:pPr>
      <w:r>
        <w:rPr>
          <w:rFonts w:ascii="Times New Roman" w:hAnsi="Times New Roman" w:cs="Times New Roman"/>
          <w:sz w:val="15"/>
          <w:szCs w:val="15"/>
        </w:rPr>
        <w:t xml:space="preserve">[43]  </w:t>
      </w:r>
      <w:r>
        <w:rPr>
          <w:rFonts w:ascii="Times New Roman" w:hAnsi="Times New Roman" w:cs="Times New Roman"/>
          <w:sz w:val="15"/>
          <w:szCs w:val="15"/>
        </w:rPr>
        <w:t xml:space="preserve">Sue Sendelbach and Marjorie Funk. 2013. Alarm Fatigue: A Patient Safety Concern. AACN Advanced Critical Care 24, 4.</w:t>
      </w:r>
    </w:p>
    <w:p>
      <w:pPr>
        <w:spacing w:before="0" w:after="26" w:line="200" w:lineRule="auto"/>
        <w:ind w:left="230" w:hanging="230"/>
        <w:jc w:val="both"/>
      </w:pPr>
      <w:r>
        <w:rPr>
          <w:rFonts w:ascii="Times New Roman" w:hAnsi="Times New Roman" w:cs="Times New Roman"/>
          <w:sz w:val="15"/>
          <w:szCs w:val="15"/>
        </w:rPr>
        <w:t xml:space="preserve">[44]  </w:t>
      </w:r>
      <w:r>
        <w:rPr>
          <w:rFonts w:ascii="Times New Roman" w:hAnsi="Times New Roman" w:cs="Times New Roman"/>
          <w:sz w:val="15"/>
          <w:szCs w:val="15"/>
        </w:rPr>
        <w:t xml:space="preserve">Microsoft Research. Microsoft Soundscape: A Map Delivered in 3D Sound. https://www.microsoft.com/en-us/research/product/soundscape/</w:t>
      </w:r>
    </w:p>
    <w:p>
      <w:pPr>
        <w:spacing w:before="0" w:after="26" w:line="200" w:lineRule="auto"/>
        <w:ind w:left="230" w:hanging="230"/>
        <w:jc w:val="both"/>
      </w:pPr>
      <w:r>
        <w:rPr>
          <w:rFonts w:ascii="Times New Roman" w:hAnsi="Times New Roman" w:cs="Times New Roman"/>
          <w:sz w:val="15"/>
          <w:szCs w:val="15"/>
        </w:rPr>
        <w:t xml:space="preserve">[45]  </w:t>
      </w:r>
      <w:r>
        <w:rPr>
          <w:rFonts w:ascii="Times New Roman" w:hAnsi="Times New Roman" w:cs="Times New Roman"/>
          <w:sz w:val="15"/>
          <w:szCs w:val="15"/>
        </w:rPr>
        <w:t xml:space="preserve">Abigale Stangl, Meredith Ringel Morris, and Danna Gurari. 2020. “Person, Shoes, Tree. Is the Person Naked?” What People with Vision Impairments Want in Image Descriptions. In CHI.</w:t>
      </w:r>
    </w:p>
    <w:p>
      <w:pPr>
        <w:spacing w:before="0" w:after="26" w:line="200" w:lineRule="auto"/>
        <w:ind w:left="230" w:hanging="230"/>
        <w:jc w:val="both"/>
      </w:pPr>
      <w:r>
        <w:rPr>
          <w:rFonts w:ascii="Times New Roman" w:hAnsi="Times New Roman" w:cs="Times New Roman"/>
          <w:sz w:val="15"/>
          <w:szCs w:val="15"/>
        </w:rPr>
        <w:t xml:space="preserve">[46]  </w:t>
      </w:r>
      <w:r>
        <w:rPr>
          <w:rFonts w:ascii="Times New Roman" w:hAnsi="Times New Roman" w:cs="Times New Roman"/>
          <w:sz w:val="15"/>
          <w:szCs w:val="15"/>
        </w:rPr>
        <w:t xml:space="preserve">Jan B. F. van Erp, Hendrik A. H. C. van Veen, Chris Jansen, and Trevor Dobbins. 2005. Waypoint Navigation with a Vibrotactile Waist Belt. ACM Transactions on Applied Perception 2, 2.</w:t>
      </w:r>
    </w:p>
    <w:p>
      <w:pPr>
        <w:spacing w:before="0" w:after="26" w:line="200" w:lineRule="auto"/>
        <w:ind w:left="230" w:hanging="230"/>
        <w:jc w:val="both"/>
      </w:pPr>
      <w:r>
        <w:rPr>
          <w:rFonts w:ascii="Times New Roman" w:hAnsi="Times New Roman" w:cs="Times New Roman"/>
          <w:sz w:val="15"/>
          <w:szCs w:val="15"/>
        </w:rPr>
        <w:t xml:space="preserve">[47]  </w:t>
      </w:r>
      <w:r>
        <w:rPr>
          <w:rFonts w:ascii="Times New Roman" w:hAnsi="Times New Roman" w:cs="Times New Roman"/>
          <w:sz w:val="15"/>
          <w:szCs w:val="15"/>
        </w:rPr>
        <w:t xml:space="preserve">Alpha Cephei. Vosk Offline Speech Recognition API. https://alphacephei.com/vosk/</w:t>
      </w:r>
    </w:p>
    <w:p>
      <w:pPr>
        <w:spacing w:before="0" w:after="26" w:line="200" w:lineRule="auto"/>
        <w:ind w:left="230" w:hanging="230"/>
        <w:jc w:val="both"/>
      </w:pPr>
      <w:r>
        <w:rPr>
          <w:rFonts w:ascii="Times New Roman" w:hAnsi="Times New Roman" w:cs="Times New Roman"/>
          <w:sz w:val="15"/>
          <w:szCs w:val="15"/>
        </w:rPr>
        <w:t xml:space="preserve">[48]  </w:t>
      </w:r>
      <w:r>
        <w:rPr>
          <w:rFonts w:ascii="Times New Roman" w:hAnsi="Times New Roman" w:cs="Times New Roman"/>
          <w:sz w:val="15"/>
          <w:szCs w:val="15"/>
        </w:rPr>
        <w:t xml:space="preserve">WeWALK. WeWALK Smart Cane. https://wewalk.io/</w:t>
      </w:r>
    </w:p>
    <w:p>
      <w:pPr>
        <w:spacing w:before="0" w:after="26" w:line="200" w:lineRule="auto"/>
        <w:ind w:left="230" w:hanging="230"/>
        <w:jc w:val="both"/>
      </w:pPr>
      <w:r>
        <w:rPr>
          <w:rFonts w:ascii="Times New Roman" w:hAnsi="Times New Roman" w:cs="Times New Roman"/>
          <w:sz w:val="15"/>
          <w:szCs w:val="15"/>
        </w:rPr>
        <w:t xml:space="preserve">[49]  </w:t>
      </w:r>
      <w:r>
        <w:rPr>
          <w:rFonts w:ascii="Times New Roman" w:hAnsi="Times New Roman" w:cs="Times New Roman"/>
          <w:sz w:val="15"/>
          <w:szCs w:val="15"/>
        </w:rPr>
        <w:t xml:space="preserve">Christopher D. Wickens and Stephen R. Dixon. 2007. The Benefits of Imperfect Diagnostic Automation: A Synthesis of the Literature. Theoretical Issues in Ergonomics Science 8, 3.</w:t>
      </w:r>
    </w:p>
    <w:p>
      <w:pPr>
        <w:spacing w:before="0" w:after="26" w:line="200" w:lineRule="auto"/>
        <w:ind w:left="230" w:hanging="230"/>
        <w:jc w:val="both"/>
      </w:pPr>
      <w:r>
        <w:rPr>
          <w:rFonts w:ascii="Times New Roman" w:hAnsi="Times New Roman" w:cs="Times New Roman"/>
          <w:sz w:val="15"/>
          <w:szCs w:val="15"/>
        </w:rPr>
        <w:t xml:space="preserve">[50]  </w:t>
      </w:r>
      <w:r>
        <w:rPr>
          <w:rFonts w:ascii="Times New Roman" w:hAnsi="Times New Roman" w:cs="Times New Roman"/>
          <w:sz w:val="15"/>
          <w:szCs w:val="15"/>
        </w:rPr>
        <w:t xml:space="preserve">Brandon T. Willard and Rémi Louf. 2023. Efficient Guided Generation for Large Language Models. arXiv:2307.09702.</w:t>
      </w:r>
    </w:p>
    <w:p>
      <w:pPr>
        <w:spacing w:before="0" w:after="26" w:line="200" w:lineRule="auto"/>
        <w:ind w:left="230" w:hanging="230"/>
        <w:jc w:val="both"/>
      </w:pPr>
      <w:r>
        <w:rPr>
          <w:rFonts w:ascii="Times New Roman" w:hAnsi="Times New Roman" w:cs="Times New Roman"/>
          <w:sz w:val="15"/>
          <w:szCs w:val="15"/>
        </w:rPr>
        <w:t xml:space="preserve">[51]  </w:t>
      </w:r>
      <w:r>
        <w:rPr>
          <w:rFonts w:ascii="Times New Roman" w:hAnsi="Times New Roman" w:cs="Times New Roman"/>
          <w:sz w:val="15"/>
          <w:szCs w:val="15"/>
        </w:rPr>
        <w:t xml:space="preserve">Edwin B. Wilson. 1927. Probable Inference, the Law of Succession, and Statistical Inference. Journal of the American Statistical Association 22, 158.</w:t>
      </w:r>
    </w:p>
    <w:p>
      <w:pPr>
        <w:spacing w:before="0" w:after="26" w:line="200" w:lineRule="auto"/>
        <w:ind w:left="230" w:hanging="230"/>
        <w:jc w:val="both"/>
      </w:pPr>
      <w:r>
        <w:rPr>
          <w:rFonts w:ascii="Times New Roman" w:hAnsi="Times New Roman" w:cs="Times New Roman"/>
          <w:sz w:val="15"/>
          <w:szCs w:val="15"/>
        </w:rPr>
        <w:t xml:space="preserve">[52]  </w:t>
      </w:r>
      <w:r>
        <w:rPr>
          <w:rFonts w:ascii="Times New Roman" w:hAnsi="Times New Roman" w:cs="Times New Roman"/>
          <w:sz w:val="15"/>
          <w:szCs w:val="15"/>
        </w:rPr>
        <w:t xml:space="preserve">Shunyu Yao, Jeffrey Zhao, Dian Yu, Nan Du, Izhak Shafran, Karthik Narasimhan, and Yuan Cao. 2023. ReAct: Synergizing Reasoning and Acting in Language Models. In ICLR.</w:t>
      </w:r>
    </w:p>
    <w:p>
      <w:pPr>
        <w:spacing w:before="0" w:after="26" w:line="200" w:lineRule="auto"/>
        <w:ind w:left="230" w:hanging="230"/>
        <w:jc w:val="both"/>
      </w:pPr>
      <w:r>
        <w:rPr>
          <w:rFonts w:ascii="Times New Roman" w:hAnsi="Times New Roman" w:cs="Times New Roman"/>
          <w:sz w:val="15"/>
          <w:szCs w:val="15"/>
        </w:rPr>
        <w:t xml:space="preserve">[53]  </w:t>
      </w:r>
      <w:r>
        <w:rPr>
          <w:rFonts w:ascii="Times New Roman" w:hAnsi="Times New Roman" w:cs="Times New Roman"/>
          <w:sz w:val="15"/>
          <w:szCs w:val="15"/>
        </w:rPr>
        <w:t xml:space="preserve">Yuhang Zhao, Elizabeth Kupferstein, Hathaitorn Rojnirun, Leah Findlater, and Shiri Azenkot. 2020. The Effectiveness of Visual and Audio Wayfinding Guidance on Smartglasses for People with Low Vision. In CHI.</w:t>
      </w:r>
    </w:p>
    <w:sectPr>
      <w:type w:val="continuous"/>
      <w:pgSz w:w="12240" w:h="15840"/>
      <w:pgMar w:top="1080" w:right="1080" w:bottom="1440" w:left="1080" w:header="720" w:footer="720" w:gutter="0"/>
      <w:cols w:num="2" w:space="475" w:equalWidth="1"/>
    </w:sectPr>
  </w:body>
</w:document>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Times New Roman" w:hAnsi="Times New Roman"/>
        <w:sz w:val="18"/>
      </w:rPr>
    </w:rPrDefault>
    <w:pPrDefault>
      <w:pPr>
        <w:spacing w:after="0" w:line="216"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f1_system.png"/><Relationship Id="rIdImg2" Type="http://schemas.openxmlformats.org/officeDocument/2006/relationships/image" Target="media/f2_router.png"/><Relationship Id="rIdImg3" Type="http://schemas.openxmlformats.org/officeDocument/2006/relationships/image" Target="media/f3_accuracy.png"/><Relationship Id="rIdImg4" Type="http://schemas.openxmlformats.org/officeDocument/2006/relationships/image" Target="media/f4_fabrication.png"/></Relationships>
</file>

<file path=docProps/app.xml><?xml version="1.0" encoding="utf-8"?>
<Properties xmlns="http://schemas.openxmlformats.org/officeDocument/2006/extended-properties" xmlns:vt="http://schemas.openxmlformats.org/officeDocument/2006/docPropsVTypes">
  <Application>BlindAssist paper/docx_writer.py</Application>
</Properties>
</file>

<file path=docProps/core.xml><?xml version="1.0" encoding="utf-8"?>
<cp:coreProperties xmlns:cp="http://schemas.openxmlformats.org/package/2006/metadata/core-properties" xmlns:dc="http://purl.org/dc/elements/1.1/" xmlns:dcterms="http://purl.org/dc/terms/" xmlns:xsi="http://www.w3.org/2001/XMLSchema-instance">
  <dc:title>Say Less, Never Mislead</dc:title>
  <dc:creator>Aditya</dc:creator>
  <cp:lastModifiedBy>Aditya</cp:lastModifiedBy>
</cp:coreProperties>
</file>