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ayout w:type="fixed"/>
        <w:tblLook w:firstColumn="1" w:firstRow="1" w:lastColumn="0" w:lastRow="0" w:noHBand="0" w:noVBand="1" w:val="04A0"/>
      </w:tblPr>
      <w:tblGrid>
        <w:gridCol w:w="3216"/>
        <w:gridCol w:w="3216"/>
        <w:gridCol w:w="3216"/>
      </w:tblGrid>
      <w:tr>
        <w:trPr>
          <w:trHeight w:val="432"/>
        </w:trPr>
        <w:tc>
          <w:tcPr>
            <w:tcW w:type="dxa" w:w="4392"/>
            <w:vMerge w:val="restart"/>
            <w:vAlign w:val="center"/>
          </w:tcPr>
          <w:p>
            <w:pPr>
              <w:spacing w:before="80" w:after="40"/>
              <w:jc w:val="center"/>
            </w:pPr>
            <w:r/>
            <w:r>
              <w:drawing>
                <wp:inline xmlns:a="http://schemas.openxmlformats.org/drawingml/2006/main" xmlns:pic="http://schemas.openxmlformats.org/drawingml/2006/picture">
                  <wp:extent cx="1417320" cy="450025"/>
                  <wp:docPr id="1" name="Picture 1"/>
                  <wp:cNvGraphicFramePr>
                    <a:graphicFrameLocks noChangeAspect="1"/>
                  </wp:cNvGraphicFramePr>
                  <a:graphic>
                    <a:graphicData uri="http://schemas.openxmlformats.org/drawingml/2006/picture">
                      <pic:pic>
                        <pic:nvPicPr>
                          <pic:cNvPr id="0" name="vit_logo.png"/>
                          <pic:cNvPicPr/>
                        </pic:nvPicPr>
                        <pic:blipFill>
                          <a:blip r:embed="rId11"/>
                          <a:stretch>
                            <a:fillRect/>
                          </a:stretch>
                        </pic:blipFill>
                        <pic:spPr>
                          <a:xfrm>
                            <a:off x="0" y="0"/>
                            <a:ext cx="1417320" cy="450025"/>
                          </a:xfrm>
                          <a:prstGeom prst="rect"/>
                        </pic:spPr>
                      </pic:pic>
                    </a:graphicData>
                  </a:graphic>
                </wp:inline>
              </w:drawing>
            </w:r>
            <w:r>
              <w:rPr>
                <w:rFonts w:ascii="Times New Roman" w:hAnsi="Times New Roman" w:cs="Times New Roman"/>
                <w:b/>
                <w:i w:val="0"/>
                <w:sz w:val="18"/>
              </w:rPr>
              <w:t xml:space="preserve">  Invention Disclosure Format (IDF)-B</w:t>
            </w:r>
          </w:p>
        </w:tc>
        <w:tc>
          <w:tcPr>
            <w:tcW w:type="dxa" w:w="1800"/>
            <w:vAlign w:val="center"/>
          </w:tcPr>
          <w:p>
            <w:pPr>
              <w:spacing w:before="60" w:after="60"/>
            </w:pPr>
            <w:r/>
            <w:r>
              <w:rPr>
                <w:rFonts w:ascii="Times New Roman" w:hAnsi="Times New Roman" w:cs="Times New Roman"/>
                <w:b/>
                <w:i w:val="0"/>
                <w:sz w:val="20"/>
              </w:rPr>
              <w:t>Document No.</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Issue No/Date</w:t>
            </w:r>
          </w:p>
        </w:tc>
        <w:tc>
          <w:tcPr>
            <w:tcW w:type="dxa" w:w="2088"/>
          </w:tcPr>
          <w:p>
            <w:pPr>
              <w:spacing w:after="60"/>
            </w:pPr>
            <w:r/>
          </w:p>
        </w:tc>
      </w:tr>
      <w:tr>
        <w:trPr>
          <w:trHeight w:val="432"/>
        </w:trPr>
        <w:tc>
          <w:tcPr>
            <w:tcW w:type="dxa" w:w="3216"/>
            <w:vMerge/>
          </w:tcPr>
          <w:p/>
        </w:tc>
        <w:tc>
          <w:tcPr>
            <w:tcW w:type="dxa" w:w="1800"/>
            <w:vAlign w:val="center"/>
          </w:tcPr>
          <w:p>
            <w:pPr>
              <w:spacing w:before="60" w:after="60"/>
            </w:pPr>
            <w:r/>
            <w:r>
              <w:rPr>
                <w:rFonts w:ascii="Times New Roman" w:hAnsi="Times New Roman" w:cs="Times New Roman"/>
                <w:b/>
                <w:i w:val="0"/>
                <w:sz w:val="20"/>
              </w:rPr>
              <w:t>Amd. No/Date</w:t>
            </w:r>
          </w:p>
        </w:tc>
        <w:tc>
          <w:tcPr>
            <w:tcW w:type="dxa" w:w="2088"/>
          </w:tcPr>
          <w:p>
            <w:pPr>
              <w:spacing w:after="60"/>
            </w:pPr>
            <w:r/>
          </w:p>
        </w:tc>
      </w:tr>
    </w:tbl>
    <w:p>
      <w:pPr>
        <w:spacing w:after="200"/>
      </w:pPr>
    </w:p>
    <w:p>
      <w:pPr>
        <w:keepNext/>
        <w:spacing w:before="320" w:after="120"/>
        <w:outlineLvl w:val="0"/>
      </w:pPr>
      <w:r>
        <w:rPr>
          <w:rFonts w:ascii="Times New Roman" w:hAnsi="Times New Roman" w:cs="Times New Roman"/>
          <w:b/>
          <w:i w:val="0"/>
          <w:sz w:val="26"/>
        </w:rPr>
        <w:t>1. Title of the Invention</w:t>
      </w:r>
    </w:p>
    <w:p>
      <w:pPr>
        <w:spacing w:after="140" w:line="274" w:lineRule="auto"/>
        <w:jc w:val="both"/>
      </w:pPr>
      <w:r>
        <w:rPr>
          <w:rFonts w:ascii="Times New Roman" w:hAnsi="Times New Roman" w:cs="Times New Roman"/>
          <w:b w:val="0"/>
          <w:i w:val="0"/>
          <w:sz w:val="22"/>
        </w:rPr>
        <w:t>A Venue-Scale Integrity-Monitoring Installation and Method for Distinguishing Coordinated Malpractice from Coincidental Anomaly at Monitored Assessment Stations, by Common-Mode-Corrected Time-Lagged Coupling of Station-Local Predictive Residuals Obtained Without Labelled Examples of Malpractice.</w:t>
      </w:r>
    </w:p>
    <w:p>
      <w:pPr>
        <w:keepNext/>
        <w:spacing w:before="320" w:after="120"/>
        <w:outlineLvl w:val="0"/>
      </w:pPr>
      <w:r>
        <w:rPr>
          <w:rFonts w:ascii="Times New Roman" w:hAnsi="Times New Roman" w:cs="Times New Roman"/>
          <w:b/>
          <w:i w:val="0"/>
          <w:sz w:val="26"/>
        </w:rPr>
        <w:t>2. Field / Area of Invention</w:t>
      </w:r>
    </w:p>
    <w:p>
      <w:pPr>
        <w:spacing w:after="140" w:line="274" w:lineRule="auto"/>
        <w:jc w:val="both"/>
      </w:pPr>
      <w:r>
        <w:rPr>
          <w:rFonts w:ascii="Times New Roman" w:hAnsi="Times New Roman" w:cs="Times New Roman"/>
          <w:b w:val="0"/>
          <w:i w:val="0"/>
          <w:sz w:val="22"/>
        </w:rPr>
        <w:t>The present invention relates to integrity monitoring of supervised assessment and controlled-access environments, and to the automated detection of prohibited communication, prohibited device use, and coordinated collusion within such environments. More specifically, it pertains to an installation in which a sensing assembly of acoustic and further transducers is mechanically carried by each monitored station, in which a predictive model and its calibration statistics are established separately at each such station from sanctioned activity alone, and in which the resulting prediction residuals of several stations are compared with one another, after a component common to the venue has been estimated and removed, in order to resolve a time-lagged coupling between one pair of stations. The invention further relates to a station instrumented in like manner and deliberately held unoccupied, whose output supplies part of that common-mode reference, and to the physical re-tasking of the sensing assemblies of an implicated pair of stations once such a coupling has been resolved.</w:t>
      </w:r>
    </w:p>
    <w:p>
      <w:pPr>
        <w:spacing w:after="140" w:line="274" w:lineRule="auto"/>
        <w:jc w:val="both"/>
      </w:pPr>
      <w:r>
        <w:rPr>
          <w:rFonts w:ascii="Times New Roman" w:hAnsi="Times New Roman" w:cs="Times New Roman"/>
          <w:b w:val="0"/>
          <w:i w:val="0"/>
          <w:sz w:val="22"/>
        </w:rPr>
        <w:t>The principal embodiment described herein is an examination hall of instrumented desks. The invention is not limited to that embodiment: it applies equally to professional certification and testing centres, secure interview and vetting rooms, recruitment and aptitude testing facilities, controlled-access screening areas, and any supervised environment in which unauthorised communication or device use is prohibited, in which sanctioned activity is abundant while violations are rare, and in which several monitored positions share one physical space.</w:t>
      </w:r>
    </w:p>
    <w:p>
      <w:pPr>
        <w:keepNext/>
        <w:spacing w:before="320" w:after="120"/>
        <w:outlineLvl w:val="0"/>
      </w:pPr>
      <w:r>
        <w:rPr>
          <w:rFonts w:ascii="Times New Roman" w:hAnsi="Times New Roman" w:cs="Times New Roman"/>
          <w:b/>
          <w:i w:val="0"/>
          <w:sz w:val="26"/>
        </w:rPr>
        <w:t>3. Prior Patents and Publications from Literature</w:t>
      </w:r>
    </w:p>
    <w:p>
      <w:pPr>
        <w:spacing w:after="140" w:line="274" w:lineRule="auto"/>
        <w:jc w:val="both"/>
      </w:pPr>
      <w:r>
        <w:rPr>
          <w:rFonts w:ascii="Times New Roman" w:hAnsi="Times New Roman" w:cs="Times New Roman"/>
          <w:b w:val="0"/>
          <w:i w:val="0"/>
          <w:sz w:val="22"/>
        </w:rPr>
        <w:t>The table below summarises the closest known prior art and identifies the gap addressed by the present invention. Entries 1 to 9 are assessment-integrity systems. Entries 10 and 11 are the psychometric-forensics literature on collusion, which is the only prior art in that field addressing coordination between candidates. Entries 12 to 17 and 21 are general-purpose machine-learning techniques that an examiner may reasonably combine. Entries 18 to 20 are the art closest to the relational step claimed here, and each of the three is treated at length because an examiner will otherwise supply them.</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432"/>
          </w:tcPr>
          <w:p>
            <w:pPr>
              <w:keepNext/>
              <w:spacing w:after="40"/>
              <w:jc w:val="center"/>
            </w:pPr>
            <w:r/>
            <w:r>
              <w:rPr>
                <w:rFonts w:ascii="Times New Roman" w:hAnsi="Times New Roman" w:cs="Times New Roman"/>
                <w:b/>
                <w:i w:val="0"/>
                <w:sz w:val="15"/>
              </w:rPr>
              <w:t>No.</w:t>
            </w:r>
          </w:p>
        </w:tc>
        <w:tc>
          <w:tcPr>
            <w:tcW w:type="dxa" w:w="2160"/>
          </w:tcPr>
          <w:p>
            <w:pPr>
              <w:keepNext/>
              <w:spacing w:after="40"/>
              <w:jc w:val="center"/>
            </w:pPr>
            <w:r/>
            <w:r>
              <w:rPr>
                <w:rFonts w:ascii="Times New Roman" w:hAnsi="Times New Roman" w:cs="Times New Roman"/>
                <w:b/>
                <w:i w:val="0"/>
                <w:sz w:val="15"/>
              </w:rPr>
              <w:t>Reference</w:t>
            </w:r>
          </w:p>
        </w:tc>
        <w:tc>
          <w:tcPr>
            <w:tcW w:type="dxa" w:w="1008"/>
          </w:tcPr>
          <w:p>
            <w:pPr>
              <w:keepNext/>
              <w:spacing w:after="40"/>
              <w:jc w:val="center"/>
            </w:pPr>
            <w:r/>
            <w:r>
              <w:rPr>
                <w:rFonts w:ascii="Times New Roman" w:hAnsi="Times New Roman" w:cs="Times New Roman"/>
                <w:b/>
                <w:i w:val="0"/>
                <w:sz w:val="15"/>
              </w:rPr>
              <w:t>Year / type</w:t>
            </w:r>
          </w:p>
        </w:tc>
        <w:tc>
          <w:tcPr>
            <w:tcW w:type="dxa" w:w="2736"/>
          </w:tcPr>
          <w:p>
            <w:pPr>
              <w:keepNext/>
              <w:spacing w:after="40"/>
              <w:jc w:val="center"/>
            </w:pPr>
            <w:r/>
            <w:r>
              <w:rPr>
                <w:rFonts w:ascii="Times New Roman" w:hAnsi="Times New Roman" w:cs="Times New Roman"/>
                <w:b/>
                <w:i w:val="0"/>
                <w:sz w:val="15"/>
              </w:rPr>
              <w:t>Core contribution</w:t>
            </w:r>
          </w:p>
        </w:tc>
        <w:tc>
          <w:tcPr>
            <w:tcW w:type="dxa" w:w="3312"/>
          </w:tcPr>
          <w:p>
            <w:pPr>
              <w:keepNext/>
              <w:spacing w:after="40"/>
              <w:jc w:val="center"/>
            </w:pPr>
            <w:r/>
            <w:r>
              <w:rPr>
                <w:rFonts w:ascii="Times New Roman" w:hAnsi="Times New Roman" w:cs="Times New Roman"/>
                <w:b/>
                <w:i w:val="0"/>
                <w:sz w:val="15"/>
              </w:rPr>
              <w:t>Limitation with respect to the present invention</w:t>
            </w:r>
          </w:p>
        </w:tc>
      </w:tr>
      <w:tr>
        <w:tc>
          <w:tcPr>
            <w:tcW w:type="dxa" w:w="432"/>
          </w:tcPr>
          <w:p>
            <w:pPr>
              <w:spacing w:after="40"/>
              <w:jc w:val="center"/>
            </w:pPr>
            <w:r/>
            <w:r>
              <w:rPr>
                <w:rFonts w:ascii="Times New Roman" w:hAnsi="Times New Roman" w:cs="Times New Roman"/>
                <w:b w:val="0"/>
                <w:i w:val="0"/>
                <w:sz w:val="15"/>
              </w:rPr>
              <w:t>1</w:t>
            </w:r>
          </w:p>
        </w:tc>
        <w:tc>
          <w:tcPr>
            <w:tcW w:type="dxa" w:w="2160"/>
          </w:tcPr>
          <w:p>
            <w:pPr>
              <w:spacing w:after="40"/>
              <w:jc w:val="left"/>
            </w:pPr>
            <w:r/>
            <w:r>
              <w:rPr>
                <w:rFonts w:ascii="Times New Roman" w:hAnsi="Times New Roman" w:cs="Times New Roman"/>
                <w:b w:val="0"/>
                <w:i w:val="0"/>
                <w:sz w:val="15"/>
              </w:rPr>
              <w:t>CN 106023516 A — examination monitoring method and system</w:t>
            </w:r>
          </w:p>
        </w:tc>
        <w:tc>
          <w:tcPr>
            <w:tcW w:type="dxa" w:w="1008"/>
          </w:tcPr>
          <w:p>
            <w:pPr>
              <w:spacing w:after="40"/>
              <w:jc w:val="center"/>
            </w:pPr>
            <w:r/>
            <w:r>
              <w:rPr>
                <w:rFonts w:ascii="Times New Roman" w:hAnsi="Times New Roman" w:cs="Times New Roman"/>
                <w:b w:val="0"/>
                <w:i w:val="0"/>
                <w:sz w:val="15"/>
              </w:rPr>
              <w:t>2016 / patent</w:t>
            </w:r>
          </w:p>
        </w:tc>
        <w:tc>
          <w:tcPr>
            <w:tcW w:type="dxa" w:w="2736"/>
          </w:tcPr>
          <w:p>
            <w:pPr>
              <w:spacing w:after="40"/>
              <w:jc w:val="left"/>
            </w:pPr>
            <w:r/>
            <w:r>
              <w:rPr>
                <w:rFonts w:ascii="Times New Roman" w:hAnsi="Times New Roman" w:cs="Times New Roman"/>
                <w:b w:val="0"/>
                <w:i w:val="0"/>
                <w:sz w:val="15"/>
              </w:rPr>
              <w:t>Examination-hall monitoring using infrared perimeter sensors, human-posture sensors and face-recognition cameras; behaviour compared against set values to raise a warning.</w:t>
            </w:r>
          </w:p>
        </w:tc>
        <w:tc>
          <w:tcPr>
            <w:tcW w:type="dxa" w:w="3312"/>
          </w:tcPr>
          <w:p>
            <w:pPr>
              <w:spacing w:after="40"/>
              <w:jc w:val="left"/>
            </w:pPr>
            <w:r/>
            <w:r>
              <w:rPr>
                <w:rFonts w:ascii="Times New Roman" w:hAnsi="Times New Roman" w:cs="Times New Roman"/>
                <w:b w:val="0"/>
                <w:i w:val="0"/>
                <w:sz w:val="15"/>
              </w:rPr>
              <w:t>Decision by comparison against preset values; requires the abnormal behaviour to be specified in advance. Hall-level, not per-station. Blind to concealed electronic devices and to covert audio. Scores each position independently, so no relation between positions is formed.</w:t>
            </w:r>
          </w:p>
        </w:tc>
      </w:tr>
      <w:tr>
        <w:tc>
          <w:tcPr>
            <w:tcW w:type="dxa" w:w="432"/>
          </w:tcPr>
          <w:p>
            <w:pPr>
              <w:spacing w:after="40"/>
              <w:jc w:val="center"/>
            </w:pPr>
            <w:r/>
            <w:r>
              <w:rPr>
                <w:rFonts w:ascii="Times New Roman" w:hAnsi="Times New Roman" w:cs="Times New Roman"/>
                <w:b w:val="0"/>
                <w:i w:val="0"/>
                <w:sz w:val="15"/>
              </w:rPr>
              <w:t>2</w:t>
            </w:r>
          </w:p>
        </w:tc>
        <w:tc>
          <w:tcPr>
            <w:tcW w:type="dxa" w:w="2160"/>
          </w:tcPr>
          <w:p>
            <w:pPr>
              <w:spacing w:after="40"/>
              <w:jc w:val="left"/>
            </w:pPr>
            <w:r/>
            <w:r>
              <w:rPr>
                <w:rFonts w:ascii="Times New Roman" w:hAnsi="Times New Roman" w:cs="Times New Roman"/>
                <w:b w:val="0"/>
                <w:i w:val="0"/>
                <w:sz w:val="15"/>
              </w:rPr>
              <w:t>US 9,154,748 B2 — online examination proctoring system</w:t>
            </w:r>
          </w:p>
        </w:tc>
        <w:tc>
          <w:tcPr>
            <w:tcW w:type="dxa" w:w="1008"/>
          </w:tcPr>
          <w:p>
            <w:pPr>
              <w:spacing w:after="40"/>
              <w:jc w:val="center"/>
            </w:pPr>
            <w:r/>
            <w:r>
              <w:rPr>
                <w:rFonts w:ascii="Times New Roman" w:hAnsi="Times New Roman" w:cs="Times New Roman"/>
                <w:b w:val="0"/>
                <w:i w:val="0"/>
                <w:sz w:val="15"/>
              </w:rPr>
              <w:t>2015 / patent</w:t>
            </w:r>
          </w:p>
        </w:tc>
        <w:tc>
          <w:tcPr>
            <w:tcW w:type="dxa" w:w="2736"/>
          </w:tcPr>
          <w:p>
            <w:pPr>
              <w:spacing w:after="40"/>
              <w:jc w:val="left"/>
            </w:pPr>
            <w:r/>
            <w:r>
              <w:rPr>
                <w:rFonts w:ascii="Times New Roman" w:hAnsi="Times New Roman" w:cs="Times New Roman"/>
                <w:b w:val="0"/>
                <w:i w:val="0"/>
                <w:sz w:val="15"/>
              </w:rPr>
              <w:t>Worn and fixed cameras with unpredictable prompts to sweep the room; audio capture of the test environment; evidence indexed and stored.</w:t>
            </w:r>
          </w:p>
        </w:tc>
        <w:tc>
          <w:tcPr>
            <w:tcW w:type="dxa" w:w="3312"/>
          </w:tcPr>
          <w:p>
            <w:pPr>
              <w:spacing w:after="40"/>
              <w:jc w:val="left"/>
            </w:pPr>
            <w:r/>
            <w:r>
              <w:rPr>
                <w:rFonts w:ascii="Times New Roman" w:hAnsi="Times New Roman" w:cs="Times New Roman"/>
                <w:b w:val="0"/>
                <w:i w:val="0"/>
                <w:sz w:val="15"/>
              </w:rPr>
              <w:t>Depends on visual evidence and on prompting the candidate. No physical-signature sensing of concealed emitters; no analysis relating one candidate to another.</w:t>
            </w:r>
          </w:p>
        </w:tc>
      </w:tr>
      <w:tr>
        <w:tc>
          <w:tcPr>
            <w:tcW w:type="dxa" w:w="432"/>
          </w:tcPr>
          <w:p>
            <w:pPr>
              <w:spacing w:after="40"/>
              <w:jc w:val="center"/>
            </w:pPr>
            <w:r/>
            <w:r>
              <w:rPr>
                <w:rFonts w:ascii="Times New Roman" w:hAnsi="Times New Roman" w:cs="Times New Roman"/>
                <w:b w:val="0"/>
                <w:i w:val="0"/>
                <w:sz w:val="15"/>
              </w:rPr>
              <w:t>3</w:t>
            </w:r>
          </w:p>
        </w:tc>
        <w:tc>
          <w:tcPr>
            <w:tcW w:type="dxa" w:w="2160"/>
          </w:tcPr>
          <w:p>
            <w:pPr>
              <w:spacing w:after="40"/>
              <w:jc w:val="left"/>
            </w:pPr>
            <w:r/>
            <w:r>
              <w:rPr>
                <w:rFonts w:ascii="Times New Roman" w:hAnsi="Times New Roman" w:cs="Times New Roman"/>
                <w:b w:val="0"/>
                <w:i w:val="0"/>
                <w:sz w:val="15"/>
              </w:rPr>
              <w:t>CN 111539313 A — examination cheating behaviour detection method and system</w:t>
            </w:r>
          </w:p>
        </w:tc>
        <w:tc>
          <w:tcPr>
            <w:tcW w:type="dxa" w:w="1008"/>
          </w:tcPr>
          <w:p>
            <w:pPr>
              <w:spacing w:after="40"/>
              <w:jc w:val="center"/>
            </w:pPr>
            <w:r/>
            <w:r>
              <w:rPr>
                <w:rFonts w:ascii="Times New Roman" w:hAnsi="Times New Roman" w:cs="Times New Roman"/>
                <w:b w:val="0"/>
                <w:i w:val="0"/>
                <w:sz w:val="15"/>
              </w:rPr>
              <w:t>2020 / patent</w:t>
            </w:r>
          </w:p>
        </w:tc>
        <w:tc>
          <w:tcPr>
            <w:tcW w:type="dxa" w:w="2736"/>
          </w:tcPr>
          <w:p>
            <w:pPr>
              <w:spacing w:after="40"/>
              <w:jc w:val="left"/>
            </w:pPr>
            <w:r/>
            <w:r>
              <w:rPr>
                <w:rFonts w:ascii="Times New Roman" w:hAnsi="Times New Roman" w:cs="Times New Roman"/>
                <w:b w:val="0"/>
                <w:i w:val="0"/>
                <w:sz w:val="15"/>
              </w:rPr>
              <w:t>Gaze tracking of the examinee together with video analysis of the region in front of the candidate to produce a cheating-behaviour result.</w:t>
            </w:r>
          </w:p>
        </w:tc>
        <w:tc>
          <w:tcPr>
            <w:tcW w:type="dxa" w:w="3312"/>
          </w:tcPr>
          <w:p>
            <w:pPr>
              <w:spacing w:after="40"/>
              <w:jc w:val="left"/>
            </w:pPr>
            <w:r/>
            <w:r>
              <w:rPr>
                <w:rFonts w:ascii="Times New Roman" w:hAnsi="Times New Roman" w:cs="Times New Roman"/>
                <w:b w:val="0"/>
                <w:i w:val="0"/>
                <w:sz w:val="15"/>
              </w:rPr>
              <w:t>Supervised and vision-bound; recognises behaviours it was built to recognise. Single-candidate scope; no cross-candidate relational signal.</w:t>
            </w:r>
          </w:p>
        </w:tc>
      </w:tr>
      <w:tr>
        <w:tc>
          <w:tcPr>
            <w:tcW w:type="dxa" w:w="432"/>
          </w:tcPr>
          <w:p>
            <w:pPr>
              <w:spacing w:after="40"/>
              <w:jc w:val="center"/>
            </w:pPr>
            <w:r/>
            <w:r>
              <w:rPr>
                <w:rFonts w:ascii="Times New Roman" w:hAnsi="Times New Roman" w:cs="Times New Roman"/>
                <w:b w:val="0"/>
                <w:i w:val="0"/>
                <w:sz w:val="15"/>
              </w:rPr>
              <w:t>4</w:t>
            </w:r>
          </w:p>
        </w:tc>
        <w:tc>
          <w:tcPr>
            <w:tcW w:type="dxa" w:w="2160"/>
          </w:tcPr>
          <w:p>
            <w:pPr>
              <w:spacing w:after="40"/>
              <w:jc w:val="left"/>
            </w:pPr>
            <w:r/>
            <w:r>
              <w:rPr>
                <w:rFonts w:ascii="Times New Roman" w:hAnsi="Times New Roman" w:cs="Times New Roman"/>
                <w:b w:val="0"/>
                <w:i w:val="0"/>
                <w:sz w:val="15"/>
              </w:rPr>
              <w:t>US 9,881,516 B1 — detecting cheating while administering online assessments</w:t>
            </w:r>
          </w:p>
        </w:tc>
        <w:tc>
          <w:tcPr>
            <w:tcW w:type="dxa" w:w="1008"/>
          </w:tcPr>
          <w:p>
            <w:pPr>
              <w:spacing w:after="40"/>
              <w:jc w:val="center"/>
            </w:pPr>
            <w:r/>
            <w:r>
              <w:rPr>
                <w:rFonts w:ascii="Times New Roman" w:hAnsi="Times New Roman" w:cs="Times New Roman"/>
                <w:b w:val="0"/>
                <w:i w:val="0"/>
                <w:sz w:val="15"/>
              </w:rPr>
              <w:t>2018 / patent</w:t>
            </w:r>
          </w:p>
        </w:tc>
        <w:tc>
          <w:tcPr>
            <w:tcW w:type="dxa" w:w="2736"/>
          </w:tcPr>
          <w:p>
            <w:pPr>
              <w:spacing w:after="40"/>
              <w:jc w:val="left"/>
            </w:pPr>
            <w:r/>
            <w:r>
              <w:rPr>
                <w:rFonts w:ascii="Times New Roman" w:hAnsi="Times New Roman" w:cs="Times New Roman"/>
                <w:b w:val="0"/>
                <w:i w:val="0"/>
                <w:sz w:val="15"/>
              </w:rPr>
              <w:t>Watermarked question items propagated to seed sites with web beacons, so that retrieval of an item during a test is observable.</w:t>
            </w:r>
          </w:p>
        </w:tc>
        <w:tc>
          <w:tcPr>
            <w:tcW w:type="dxa" w:w="3312"/>
          </w:tcPr>
          <w:p>
            <w:pPr>
              <w:spacing w:after="40"/>
              <w:jc w:val="left"/>
            </w:pPr>
            <w:r/>
            <w:r>
              <w:rPr>
                <w:rFonts w:ascii="Times New Roman" w:hAnsi="Times New Roman" w:cs="Times New Roman"/>
                <w:b w:val="0"/>
                <w:i w:val="0"/>
                <w:sz w:val="15"/>
              </w:rPr>
              <w:t>Detects item leakage on the open web, not conduct at a monitored station. Inapplicable to in-hall device use or to candidate-to-candidate coordination.</w:t>
            </w:r>
          </w:p>
        </w:tc>
      </w:tr>
      <w:tr>
        <w:tc>
          <w:tcPr>
            <w:tcW w:type="dxa" w:w="432"/>
          </w:tcPr>
          <w:p>
            <w:pPr>
              <w:spacing w:after="40"/>
              <w:jc w:val="center"/>
            </w:pPr>
            <w:r/>
            <w:r>
              <w:rPr>
                <w:rFonts w:ascii="Times New Roman" w:hAnsi="Times New Roman" w:cs="Times New Roman"/>
                <w:b w:val="0"/>
                <w:i w:val="0"/>
                <w:sz w:val="15"/>
              </w:rPr>
              <w:t>5</w:t>
            </w:r>
          </w:p>
        </w:tc>
        <w:tc>
          <w:tcPr>
            <w:tcW w:type="dxa" w:w="2160"/>
          </w:tcPr>
          <w:p>
            <w:pPr>
              <w:spacing w:after="40"/>
              <w:jc w:val="left"/>
            </w:pPr>
            <w:r/>
            <w:r>
              <w:rPr>
                <w:rFonts w:ascii="Times New Roman" w:hAnsi="Times New Roman" w:cs="Times New Roman"/>
                <w:b w:val="0"/>
                <w:i w:val="0"/>
                <w:sz w:val="15"/>
              </w:rPr>
              <w:t>CN 200989924 Y — detector for concealed wireless earpieces used in examination cheating</w:t>
            </w:r>
          </w:p>
        </w:tc>
        <w:tc>
          <w:tcPr>
            <w:tcW w:type="dxa" w:w="1008"/>
          </w:tcPr>
          <w:p>
            <w:pPr>
              <w:spacing w:after="40"/>
              <w:jc w:val="center"/>
            </w:pPr>
            <w:r/>
            <w:r>
              <w:rPr>
                <w:rFonts w:ascii="Times New Roman" w:hAnsi="Times New Roman" w:cs="Times New Roman"/>
                <w:b w:val="0"/>
                <w:i w:val="0"/>
                <w:sz w:val="15"/>
              </w:rPr>
              <w:t>2007 / patent</w:t>
            </w:r>
          </w:p>
        </w:tc>
        <w:tc>
          <w:tcPr>
            <w:tcW w:type="dxa" w:w="2736"/>
          </w:tcPr>
          <w:p>
            <w:pPr>
              <w:spacing w:after="40"/>
              <w:jc w:val="left"/>
            </w:pPr>
            <w:r/>
            <w:r>
              <w:rPr>
                <w:rFonts w:ascii="Times New Roman" w:hAnsi="Times New Roman" w:cs="Times New Roman"/>
                <w:b w:val="0"/>
                <w:i w:val="0"/>
                <w:sz w:val="15"/>
              </w:rPr>
              <w:t>Induction antenna and amplifier detecting the electromagnetic signature of a concealed earpiece, with acousto-optic indication of signal strength.</w:t>
            </w:r>
          </w:p>
        </w:tc>
        <w:tc>
          <w:tcPr>
            <w:tcW w:type="dxa" w:w="3312"/>
          </w:tcPr>
          <w:p>
            <w:pPr>
              <w:spacing w:after="40"/>
              <w:jc w:val="left"/>
            </w:pPr>
            <w:r/>
            <w:r>
              <w:rPr>
                <w:rFonts w:ascii="Times New Roman" w:hAnsi="Times New Roman" w:cs="Times New Roman"/>
                <w:b w:val="0"/>
                <w:i w:val="0"/>
                <w:sz w:val="15"/>
              </w:rPr>
              <w:t>Single-modality, single-purpose, and operated as a handheld sweep. No continuous per-station monitoring, no learning of ambient conditions, no relational analysis.</w:t>
            </w:r>
          </w:p>
        </w:tc>
      </w:tr>
      <w:tr>
        <w:tc>
          <w:tcPr>
            <w:tcW w:type="dxa" w:w="432"/>
          </w:tcPr>
          <w:p>
            <w:pPr>
              <w:spacing w:after="40"/>
              <w:jc w:val="center"/>
            </w:pPr>
            <w:r/>
            <w:r>
              <w:rPr>
                <w:rFonts w:ascii="Times New Roman" w:hAnsi="Times New Roman" w:cs="Times New Roman"/>
                <w:b w:val="0"/>
                <w:i w:val="0"/>
                <w:sz w:val="15"/>
              </w:rPr>
              <w:t>6</w:t>
            </w:r>
          </w:p>
        </w:tc>
        <w:tc>
          <w:tcPr>
            <w:tcW w:type="dxa" w:w="2160"/>
          </w:tcPr>
          <w:p>
            <w:pPr>
              <w:spacing w:after="40"/>
              <w:jc w:val="left"/>
            </w:pPr>
            <w:r/>
            <w:r>
              <w:rPr>
                <w:rFonts w:ascii="Times New Roman" w:hAnsi="Times New Roman" w:cs="Times New Roman"/>
                <w:b w:val="0"/>
                <w:i w:val="0"/>
                <w:sz w:val="15"/>
              </w:rPr>
              <w:t>US 11,917,324 B2 — anti-cheating methods in an extended reality environment</w:t>
            </w:r>
          </w:p>
        </w:tc>
        <w:tc>
          <w:tcPr>
            <w:tcW w:type="dxa" w:w="1008"/>
          </w:tcPr>
          <w:p>
            <w:pPr>
              <w:spacing w:after="40"/>
              <w:jc w:val="center"/>
            </w:pPr>
            <w:r/>
            <w:r>
              <w:rPr>
                <w:rFonts w:ascii="Times New Roman" w:hAnsi="Times New Roman" w:cs="Times New Roman"/>
                <w:b w:val="0"/>
                <w:i w:val="0"/>
                <w:sz w:val="15"/>
              </w:rPr>
              <w:t>2024 / patent</w:t>
            </w:r>
          </w:p>
        </w:tc>
        <w:tc>
          <w:tcPr>
            <w:tcW w:type="dxa" w:w="2736"/>
          </w:tcPr>
          <w:p>
            <w:pPr>
              <w:spacing w:after="40"/>
              <w:jc w:val="left"/>
            </w:pPr>
            <w:r/>
            <w:r>
              <w:rPr>
                <w:rFonts w:ascii="Times New Roman" w:hAnsi="Times New Roman" w:cs="Times New Roman"/>
                <w:b w:val="0"/>
                <w:i w:val="0"/>
                <w:sz w:val="15"/>
              </w:rPr>
              <w:t>Tracking of candidate hands and arms against a defined spatial boundary in an extended-reality examination, with audiovisual recording for review.</w:t>
            </w:r>
          </w:p>
        </w:tc>
        <w:tc>
          <w:tcPr>
            <w:tcW w:type="dxa" w:w="3312"/>
          </w:tcPr>
          <w:p>
            <w:pPr>
              <w:spacing w:after="40"/>
              <w:jc w:val="left"/>
            </w:pPr>
            <w:r/>
            <w:r>
              <w:rPr>
                <w:rFonts w:ascii="Times New Roman" w:hAnsi="Times New Roman" w:cs="Times New Roman"/>
                <w:b w:val="0"/>
                <w:i w:val="0"/>
                <w:sz w:val="15"/>
              </w:rPr>
              <w:t>Boundary rules are specified by the test giver in advance. Confined to an extended-reality environment; no physical-emission sensing and no station-to-station comparison.</w:t>
            </w:r>
          </w:p>
        </w:tc>
      </w:tr>
      <w:tr>
        <w:tc>
          <w:tcPr>
            <w:tcW w:type="dxa" w:w="432"/>
          </w:tcPr>
          <w:p>
            <w:pPr>
              <w:spacing w:after="40"/>
              <w:jc w:val="center"/>
            </w:pPr>
            <w:r/>
            <w:r>
              <w:rPr>
                <w:rFonts w:ascii="Times New Roman" w:hAnsi="Times New Roman" w:cs="Times New Roman"/>
                <w:b w:val="0"/>
                <w:i w:val="0"/>
                <w:sz w:val="15"/>
              </w:rPr>
              <w:t>7</w:t>
            </w:r>
          </w:p>
        </w:tc>
        <w:tc>
          <w:tcPr>
            <w:tcW w:type="dxa" w:w="2160"/>
          </w:tcPr>
          <w:p>
            <w:pPr>
              <w:spacing w:after="40"/>
              <w:jc w:val="left"/>
            </w:pPr>
            <w:r/>
            <w:r>
              <w:rPr>
                <w:rFonts w:ascii="Times New Roman" w:hAnsi="Times New Roman" w:cs="Times New Roman"/>
                <w:b w:val="0"/>
                <w:i w:val="0"/>
                <w:sz w:val="15"/>
              </w:rPr>
              <w:t>Radio-frequency signal jammers for examination halls</w:t>
            </w:r>
          </w:p>
        </w:tc>
        <w:tc>
          <w:tcPr>
            <w:tcW w:type="dxa" w:w="1008"/>
          </w:tcPr>
          <w:p>
            <w:pPr>
              <w:spacing w:after="40"/>
              <w:jc w:val="center"/>
            </w:pPr>
            <w:r/>
            <w:r>
              <w:rPr>
                <w:rFonts w:ascii="Times New Roman" w:hAnsi="Times New Roman" w:cs="Times New Roman"/>
                <w:b w:val="0"/>
                <w:i w:val="0"/>
                <w:sz w:val="15"/>
              </w:rPr>
              <w:t>category</w:t>
            </w:r>
          </w:p>
        </w:tc>
        <w:tc>
          <w:tcPr>
            <w:tcW w:type="dxa" w:w="2736"/>
          </w:tcPr>
          <w:p>
            <w:pPr>
              <w:spacing w:after="40"/>
              <w:jc w:val="left"/>
            </w:pPr>
            <w:r/>
            <w:r>
              <w:rPr>
                <w:rFonts w:ascii="Times New Roman" w:hAnsi="Times New Roman" w:cs="Times New Roman"/>
                <w:b w:val="0"/>
                <w:i w:val="0"/>
                <w:sz w:val="15"/>
              </w:rPr>
              <w:t>Denial of mobile and wireless communication within the hall during the examination.</w:t>
            </w:r>
          </w:p>
        </w:tc>
        <w:tc>
          <w:tcPr>
            <w:tcW w:type="dxa" w:w="3312"/>
          </w:tcPr>
          <w:p>
            <w:pPr>
              <w:spacing w:after="40"/>
              <w:jc w:val="left"/>
            </w:pPr>
            <w:r/>
            <w:r>
              <w:rPr>
                <w:rFonts w:ascii="Times New Roman" w:hAnsi="Times New Roman" w:cs="Times New Roman"/>
                <w:b w:val="0"/>
                <w:i w:val="0"/>
                <w:sz w:val="15"/>
              </w:rPr>
              <w:t>Preventive rather than detective; produces no record of an attempt. May interfere with authorised systems and is ineffective against passive or non-radio methods.</w:t>
            </w:r>
          </w:p>
        </w:tc>
      </w:tr>
      <w:tr>
        <w:tc>
          <w:tcPr>
            <w:tcW w:type="dxa" w:w="432"/>
          </w:tcPr>
          <w:p>
            <w:pPr>
              <w:spacing w:after="40"/>
              <w:jc w:val="center"/>
            </w:pPr>
            <w:r/>
            <w:r>
              <w:rPr>
                <w:rFonts w:ascii="Times New Roman" w:hAnsi="Times New Roman" w:cs="Times New Roman"/>
                <w:b w:val="0"/>
                <w:i w:val="0"/>
                <w:sz w:val="15"/>
              </w:rPr>
              <w:t>8</w:t>
            </w:r>
          </w:p>
        </w:tc>
        <w:tc>
          <w:tcPr>
            <w:tcW w:type="dxa" w:w="2160"/>
          </w:tcPr>
          <w:p>
            <w:pPr>
              <w:spacing w:after="40"/>
              <w:jc w:val="left"/>
            </w:pPr>
            <w:r/>
            <w:r>
              <w:rPr>
                <w:rFonts w:ascii="Times New Roman" w:hAnsi="Times New Roman" w:cs="Times New Roman"/>
                <w:b w:val="0"/>
                <w:i w:val="0"/>
                <w:sz w:val="15"/>
              </w:rPr>
              <w:t>US 2019/0156689 A1 — systems and methods for online proctoring (ProctorU)</w:t>
            </w:r>
          </w:p>
        </w:tc>
        <w:tc>
          <w:tcPr>
            <w:tcW w:type="dxa" w:w="1008"/>
          </w:tcPr>
          <w:p>
            <w:pPr>
              <w:spacing w:after="40"/>
              <w:jc w:val="center"/>
            </w:pPr>
            <w:r/>
            <w:r>
              <w:rPr>
                <w:rFonts w:ascii="Times New Roman" w:hAnsi="Times New Roman" w:cs="Times New Roman"/>
                <w:b w:val="0"/>
                <w:i w:val="0"/>
                <w:sz w:val="15"/>
              </w:rPr>
              <w:t>2019 / patent application</w:t>
            </w:r>
          </w:p>
        </w:tc>
        <w:tc>
          <w:tcPr>
            <w:tcW w:type="dxa" w:w="2736"/>
          </w:tcPr>
          <w:p>
            <w:pPr>
              <w:spacing w:after="40"/>
              <w:jc w:val="left"/>
            </w:pPr>
            <w:r/>
            <w:r>
              <w:rPr>
                <w:rFonts w:ascii="Times New Roman" w:hAnsi="Times New Roman" w:cs="Times New Roman"/>
                <w:b w:val="0"/>
                <w:i w:val="0"/>
                <w:sz w:val="15"/>
              </w:rPr>
              <w:t>Webcam, microphone, keyboard and screen monitoring of a remote candidate; a rule combining loss of the candidate face for a threshold period, subsequent keyboard or mouse input, and subsequent submission, flags the session; the session may be suspended in software.</w:t>
            </w:r>
          </w:p>
        </w:tc>
        <w:tc>
          <w:tcPr>
            <w:tcW w:type="dxa" w:w="3312"/>
          </w:tcPr>
          <w:p>
            <w:pPr>
              <w:spacing w:after="40"/>
              <w:jc w:val="left"/>
            </w:pPr>
            <w:r/>
            <w:r>
              <w:rPr>
                <w:rFonts w:ascii="Times New Roman" w:hAnsi="Times New Roman" w:cs="Times New Roman"/>
                <w:b w:val="0"/>
                <w:i w:val="0"/>
                <w:sz w:val="15"/>
              </w:rPr>
              <w:t>The closest single-candidate reference on temporal rule-based detection, and is conceded as such. The anchor is the candidate’s own face-loss rather than any measured quantity independent of the candidate; there is no station-to-station relation, no venue-wide component to remove, no instrumented unoccupied position, and the response is a software session action rather than a change in the physical acquisition state of any transducer.</w:t>
            </w:r>
          </w:p>
        </w:tc>
      </w:tr>
      <w:tr>
        <w:tc>
          <w:tcPr>
            <w:tcW w:type="dxa" w:w="432"/>
          </w:tcPr>
          <w:p>
            <w:pPr>
              <w:spacing w:after="40"/>
              <w:jc w:val="center"/>
            </w:pPr>
            <w:r/>
            <w:r>
              <w:rPr>
                <w:rFonts w:ascii="Times New Roman" w:hAnsi="Times New Roman" w:cs="Times New Roman"/>
                <w:b w:val="0"/>
                <w:i w:val="0"/>
                <w:sz w:val="15"/>
              </w:rPr>
              <w:t>9</w:t>
            </w:r>
          </w:p>
        </w:tc>
        <w:tc>
          <w:tcPr>
            <w:tcW w:type="dxa" w:w="2160"/>
          </w:tcPr>
          <w:p>
            <w:pPr>
              <w:spacing w:after="40"/>
              <w:jc w:val="left"/>
            </w:pPr>
            <w:r/>
            <w:r>
              <w:rPr>
                <w:rFonts w:ascii="Times New Roman" w:hAnsi="Times New Roman" w:cs="Times New Roman"/>
                <w:b w:val="0"/>
                <w:i w:val="0"/>
                <w:sz w:val="15"/>
              </w:rPr>
              <w:t>Atoum, Chen, Liu, Hsu and Liu — automated online exam proctoring, IEEE Transactions on Multimedia, 19(7), 1609-1624</w:t>
            </w:r>
          </w:p>
        </w:tc>
        <w:tc>
          <w:tcPr>
            <w:tcW w:type="dxa" w:w="1008"/>
          </w:tcPr>
          <w:p>
            <w:pPr>
              <w:spacing w:after="40"/>
              <w:jc w:val="center"/>
            </w:pPr>
            <w:r/>
            <w:r>
              <w:rPr>
                <w:rFonts w:ascii="Times New Roman" w:hAnsi="Times New Roman" w:cs="Times New Roman"/>
                <w:b w:val="0"/>
                <w:i w:val="0"/>
                <w:sz w:val="15"/>
              </w:rPr>
              <w:t>2017 / journal</w:t>
            </w:r>
          </w:p>
        </w:tc>
        <w:tc>
          <w:tcPr>
            <w:tcW w:type="dxa" w:w="2736"/>
          </w:tcPr>
          <w:p>
            <w:pPr>
              <w:spacing w:after="40"/>
              <w:jc w:val="left"/>
            </w:pPr>
            <w:r/>
            <w:r>
              <w:rPr>
                <w:rFonts w:ascii="Times New Roman" w:hAnsi="Times New Roman" w:cs="Times New Roman"/>
                <w:b w:val="0"/>
                <w:i w:val="0"/>
                <w:sz w:val="15"/>
              </w:rPr>
              <w:t>Multimodal proctoring using a webcam, a worn camera and a microphone; audio and visual cues combined; evaluated on twenty-four subjects performing staged cheating types.</w:t>
            </w:r>
          </w:p>
        </w:tc>
        <w:tc>
          <w:tcPr>
            <w:tcW w:type="dxa" w:w="3312"/>
          </w:tcPr>
          <w:p>
            <w:pPr>
              <w:spacing w:after="40"/>
              <w:jc w:val="left"/>
            </w:pPr>
            <w:r/>
            <w:r>
              <w:rPr>
                <w:rFonts w:ascii="Times New Roman" w:hAnsi="Times New Roman" w:cs="Times New Roman"/>
                <w:b w:val="0"/>
                <w:i w:val="0"/>
                <w:sz w:val="15"/>
              </w:rPr>
              <w:t>The closest multimodal reference. Trained and evaluated on staged, labelled cheating; detection is bounded by the cheat types enacted for the corpus. Single-candidate; the microphone is used for speech and ambient cues, not for near-ultrasonic emitter signatures.</w:t>
            </w:r>
          </w:p>
        </w:tc>
      </w:tr>
      <w:tr>
        <w:tc>
          <w:tcPr>
            <w:tcW w:type="dxa" w:w="432"/>
          </w:tcPr>
          <w:p>
            <w:pPr>
              <w:spacing w:after="40"/>
              <w:jc w:val="center"/>
            </w:pPr>
            <w:r/>
            <w:r>
              <w:rPr>
                <w:rFonts w:ascii="Times New Roman" w:hAnsi="Times New Roman" w:cs="Times New Roman"/>
                <w:b w:val="0"/>
                <w:i w:val="0"/>
                <w:sz w:val="15"/>
              </w:rPr>
              <w:t>10</w:t>
            </w:r>
          </w:p>
        </w:tc>
        <w:tc>
          <w:tcPr>
            <w:tcW w:type="dxa" w:w="2160"/>
          </w:tcPr>
          <w:p>
            <w:pPr>
              <w:spacing w:after="40"/>
              <w:jc w:val="left"/>
            </w:pPr>
            <w:r/>
            <w:r>
              <w:rPr>
                <w:rFonts w:ascii="Times New Roman" w:hAnsi="Times New Roman" w:cs="Times New Roman"/>
                <w:b w:val="0"/>
                <w:i w:val="0"/>
                <w:sz w:val="15"/>
              </w:rPr>
              <w:t>Wollack — a nominal response model approach for detecting answer copying, Applied Psychological Measurement</w:t>
            </w:r>
          </w:p>
        </w:tc>
        <w:tc>
          <w:tcPr>
            <w:tcW w:type="dxa" w:w="1008"/>
          </w:tcPr>
          <w:p>
            <w:pPr>
              <w:spacing w:after="40"/>
              <w:jc w:val="center"/>
            </w:pPr>
            <w:r/>
            <w:r>
              <w:rPr>
                <w:rFonts w:ascii="Times New Roman" w:hAnsi="Times New Roman" w:cs="Times New Roman"/>
                <w:b w:val="0"/>
                <w:i w:val="0"/>
                <w:sz w:val="15"/>
              </w:rPr>
              <w:t>1997 / journal</w:t>
            </w:r>
          </w:p>
        </w:tc>
        <w:tc>
          <w:tcPr>
            <w:tcW w:type="dxa" w:w="2736"/>
          </w:tcPr>
          <w:p>
            <w:pPr>
              <w:spacing w:after="40"/>
              <w:jc w:val="left"/>
            </w:pPr>
            <w:r/>
            <w:r>
              <w:rPr>
                <w:rFonts w:ascii="Times New Roman" w:hAnsi="Times New Roman" w:cs="Times New Roman"/>
                <w:b w:val="0"/>
                <w:i w:val="0"/>
                <w:sz w:val="15"/>
              </w:rPr>
              <w:t>Item-response-theory statistic comparing a candidate response vector against a putative source, with controlled Type I error.</w:t>
            </w:r>
          </w:p>
        </w:tc>
        <w:tc>
          <w:tcPr>
            <w:tcW w:type="dxa" w:w="3312"/>
          </w:tcPr>
          <w:p>
            <w:pPr>
              <w:spacing w:after="40"/>
              <w:jc w:val="left"/>
            </w:pPr>
            <w:r/>
            <w:r>
              <w:rPr>
                <w:rFonts w:ascii="Times New Roman" w:hAnsi="Times New Roman" w:cs="Times New Roman"/>
                <w:b w:val="0"/>
                <w:i w:val="0"/>
                <w:sz w:val="15"/>
              </w:rPr>
              <w:t>Operates on completed answer sheets after the examination. Detects the statistical trace of copying, not the act; yields no intervention during the session and no evidence of device use.</w:t>
            </w:r>
          </w:p>
        </w:tc>
      </w:tr>
      <w:tr>
        <w:tc>
          <w:tcPr>
            <w:tcW w:type="dxa" w:w="432"/>
          </w:tcPr>
          <w:p>
            <w:pPr>
              <w:spacing w:after="40"/>
              <w:jc w:val="center"/>
            </w:pPr>
            <w:r/>
            <w:r>
              <w:rPr>
                <w:rFonts w:ascii="Times New Roman" w:hAnsi="Times New Roman" w:cs="Times New Roman"/>
                <w:b w:val="0"/>
                <w:i w:val="0"/>
                <w:sz w:val="15"/>
              </w:rPr>
              <w:t>11</w:t>
            </w:r>
          </w:p>
        </w:tc>
        <w:tc>
          <w:tcPr>
            <w:tcW w:type="dxa" w:w="2160"/>
          </w:tcPr>
          <w:p>
            <w:pPr>
              <w:spacing w:after="40"/>
              <w:jc w:val="left"/>
            </w:pPr>
            <w:r/>
            <w:r>
              <w:rPr>
                <w:rFonts w:ascii="Times New Roman" w:hAnsi="Times New Roman" w:cs="Times New Roman"/>
                <w:b w:val="0"/>
                <w:i w:val="0"/>
                <w:sz w:val="15"/>
              </w:rPr>
              <w:t>Belov and Wollack — graph theory approach to detect examinees involved in test collusion, Applied Psychological Measurement</w:t>
            </w:r>
          </w:p>
        </w:tc>
        <w:tc>
          <w:tcPr>
            <w:tcW w:type="dxa" w:w="1008"/>
          </w:tcPr>
          <w:p>
            <w:pPr>
              <w:spacing w:after="40"/>
              <w:jc w:val="center"/>
            </w:pPr>
            <w:r/>
            <w:r>
              <w:rPr>
                <w:rFonts w:ascii="Times New Roman" w:hAnsi="Times New Roman" w:cs="Times New Roman"/>
                <w:b w:val="0"/>
                <w:i w:val="0"/>
                <w:sz w:val="15"/>
              </w:rPr>
              <w:t>2021 / journal</w:t>
            </w:r>
          </w:p>
        </w:tc>
        <w:tc>
          <w:tcPr>
            <w:tcW w:type="dxa" w:w="2736"/>
          </w:tcPr>
          <w:p>
            <w:pPr>
              <w:spacing w:after="40"/>
              <w:jc w:val="left"/>
            </w:pPr>
            <w:r/>
            <w:r>
              <w:rPr>
                <w:rFonts w:ascii="Times New Roman" w:hAnsi="Times New Roman" w:cs="Times New Roman"/>
                <w:b w:val="0"/>
                <w:i w:val="0"/>
                <w:sz w:val="15"/>
              </w:rPr>
              <w:t>Response-similarity indices computed over examinee pairs are assembled into a graph, and connected components, cliques or near-cliques identify collusion groups.</w:t>
            </w:r>
          </w:p>
        </w:tc>
        <w:tc>
          <w:tcPr>
            <w:tcW w:type="dxa" w:w="3312"/>
          </w:tcPr>
          <w:p>
            <w:pPr>
              <w:spacing w:after="40"/>
              <w:jc w:val="left"/>
            </w:pPr>
            <w:r/>
            <w:r>
              <w:rPr>
                <w:rFonts w:ascii="Times New Roman" w:hAnsi="Times New Roman" w:cs="Times New Roman"/>
                <w:b w:val="0"/>
                <w:i w:val="0"/>
                <w:sz w:val="15"/>
              </w:rPr>
              <w:t>The graph construction and connected-component step is closely analogous to the dependent graph claim of the present disclosure and is acknowledged as such. It is nevertheless computed on post-hoc answer-response similarity between examinees, whereas the present invention computes it on live, time-lagged coupling between physical sensor residuals at spatially fixed stations, referenced against that same pair’s own sanctioned-activity baseline, and issues alerts during the session.</w:t>
            </w:r>
          </w:p>
        </w:tc>
      </w:tr>
      <w:tr>
        <w:tc>
          <w:tcPr>
            <w:tcW w:type="dxa" w:w="432"/>
          </w:tcPr>
          <w:p>
            <w:pPr>
              <w:spacing w:after="40"/>
              <w:jc w:val="center"/>
            </w:pPr>
            <w:r/>
            <w:r>
              <w:rPr>
                <w:rFonts w:ascii="Times New Roman" w:hAnsi="Times New Roman" w:cs="Times New Roman"/>
                <w:b w:val="0"/>
                <w:i w:val="0"/>
                <w:sz w:val="15"/>
              </w:rPr>
              <w:t>12</w:t>
            </w:r>
          </w:p>
        </w:tc>
        <w:tc>
          <w:tcPr>
            <w:tcW w:type="dxa" w:w="2160"/>
          </w:tcPr>
          <w:p>
            <w:pPr>
              <w:spacing w:after="40"/>
              <w:jc w:val="left"/>
            </w:pPr>
            <w:r/>
            <w:r>
              <w:rPr>
                <w:rFonts w:ascii="Times New Roman" w:hAnsi="Times New Roman" w:cs="Times New Roman"/>
                <w:b w:val="0"/>
                <w:i w:val="0"/>
                <w:sz w:val="15"/>
              </w:rPr>
              <w:t>Malhotra, Ramakrishnan, Anand, Vig, Agarwal and Shroff — LSTM-based encoder-decoder for multi-sensor anomaly detection</w:t>
            </w:r>
          </w:p>
        </w:tc>
        <w:tc>
          <w:tcPr>
            <w:tcW w:type="dxa" w:w="1008"/>
          </w:tcPr>
          <w:p>
            <w:pPr>
              <w:spacing w:after="40"/>
              <w:jc w:val="center"/>
            </w:pPr>
            <w:r/>
            <w:r>
              <w:rPr>
                <w:rFonts w:ascii="Times New Roman" w:hAnsi="Times New Roman" w:cs="Times New Roman"/>
                <w:b w:val="0"/>
                <w:i w:val="0"/>
                <w:sz w:val="15"/>
              </w:rPr>
              <w:t>2016 / conference</w:t>
            </w:r>
          </w:p>
        </w:tc>
        <w:tc>
          <w:tcPr>
            <w:tcW w:type="dxa" w:w="2736"/>
          </w:tcPr>
          <w:p>
            <w:pPr>
              <w:spacing w:after="40"/>
              <w:jc w:val="left"/>
            </w:pPr>
            <w:r/>
            <w:r>
              <w:rPr>
                <w:rFonts w:ascii="Times New Roman" w:hAnsi="Times New Roman" w:cs="Times New Roman"/>
                <w:b w:val="0"/>
                <w:i w:val="0"/>
                <w:sz w:val="15"/>
              </w:rPr>
              <w:t>A recurrent encoder-decoder trained on normal multi-sensor sequences; reconstruction error over the sequence is used as the anomaly score.</w:t>
            </w:r>
          </w:p>
        </w:tc>
        <w:tc>
          <w:tcPr>
            <w:tcW w:type="dxa" w:w="3312"/>
          </w:tcPr>
          <w:p>
            <w:pPr>
              <w:spacing w:after="40"/>
              <w:jc w:val="left"/>
            </w:pPr>
            <w:r/>
            <w:r>
              <w:rPr>
                <w:rFonts w:ascii="Times New Roman" w:hAnsi="Times New Roman" w:cs="Times New Roman"/>
                <w:b w:val="0"/>
                <w:i w:val="0"/>
                <w:sz w:val="15"/>
              </w:rPr>
              <w:t>General technique. No per-venue, per-station calibration under non-stationary ambient conditions, no fusion across heterogeneous physical modalities for this purpose, and no correlation of residuals across spatially separate instances.</w:t>
            </w:r>
          </w:p>
        </w:tc>
      </w:tr>
      <w:tr>
        <w:tc>
          <w:tcPr>
            <w:tcW w:type="dxa" w:w="432"/>
          </w:tcPr>
          <w:p>
            <w:pPr>
              <w:spacing w:after="40"/>
              <w:jc w:val="center"/>
            </w:pPr>
            <w:r/>
            <w:r>
              <w:rPr>
                <w:rFonts w:ascii="Times New Roman" w:hAnsi="Times New Roman" w:cs="Times New Roman"/>
                <w:b w:val="0"/>
                <w:i w:val="0"/>
                <w:sz w:val="15"/>
              </w:rPr>
              <w:t>13</w:t>
            </w:r>
          </w:p>
        </w:tc>
        <w:tc>
          <w:tcPr>
            <w:tcW w:type="dxa" w:w="2160"/>
          </w:tcPr>
          <w:p>
            <w:pPr>
              <w:spacing w:after="40"/>
              <w:jc w:val="left"/>
            </w:pPr>
            <w:r/>
            <w:r>
              <w:rPr>
                <w:rFonts w:ascii="Times New Roman" w:hAnsi="Times New Roman" w:cs="Times New Roman"/>
                <w:b w:val="0"/>
                <w:i w:val="0"/>
                <w:sz w:val="15"/>
              </w:rPr>
              <w:t>Hundman, Constantinou, Laporte, Colwell and Soderstrom — detecting spacecraft anomalies using LSTMs and nonparametric dynamic thresholding, KDD</w:t>
            </w:r>
          </w:p>
        </w:tc>
        <w:tc>
          <w:tcPr>
            <w:tcW w:type="dxa" w:w="1008"/>
          </w:tcPr>
          <w:p>
            <w:pPr>
              <w:spacing w:after="40"/>
              <w:jc w:val="center"/>
            </w:pPr>
            <w:r/>
            <w:r>
              <w:rPr>
                <w:rFonts w:ascii="Times New Roman" w:hAnsi="Times New Roman" w:cs="Times New Roman"/>
                <w:b w:val="0"/>
                <w:i w:val="0"/>
                <w:sz w:val="15"/>
              </w:rPr>
              <w:t>2018 / conference</w:t>
            </w:r>
          </w:p>
        </w:tc>
        <w:tc>
          <w:tcPr>
            <w:tcW w:type="dxa" w:w="2736"/>
          </w:tcPr>
          <w:p>
            <w:pPr>
              <w:spacing w:after="40"/>
              <w:jc w:val="left"/>
            </w:pPr>
            <w:r/>
            <w:r>
              <w:rPr>
                <w:rFonts w:ascii="Times New Roman" w:hAnsi="Times New Roman" w:cs="Times New Roman"/>
                <w:b w:val="0"/>
                <w:i w:val="0"/>
                <w:sz w:val="15"/>
              </w:rPr>
              <w:t>Prediction error from a recurrent predictor trained on normal telemetry, with an unsupervised dynamic threshold and pruning of false positives.</w:t>
            </w:r>
          </w:p>
        </w:tc>
        <w:tc>
          <w:tcPr>
            <w:tcW w:type="dxa" w:w="3312"/>
          </w:tcPr>
          <w:p>
            <w:pPr>
              <w:spacing w:after="40"/>
              <w:jc w:val="left"/>
            </w:pPr>
            <w:r/>
            <w:r>
              <w:rPr>
                <w:rFonts w:ascii="Times New Roman" w:hAnsi="Times New Roman" w:cs="Times New Roman"/>
                <w:b w:val="0"/>
                <w:i w:val="0"/>
                <w:sz w:val="15"/>
              </w:rPr>
              <w:t>Establishes prediction-error anomaly detection with unsupervised thresholding in a single-channel telemetry setting. Contains no teaching of multi-station deployment and none of a relational quantity between deployed instances.</w:t>
            </w:r>
          </w:p>
        </w:tc>
      </w:tr>
      <w:tr>
        <w:tc>
          <w:tcPr>
            <w:tcW w:type="dxa" w:w="432"/>
          </w:tcPr>
          <w:p>
            <w:pPr>
              <w:spacing w:after="40"/>
              <w:jc w:val="center"/>
            </w:pPr>
            <w:r/>
            <w:r>
              <w:rPr>
                <w:rFonts w:ascii="Times New Roman" w:hAnsi="Times New Roman" w:cs="Times New Roman"/>
                <w:b w:val="0"/>
                <w:i w:val="0"/>
                <w:sz w:val="15"/>
              </w:rPr>
              <w:t>14</w:t>
            </w:r>
          </w:p>
        </w:tc>
        <w:tc>
          <w:tcPr>
            <w:tcW w:type="dxa" w:w="2160"/>
          </w:tcPr>
          <w:p>
            <w:pPr>
              <w:spacing w:after="40"/>
              <w:jc w:val="left"/>
            </w:pPr>
            <w:r/>
            <w:r>
              <w:rPr>
                <w:rFonts w:ascii="Times New Roman" w:hAnsi="Times New Roman" w:cs="Times New Roman"/>
                <w:b w:val="0"/>
                <w:i w:val="0"/>
                <w:sz w:val="15"/>
              </w:rPr>
              <w:t>Zong, Song, Min, Cheng, Lumezanu, Cho and Chen — deep autoencoding Gaussian mixture model for unsupervised anomaly detection, ICLR</w:t>
            </w:r>
          </w:p>
        </w:tc>
        <w:tc>
          <w:tcPr>
            <w:tcW w:type="dxa" w:w="1008"/>
          </w:tcPr>
          <w:p>
            <w:pPr>
              <w:spacing w:after="40"/>
              <w:jc w:val="center"/>
            </w:pPr>
            <w:r/>
            <w:r>
              <w:rPr>
                <w:rFonts w:ascii="Times New Roman" w:hAnsi="Times New Roman" w:cs="Times New Roman"/>
                <w:b w:val="0"/>
                <w:i w:val="0"/>
                <w:sz w:val="15"/>
              </w:rPr>
              <w:t>2018 / conference</w:t>
            </w:r>
          </w:p>
        </w:tc>
        <w:tc>
          <w:tcPr>
            <w:tcW w:type="dxa" w:w="2736"/>
          </w:tcPr>
          <w:p>
            <w:pPr>
              <w:spacing w:after="40"/>
              <w:jc w:val="left"/>
            </w:pPr>
            <w:r/>
            <w:r>
              <w:rPr>
                <w:rFonts w:ascii="Times New Roman" w:hAnsi="Times New Roman" w:cs="Times New Roman"/>
                <w:b w:val="0"/>
                <w:i w:val="0"/>
                <w:sz w:val="15"/>
              </w:rPr>
              <w:t>Joint learning of a compressed representation and a density estimate over reconstruction features, giving an unsupervised anomaly score.</w:t>
            </w:r>
          </w:p>
        </w:tc>
        <w:tc>
          <w:tcPr>
            <w:tcW w:type="dxa" w:w="3312"/>
          </w:tcPr>
          <w:p>
            <w:pPr>
              <w:spacing w:after="40"/>
              <w:jc w:val="left"/>
            </w:pPr>
            <w:r/>
            <w:r>
              <w:rPr>
                <w:rFonts w:ascii="Times New Roman" w:hAnsi="Times New Roman" w:cs="Times New Roman"/>
                <w:b w:val="0"/>
                <w:i w:val="0"/>
                <w:sz w:val="15"/>
              </w:rPr>
              <w:t>Density-based rather than predictive, and single-instance. Provides no mechanism by which scores from separate deployed instances would be related to one another.</w:t>
            </w:r>
          </w:p>
        </w:tc>
      </w:tr>
      <w:tr>
        <w:tc>
          <w:tcPr>
            <w:tcW w:type="dxa" w:w="432"/>
          </w:tcPr>
          <w:p>
            <w:pPr>
              <w:spacing w:after="40"/>
              <w:jc w:val="center"/>
            </w:pPr>
            <w:r/>
            <w:r>
              <w:rPr>
                <w:rFonts w:ascii="Times New Roman" w:hAnsi="Times New Roman" w:cs="Times New Roman"/>
                <w:b w:val="0"/>
                <w:i w:val="0"/>
                <w:sz w:val="15"/>
              </w:rPr>
              <w:t>15</w:t>
            </w:r>
          </w:p>
        </w:tc>
        <w:tc>
          <w:tcPr>
            <w:tcW w:type="dxa" w:w="2160"/>
          </w:tcPr>
          <w:p>
            <w:pPr>
              <w:spacing w:after="40"/>
              <w:jc w:val="left"/>
            </w:pPr>
            <w:r/>
            <w:r>
              <w:rPr>
                <w:rFonts w:ascii="Times New Roman" w:hAnsi="Times New Roman" w:cs="Times New Roman"/>
                <w:b w:val="0"/>
                <w:i w:val="0"/>
                <w:sz w:val="15"/>
              </w:rPr>
              <w:t>Bardes, Ponce and LeCun — VICReg: variance-invariance-covariance regularization for self-supervised learning, ICLR</w:t>
            </w:r>
          </w:p>
        </w:tc>
        <w:tc>
          <w:tcPr>
            <w:tcW w:type="dxa" w:w="1008"/>
          </w:tcPr>
          <w:p>
            <w:pPr>
              <w:spacing w:after="40"/>
              <w:jc w:val="center"/>
            </w:pPr>
            <w:r/>
            <w:r>
              <w:rPr>
                <w:rFonts w:ascii="Times New Roman" w:hAnsi="Times New Roman" w:cs="Times New Roman"/>
                <w:b w:val="0"/>
                <w:i w:val="0"/>
                <w:sz w:val="15"/>
              </w:rPr>
              <w:t>2022 / conference</w:t>
            </w:r>
          </w:p>
        </w:tc>
        <w:tc>
          <w:tcPr>
            <w:tcW w:type="dxa" w:w="2736"/>
          </w:tcPr>
          <w:p>
            <w:pPr>
              <w:spacing w:after="40"/>
              <w:jc w:val="left"/>
            </w:pPr>
            <w:r/>
            <w:r>
              <w:rPr>
                <w:rFonts w:ascii="Times New Roman" w:hAnsi="Times New Roman" w:cs="Times New Roman"/>
                <w:b w:val="0"/>
                <w:i w:val="0"/>
                <w:sz w:val="15"/>
              </w:rPr>
              <w:t>Variance and covariance terms applied to embeddings prevent representational collapse in joint-embedding training without negative pairs.</w:t>
            </w:r>
          </w:p>
        </w:tc>
        <w:tc>
          <w:tcPr>
            <w:tcW w:type="dxa" w:w="3312"/>
          </w:tcPr>
          <w:p>
            <w:pPr>
              <w:spacing w:after="40"/>
              <w:jc w:val="left"/>
            </w:pPr>
            <w:r/>
            <w:r>
              <w:rPr>
                <w:rFonts w:ascii="Times New Roman" w:hAnsi="Times New Roman" w:cs="Times New Roman"/>
                <w:b w:val="0"/>
                <w:i w:val="0"/>
                <w:sz w:val="15"/>
              </w:rPr>
              <w:t>A training regulariser evaluated by downstream classification quality. Contains no teaching of using the prediction residual itself as a live detection score.</w:t>
            </w:r>
          </w:p>
        </w:tc>
      </w:tr>
      <w:tr>
        <w:tc>
          <w:tcPr>
            <w:tcW w:type="dxa" w:w="432"/>
          </w:tcPr>
          <w:p>
            <w:pPr>
              <w:spacing w:after="40"/>
              <w:jc w:val="center"/>
            </w:pPr>
            <w:r/>
            <w:r>
              <w:rPr>
                <w:rFonts w:ascii="Times New Roman" w:hAnsi="Times New Roman" w:cs="Times New Roman"/>
                <w:b w:val="0"/>
                <w:i w:val="0"/>
                <w:sz w:val="15"/>
              </w:rPr>
              <w:t>16</w:t>
            </w:r>
          </w:p>
        </w:tc>
        <w:tc>
          <w:tcPr>
            <w:tcW w:type="dxa" w:w="2160"/>
          </w:tcPr>
          <w:p>
            <w:pPr>
              <w:spacing w:after="40"/>
              <w:jc w:val="left"/>
            </w:pPr>
            <w:r/>
            <w:r>
              <w:rPr>
                <w:rFonts w:ascii="Times New Roman" w:hAnsi="Times New Roman" w:cs="Times New Roman"/>
                <w:b w:val="0"/>
                <w:i w:val="0"/>
                <w:sz w:val="15"/>
              </w:rPr>
              <w:t>Assran, Duval, Misra, Bojanowski, Vincent, Rabbat, LeCun and Ballas — self-supervised learning from images with a joint-embedding predictive architecture, CVPR</w:t>
            </w:r>
          </w:p>
        </w:tc>
        <w:tc>
          <w:tcPr>
            <w:tcW w:type="dxa" w:w="1008"/>
          </w:tcPr>
          <w:p>
            <w:pPr>
              <w:spacing w:after="40"/>
              <w:jc w:val="center"/>
            </w:pPr>
            <w:r/>
            <w:r>
              <w:rPr>
                <w:rFonts w:ascii="Times New Roman" w:hAnsi="Times New Roman" w:cs="Times New Roman"/>
                <w:b w:val="0"/>
                <w:i w:val="0"/>
                <w:sz w:val="15"/>
              </w:rPr>
              <w:t>2023 / conference</w:t>
            </w:r>
          </w:p>
        </w:tc>
        <w:tc>
          <w:tcPr>
            <w:tcW w:type="dxa" w:w="2736"/>
          </w:tcPr>
          <w:p>
            <w:pPr>
              <w:spacing w:after="40"/>
              <w:jc w:val="left"/>
            </w:pPr>
            <w:r/>
            <w:r>
              <w:rPr>
                <w:rFonts w:ascii="Times New Roman" w:hAnsi="Times New Roman" w:cs="Times New Roman"/>
                <w:b w:val="0"/>
                <w:i w:val="0"/>
                <w:sz w:val="15"/>
              </w:rPr>
              <w:t>Prediction of the embedding of masked target regions from a context region, without pixel-level reconstruction.</w:t>
            </w:r>
          </w:p>
        </w:tc>
        <w:tc>
          <w:tcPr>
            <w:tcW w:type="dxa" w:w="3312"/>
          </w:tcPr>
          <w:p>
            <w:pPr>
              <w:spacing w:after="40"/>
              <w:jc w:val="left"/>
            </w:pPr>
            <w:r/>
            <w:r>
              <w:rPr>
                <w:rFonts w:ascii="Times New Roman" w:hAnsi="Times New Roman" w:cs="Times New Roman"/>
                <w:b w:val="0"/>
                <w:i w:val="0"/>
                <w:sz w:val="15"/>
              </w:rPr>
              <w:t>Representation-learning method for images. The residual is a training signal, not an output; no distributed sensing deployment and no cross-instance comparison.</w:t>
            </w:r>
          </w:p>
        </w:tc>
      </w:tr>
      <w:tr>
        <w:tc>
          <w:tcPr>
            <w:tcW w:type="dxa" w:w="432"/>
          </w:tcPr>
          <w:p>
            <w:pPr>
              <w:spacing w:after="40"/>
              <w:jc w:val="center"/>
            </w:pPr>
            <w:r/>
            <w:r>
              <w:rPr>
                <w:rFonts w:ascii="Times New Roman" w:hAnsi="Times New Roman" w:cs="Times New Roman"/>
                <w:b w:val="0"/>
                <w:i w:val="0"/>
                <w:sz w:val="15"/>
              </w:rPr>
              <w:t>17</w:t>
            </w:r>
          </w:p>
        </w:tc>
        <w:tc>
          <w:tcPr>
            <w:tcW w:type="dxa" w:w="2160"/>
          </w:tcPr>
          <w:p>
            <w:pPr>
              <w:spacing w:after="40"/>
              <w:jc w:val="left"/>
            </w:pPr>
            <w:r/>
            <w:r>
              <w:rPr>
                <w:rFonts w:ascii="Times New Roman" w:hAnsi="Times New Roman" w:cs="Times New Roman"/>
                <w:b w:val="0"/>
                <w:i w:val="0"/>
                <w:sz w:val="15"/>
              </w:rPr>
              <w:t>LeCun — a path towards autonomous machine intelligence</w:t>
            </w:r>
          </w:p>
        </w:tc>
        <w:tc>
          <w:tcPr>
            <w:tcW w:type="dxa" w:w="1008"/>
          </w:tcPr>
          <w:p>
            <w:pPr>
              <w:spacing w:after="40"/>
              <w:jc w:val="center"/>
            </w:pPr>
            <w:r/>
            <w:r>
              <w:rPr>
                <w:rFonts w:ascii="Times New Roman" w:hAnsi="Times New Roman" w:cs="Times New Roman"/>
                <w:b w:val="0"/>
                <w:i w:val="0"/>
                <w:sz w:val="15"/>
              </w:rPr>
              <w:t>2022 / position paper</w:t>
            </w:r>
          </w:p>
        </w:tc>
        <w:tc>
          <w:tcPr>
            <w:tcW w:type="dxa" w:w="2736"/>
          </w:tcPr>
          <w:p>
            <w:pPr>
              <w:spacing w:after="40"/>
              <w:jc w:val="left"/>
            </w:pPr>
            <w:r/>
            <w:r>
              <w:rPr>
                <w:rFonts w:ascii="Times New Roman" w:hAnsi="Times New Roman" w:cs="Times New Roman"/>
                <w:b w:val="0"/>
                <w:i w:val="0"/>
                <w:sz w:val="15"/>
              </w:rPr>
              <w:t>Programmatic argument for joint-embedding predictive architectures as a basis for world models.</w:t>
            </w:r>
          </w:p>
        </w:tc>
        <w:tc>
          <w:tcPr>
            <w:tcW w:type="dxa" w:w="3312"/>
          </w:tcPr>
          <w:p>
            <w:pPr>
              <w:spacing w:after="40"/>
              <w:jc w:val="left"/>
            </w:pPr>
            <w:r/>
            <w:r>
              <w:rPr>
                <w:rFonts w:ascii="Times New Roman" w:hAnsi="Times New Roman" w:cs="Times New Roman"/>
                <w:b w:val="0"/>
                <w:i w:val="0"/>
                <w:sz w:val="15"/>
              </w:rPr>
              <w:t>Architectural proposal. Neither an assessment-integrity system nor a teaching of residual-based detection under per-station label-free calibration.</w:t>
            </w:r>
          </w:p>
        </w:tc>
      </w:tr>
      <w:tr>
        <w:tc>
          <w:tcPr>
            <w:tcW w:type="dxa" w:w="432"/>
          </w:tcPr>
          <w:p>
            <w:pPr>
              <w:spacing w:after="40"/>
              <w:jc w:val="center"/>
            </w:pPr>
            <w:r/>
            <w:r>
              <w:rPr>
                <w:rFonts w:ascii="Times New Roman" w:hAnsi="Times New Roman" w:cs="Times New Roman"/>
                <w:b w:val="0"/>
                <w:i w:val="0"/>
                <w:sz w:val="15"/>
              </w:rPr>
              <w:t>18</w:t>
            </w:r>
          </w:p>
        </w:tc>
        <w:tc>
          <w:tcPr>
            <w:tcW w:type="dxa" w:w="2160"/>
          </w:tcPr>
          <w:p>
            <w:pPr>
              <w:spacing w:after="40"/>
              <w:jc w:val="left"/>
            </w:pPr>
            <w:r/>
            <w:r>
              <w:rPr>
                <w:rFonts w:ascii="Times New Roman" w:hAnsi="Times New Roman" w:cs="Times New Roman"/>
                <w:b w:val="0"/>
                <w:i w:val="0"/>
                <w:sz w:val="15"/>
              </w:rPr>
              <w:t>Deng and Hooi — graph neural network-based anomaly detection in multivariate time series, AAAI 35(5), 4027-4035</w:t>
            </w:r>
          </w:p>
        </w:tc>
        <w:tc>
          <w:tcPr>
            <w:tcW w:type="dxa" w:w="1008"/>
          </w:tcPr>
          <w:p>
            <w:pPr>
              <w:spacing w:after="40"/>
              <w:jc w:val="center"/>
            </w:pPr>
            <w:r/>
            <w:r>
              <w:rPr>
                <w:rFonts w:ascii="Times New Roman" w:hAnsi="Times New Roman" w:cs="Times New Roman"/>
                <w:b w:val="0"/>
                <w:i w:val="0"/>
                <w:sz w:val="15"/>
              </w:rPr>
              <w:t>2021 / conference</w:t>
            </w:r>
          </w:p>
        </w:tc>
        <w:tc>
          <w:tcPr>
            <w:tcW w:type="dxa" w:w="2736"/>
          </w:tcPr>
          <w:p>
            <w:pPr>
              <w:spacing w:after="40"/>
              <w:jc w:val="left"/>
            </w:pPr>
            <w:r/>
            <w:r>
              <w:rPr>
                <w:rFonts w:ascii="Times New Roman" w:hAnsi="Times New Roman" w:cs="Times New Roman"/>
                <w:b w:val="0"/>
                <w:i w:val="0"/>
                <w:sz w:val="15"/>
              </w:rPr>
              <w:t>Learns a graph over the channels of a sensor installation from the data itself, connecting each sensor to those whose behaviour best predicts it. A forecast is made for every channel from its learned neighbours and the deviation from observation is the anomaly score; attention weights permit root-cause attribution.</w:t>
            </w:r>
          </w:p>
        </w:tc>
        <w:tc>
          <w:tcPr>
            <w:tcW w:type="dxa" w:w="3312"/>
          </w:tcPr>
          <w:p>
            <w:pPr>
              <w:spacing w:after="40"/>
              <w:jc w:val="left"/>
            </w:pPr>
            <w:r/>
            <w:r>
              <w:rPr>
                <w:rFonts w:ascii="Times New Roman" w:hAnsi="Times New Roman" w:cs="Times New Roman"/>
                <w:b w:val="0"/>
                <w:i w:val="0"/>
                <w:sz w:val="15"/>
              </w:rPr>
              <w:t>Discloses learned inter-channel structure, a prediction-deviation score, and per-channel attribution. The nodes are channels of one instrumented process, in which correlation between nodes is the normal and expected structure and an anomaly is a departure from it. The present invention inverts that premise. It does not disclose a coupling statistic between nodes whose predictive models are established separately at each node; nor estimation and subtraction of a venue-wide component before pairwise coupling is evaluated; nor an instrumented node held unoccupied to supply that reference.</w:t>
            </w:r>
          </w:p>
        </w:tc>
      </w:tr>
      <w:tr>
        <w:tc>
          <w:tcPr>
            <w:tcW w:type="dxa" w:w="432"/>
          </w:tcPr>
          <w:p>
            <w:pPr>
              <w:spacing w:after="40"/>
              <w:jc w:val="center"/>
            </w:pPr>
            <w:r/>
            <w:r>
              <w:rPr>
                <w:rFonts w:ascii="Times New Roman" w:hAnsi="Times New Roman" w:cs="Times New Roman"/>
                <w:b w:val="0"/>
                <w:i w:val="0"/>
                <w:sz w:val="15"/>
              </w:rPr>
              <w:t>19</w:t>
            </w:r>
          </w:p>
        </w:tc>
        <w:tc>
          <w:tcPr>
            <w:tcW w:type="dxa" w:w="2160"/>
          </w:tcPr>
          <w:p>
            <w:pPr>
              <w:spacing w:after="40"/>
              <w:jc w:val="left"/>
            </w:pPr>
            <w:r/>
            <w:r>
              <w:rPr>
                <w:rFonts w:ascii="Times New Roman" w:hAnsi="Times New Roman" w:cs="Times New Roman"/>
                <w:b w:val="0"/>
                <w:i w:val="0"/>
                <w:sz w:val="15"/>
              </w:rPr>
              <w:t>Zheng, Koh, Jin, Chi and others — correlation-aware spatial-temporal graph learning for multivariate time-series anomaly detection, IEEE TNNLS (arXiv:2307.08390)</w:t>
            </w:r>
          </w:p>
        </w:tc>
        <w:tc>
          <w:tcPr>
            <w:tcW w:type="dxa" w:w="1008"/>
          </w:tcPr>
          <w:p>
            <w:pPr>
              <w:spacing w:after="40"/>
              <w:jc w:val="center"/>
            </w:pPr>
            <w:r/>
            <w:r>
              <w:rPr>
                <w:rFonts w:ascii="Times New Roman" w:hAnsi="Times New Roman" w:cs="Times New Roman"/>
                <w:b w:val="0"/>
                <w:i w:val="0"/>
                <w:sz w:val="15"/>
              </w:rPr>
              <w:t>2023 / journal</w:t>
            </w:r>
          </w:p>
        </w:tc>
        <w:tc>
          <w:tcPr>
            <w:tcW w:type="dxa" w:w="2736"/>
          </w:tcPr>
          <w:p>
            <w:pPr>
              <w:spacing w:after="40"/>
              <w:jc w:val="left"/>
            </w:pPr>
            <w:r/>
            <w:r>
              <w:rPr>
                <w:rFonts w:ascii="Times New Roman" w:hAnsi="Times New Roman" w:cs="Times New Roman"/>
                <w:b w:val="0"/>
                <w:i w:val="0"/>
                <w:sz w:val="15"/>
              </w:rPr>
              <w:t>A correlation-learning module infers pairwise correlations between series, over which a spatial-temporal graph network is built; detection is evaluated at a configurable set of temporal delays, so a disturbance propagating between nodes can be caught at non-zero lag.</w:t>
            </w:r>
          </w:p>
        </w:tc>
        <w:tc>
          <w:tcPr>
            <w:tcW w:type="dxa" w:w="3312"/>
          </w:tcPr>
          <w:p>
            <w:pPr>
              <w:spacing w:after="40"/>
              <w:jc w:val="left"/>
            </w:pPr>
            <w:r/>
            <w:r>
              <w:rPr>
                <w:rFonts w:ascii="Times New Roman" w:hAnsi="Times New Roman" w:cs="Times New Roman"/>
                <w:b w:val="0"/>
                <w:i w:val="0"/>
                <w:sz w:val="15"/>
              </w:rPr>
              <w:t>The closest reference to the cross-station embodiment and acknowledged as such. Pairwise correlation learning between separately sensed series at configured non-zero delays is conceded to correspond to the time-lagged coupling step taken by itself. What is not disclosed is the arrangement that makes it meaningful: nodes that are independently occupied stations for which mutual coupling has no legitimate cause; estimation and removal of a venue-wide common component; an unoccupied instrumented node supplying part of that reference; a per-pair sanctioned-activity baseline against which coupling is judged; and a bound on inter-node timing tolerance relative to the shortest evaluated lag.</w:t>
            </w:r>
          </w:p>
        </w:tc>
      </w:tr>
      <w:tr>
        <w:tc>
          <w:tcPr>
            <w:tcW w:type="dxa" w:w="432"/>
          </w:tcPr>
          <w:p>
            <w:pPr>
              <w:spacing w:after="40"/>
              <w:jc w:val="center"/>
            </w:pPr>
            <w:r/>
            <w:r>
              <w:rPr>
                <w:rFonts w:ascii="Times New Roman" w:hAnsi="Times New Roman" w:cs="Times New Roman"/>
                <w:b w:val="0"/>
                <w:i w:val="0"/>
                <w:sz w:val="15"/>
              </w:rPr>
              <w:t>20</w:t>
            </w:r>
          </w:p>
        </w:tc>
        <w:tc>
          <w:tcPr>
            <w:tcW w:type="dxa" w:w="2160"/>
          </w:tcPr>
          <w:p>
            <w:pPr>
              <w:spacing w:after="40"/>
              <w:jc w:val="left"/>
            </w:pPr>
            <w:r/>
            <w:r>
              <w:rPr>
                <w:rFonts w:ascii="Times New Roman" w:hAnsi="Times New Roman" w:cs="Times New Roman"/>
                <w:b w:val="0"/>
                <w:i w:val="0"/>
                <w:sz w:val="15"/>
              </w:rPr>
              <w:t>Common-mode suppression across sensor arrays — representative: Rost and Thomas, array seismology, Reviews of Geophysics 40(3), doi 10.1029/2000RG000100; with common-average referencing in multichannel electroencephalography and common-mode rejection in differential instrumentation amplifiers</w:t>
            </w:r>
          </w:p>
        </w:tc>
        <w:tc>
          <w:tcPr>
            <w:tcW w:type="dxa" w:w="1008"/>
          </w:tcPr>
          <w:p>
            <w:pPr>
              <w:spacing w:after="40"/>
              <w:jc w:val="center"/>
            </w:pPr>
            <w:r/>
            <w:r>
              <w:rPr>
                <w:rFonts w:ascii="Times New Roman" w:hAnsi="Times New Roman" w:cs="Times New Roman"/>
                <w:b w:val="0"/>
                <w:i w:val="0"/>
                <w:sz w:val="15"/>
              </w:rPr>
              <w:t>2002 and earlier / review and general practice</w:t>
            </w:r>
          </w:p>
        </w:tc>
        <w:tc>
          <w:tcPr>
            <w:tcW w:type="dxa" w:w="2736"/>
          </w:tcPr>
          <w:p>
            <w:pPr>
              <w:spacing w:after="40"/>
              <w:jc w:val="left"/>
            </w:pPr>
            <w:r/>
            <w:r>
              <w:rPr>
                <w:rFonts w:ascii="Times New Roman" w:hAnsi="Times New Roman" w:cs="Times New Roman"/>
                <w:b w:val="0"/>
                <w:i w:val="0"/>
                <w:sz w:val="15"/>
              </w:rPr>
              <w:t>Where several like sensors observe a shared environment, a component common to all channels is estimated — by summation and beam-forming across the array, by referencing each channel to the average of all channels, or by differential measurement — and suppressed, so that the component peculiar to one channel can be resolved above it.</w:t>
            </w:r>
          </w:p>
        </w:tc>
        <w:tc>
          <w:tcPr>
            <w:tcW w:type="dxa" w:w="3312"/>
          </w:tcPr>
          <w:p>
            <w:pPr>
              <w:spacing w:after="40"/>
              <w:jc w:val="left"/>
            </w:pPr>
            <w:r/>
            <w:r>
              <w:rPr>
                <w:rFonts w:ascii="Times New Roman" w:hAnsi="Times New Roman" w:cs="Times New Roman"/>
                <w:b w:val="0"/>
                <w:i w:val="0"/>
                <w:sz w:val="15"/>
              </w:rPr>
              <w:t>Cited by the applicant, not against it. Common-mode suppression as a technique is conceded to be ordinary and no protection is sought for it as such. In the cited practice the array observes one field and the common component is instrument or environmental noise on a physical measurement. Here the quantity referenced across the array is the prediction residual of a model established separately at each station, the reference is formed across stations otherwise modelled independently, one of which is held unoccupied for the purpose, and the step is a precondition for a relational quantity that exists at no single station rather than an improvement to a single-station estimate.</w:t>
            </w:r>
          </w:p>
        </w:tc>
      </w:tr>
      <w:tr>
        <w:tc>
          <w:tcPr>
            <w:tcW w:type="dxa" w:w="432"/>
          </w:tcPr>
          <w:p>
            <w:pPr>
              <w:keepNext/>
              <w:spacing w:after="40"/>
              <w:jc w:val="center"/>
            </w:pPr>
            <w:r/>
            <w:r>
              <w:rPr>
                <w:rFonts w:ascii="Times New Roman" w:hAnsi="Times New Roman" w:cs="Times New Roman"/>
                <w:b w:val="0"/>
                <w:i w:val="0"/>
                <w:sz w:val="15"/>
              </w:rPr>
              <w:t>21</w:t>
            </w:r>
          </w:p>
        </w:tc>
        <w:tc>
          <w:tcPr>
            <w:tcW w:type="dxa" w:w="2160"/>
          </w:tcPr>
          <w:p>
            <w:pPr>
              <w:keepNext/>
              <w:spacing w:after="40"/>
              <w:jc w:val="left"/>
            </w:pPr>
            <w:r/>
            <w:r>
              <w:rPr>
                <w:rFonts w:ascii="Times New Roman" w:hAnsi="Times New Roman" w:cs="Times New Roman"/>
                <w:b w:val="0"/>
                <w:i w:val="0"/>
                <w:sz w:val="15"/>
              </w:rPr>
              <w:t>Tuli, Casale and Jennings — TranAD: deep transformer networks for anomaly detection in multivariate time series data, Proceedings of the VLDB Endowment 15(6)</w:t>
            </w:r>
          </w:p>
        </w:tc>
        <w:tc>
          <w:tcPr>
            <w:tcW w:type="dxa" w:w="1008"/>
          </w:tcPr>
          <w:p>
            <w:pPr>
              <w:keepNext/>
              <w:spacing w:after="40"/>
              <w:jc w:val="center"/>
            </w:pPr>
            <w:r/>
            <w:r>
              <w:rPr>
                <w:rFonts w:ascii="Times New Roman" w:hAnsi="Times New Roman" w:cs="Times New Roman"/>
                <w:b w:val="0"/>
                <w:i w:val="0"/>
                <w:sz w:val="15"/>
              </w:rPr>
              <w:t>2022 / conference</w:t>
            </w:r>
          </w:p>
        </w:tc>
        <w:tc>
          <w:tcPr>
            <w:tcW w:type="dxa" w:w="2736"/>
          </w:tcPr>
          <w:p>
            <w:pPr>
              <w:keepNext/>
              <w:spacing w:after="40"/>
              <w:jc w:val="left"/>
            </w:pPr>
            <w:r/>
            <w:r>
              <w:rPr>
                <w:rFonts w:ascii="Times New Roman" w:hAnsi="Times New Roman" w:cs="Times New Roman"/>
                <w:b w:val="0"/>
                <w:i w:val="0"/>
                <w:sz w:val="15"/>
              </w:rPr>
              <w:t>A transformer encoder-decoder trained on normal multivariate sequences, with self-conditioning on a first-pass reconstruction and an adversarial second stage that amplifies small deviations.</w:t>
            </w:r>
          </w:p>
        </w:tc>
        <w:tc>
          <w:tcPr>
            <w:tcW w:type="dxa" w:w="3312"/>
          </w:tcPr>
          <w:p>
            <w:pPr>
              <w:keepNext/>
              <w:spacing w:after="40"/>
              <w:jc w:val="left"/>
            </w:pPr>
            <w:r/>
            <w:r>
              <w:rPr>
                <w:rFonts w:ascii="Times New Roman" w:hAnsi="Times New Roman" w:cs="Times New Roman"/>
                <w:b w:val="0"/>
                <w:i w:val="0"/>
                <w:sz w:val="15"/>
              </w:rPr>
              <w:t>Included so that the general prediction-error art is represented at its current state rather than at its 2018 state. Single-instance in the same sense as entries 12 to 14: no per-station calibration under non-stationary ambient conditions, no fusion across heterogeneous physical modalities, and no teaching of a relational quantity computed between separately deployed instances. The present invention is deliberately agnostic to which such predictor is used; the contribution claimed lies in the arrangement around it.</w:t>
            </w:r>
          </w:p>
        </w:tc>
      </w:tr>
    </w:tbl>
    <w:p>
      <w:pPr>
        <w:spacing w:before="60" w:after="240"/>
        <w:jc w:val="center"/>
      </w:pPr>
      <w:r>
        <w:rPr>
          <w:rFonts w:ascii="Times New Roman" w:hAnsi="Times New Roman" w:cs="Times New Roman"/>
          <w:b/>
          <w:i w:val="0"/>
          <w:sz w:val="21"/>
        </w:rPr>
        <w:t>Table 1: Prior Art Considered and the Gap Addressed</w:t>
      </w:r>
    </w:p>
    <w:p>
      <w:pPr>
        <w:spacing w:after="140" w:line="274" w:lineRule="auto"/>
        <w:jc w:val="both"/>
      </w:pPr>
      <w:r>
        <w:rPr>
          <w:rFonts w:ascii="Times New Roman" w:hAnsi="Times New Roman" w:cs="Times New Roman"/>
          <w:b w:val="0"/>
          <w:i w:val="0"/>
          <w:sz w:val="22"/>
        </w:rPr>
        <w:t>The search covered patent literature through Google Patents and Espacenet, and the peer-reviewed literature in educational measurement, multimedia analytics and machine learning. The common limitation across the supervised approaches at entries 1, 3, 6, 8 and 9 is a dependence on labelled malpractice data. Genuine cheating is rare, adversarial, and deliberately concealed, so a representative labelled corpus of malpractice cannot be assembled in practice. A detector trained on such data recognises the specific cheating methods that were staged and labelled and does not generalise to novel methods.</w:t>
      </w:r>
    </w:p>
    <w:p>
      <w:pPr>
        <w:spacing w:after="140" w:line="274" w:lineRule="auto"/>
        <w:jc w:val="both"/>
      </w:pPr>
      <w:r>
        <w:rPr>
          <w:rFonts w:ascii="Times New Roman" w:hAnsi="Times New Roman" w:cs="Times New Roman"/>
          <w:b w:val="0"/>
          <w:i w:val="0"/>
          <w:sz w:val="22"/>
        </w:rPr>
        <w:t>The general techniques at entries 12 to 17 and 21 supply components but not the invention. Prediction-error anomaly detection is known in the abstract. What is not known, and what is claimed here, is its application as a per-station integrity score under per-station, per-session label-free calibration, fused across heterogeneous physical sensing modalities, and used as the input to a relational quantity computed between stations. Entries 10 and 11 warrant separate treatment because they address collusion directly and are the only assessment-domain prior art that does. Both belong to psychometric forensics: they infer collusion from similarity between completed answer vectors after the examination has ended. That approach detects a statistical trace of copying rather than the conduct producing it, cannot distinguish copying from shared preparation or a leaked paper, yields nothing about device use, and by construction permits no intervention while the examination is running.</w:t>
      </w:r>
    </w:p>
    <w:p>
      <w:pPr>
        <w:spacing w:after="140" w:line="274" w:lineRule="auto"/>
        <w:jc w:val="both"/>
      </w:pPr>
      <w:r>
        <w:rPr>
          <w:rFonts w:ascii="Times New Roman" w:hAnsi="Times New Roman" w:cs="Times New Roman"/>
          <w:b w:val="0"/>
          <w:i w:val="0"/>
          <w:sz w:val="22"/>
        </w:rPr>
        <w:t>Entries 18 and 19 require the closest attention, because they are the only located art that derives a relational quantity between separately sensed streams. Both learn a structure over nodes and score deviation from it, and entry 19 evaluates correlation at configured non-zero delays. The correspondence is conceded rather than minimised. The distinction is one of premise. In both references the nodes are channels of a single instrumented process, mutual correlation between them is the normal structure the model is built to learn, and an anomaly is a departure from that learned correlation. In the present invention the nodes are separately occupied stations at which sanctioned activity gives rise to no mutual coupling whatever, so that a coupling which persists after the venue-wide component has been removed is not a departure from the model but the detection itself. That inversion is what makes the remaining elements necessary rather than optional: predictive models established separately at each station, because a single model shared across the stations injects its own error into every stream and manufactures coupling where none exists; an estimate of the component common to the whole venue, because stations share a room and the most frequent cause of simultaneous residual elevation is an event common to it; an instrumented station held unoccupied, because that estimate needs a reference carrying no candidate; a baseline measured on each station pair during sanctioned activity, because the fixed geometry of a room produces a standing coupling that is not coordination; and a bound on inter-station timing tolerance, because a lag of one to three seconds cannot be resolved by clocks disagreeing by more than a fraction of it. None of entries 1 to 21 discloses any of those five, alone or in combination.</w:t>
      </w:r>
    </w:p>
    <w:p>
      <w:pPr>
        <w:keepNext/>
        <w:spacing w:before="320" w:after="120"/>
        <w:outlineLvl w:val="0"/>
      </w:pPr>
      <w:r>
        <w:rPr>
          <w:rFonts w:ascii="Times New Roman" w:hAnsi="Times New Roman" w:cs="Times New Roman"/>
          <w:b/>
          <w:i w:val="0"/>
          <w:sz w:val="26"/>
        </w:rPr>
        <w:t>4. Summary and Background of the Invention (Gap / Novelty)</w:t>
      </w:r>
    </w:p>
    <w:p>
      <w:pPr>
        <w:spacing w:after="140" w:line="274" w:lineRule="auto"/>
        <w:jc w:val="both"/>
      </w:pPr>
      <w:r>
        <w:rPr>
          <w:rFonts w:ascii="Times New Roman" w:hAnsi="Times New Roman" w:cs="Times New Roman"/>
          <w:b w:val="0"/>
          <w:i w:val="0"/>
          <w:sz w:val="22"/>
        </w:rPr>
        <w:t>Examination malpractice has grown more sophisticated with the miniaturisation of electronics. Concealed micro-earpieces, smartwatches, and short-range wireless accessories are difficult to detect by inspection, and supervised detection systems face a data problem that cannot be solved by collecting more data: there is no large, representative, labelled corpus of cheating, and there will not be one, because cheating is rare and actively hidden. Any system trained to recognise cheating from labelled examples is confined to the behaviours it was shown.</w:t>
      </w:r>
    </w:p>
    <w:p>
      <w:pPr>
        <w:spacing w:after="140" w:line="274" w:lineRule="auto"/>
        <w:jc w:val="both"/>
      </w:pPr>
      <w:r>
        <w:rPr>
          <w:rFonts w:ascii="Times New Roman" w:hAnsi="Times New Roman" w:cs="Times New Roman"/>
          <w:b w:val="0"/>
          <w:i w:val="0"/>
          <w:sz w:val="22"/>
        </w:rPr>
        <w:t>The present invention removes that dependence. Each station is modelled from recordings of sanctioned activity, which are abundant and require no labelling. A predictive model learns to anticipate the near-future state of that station signal streams from their recent past. During a monitored session, the error between the prediction and the observation — the prediction residual — serves as the integrity-violation score. Because the model has only ever been shown sanctioned activity, activity unlike it, including methods never anticipated, produces an elevated residual. The impossible task of collecting every kind of violation is thus replaced by the routine one of observing ordinary behaviour.</w:t>
      </w:r>
    </w:p>
    <w:p>
      <w:pPr>
        <w:spacing w:before="160" w:after="40"/>
        <w:jc w:val="center"/>
      </w:pPr>
      <w:r>
        <w:drawing>
          <wp:inline xmlns:a="http://schemas.openxmlformats.org/drawingml/2006/main" xmlns:pic="http://schemas.openxmlformats.org/drawingml/2006/picture">
            <wp:extent cx="5577840" cy="2437681"/>
            <wp:docPr id="2" name="Picture 2"/>
            <wp:cNvGraphicFramePr>
              <a:graphicFrameLocks noChangeAspect="1"/>
            </wp:cNvGraphicFramePr>
            <a:graphic>
              <a:graphicData uri="http://schemas.openxmlformats.org/drawingml/2006/picture">
                <pic:pic>
                  <pic:nvPicPr>
                    <pic:cNvPr id="0" name="fig01.png"/>
                    <pic:cNvPicPr/>
                  </pic:nvPicPr>
                  <pic:blipFill>
                    <a:blip r:embed="rId12"/>
                    <a:stretch>
                      <a:fillRect/>
                    </a:stretch>
                  </pic:blipFill>
                  <pic:spPr>
                    <a:xfrm>
                      <a:off x="0" y="0"/>
                      <a:ext cx="5577840" cy="2437681"/>
                    </a:xfrm>
                    <a:prstGeom prst="rect"/>
                  </pic:spPr>
                </pic:pic>
              </a:graphicData>
            </a:graphic>
          </wp:inline>
        </w:drawing>
      </w:r>
    </w:p>
    <w:p>
      <w:pPr>
        <w:spacing w:before="80" w:after="240"/>
        <w:jc w:val="center"/>
      </w:pPr>
      <w:r>
        <w:rPr>
          <w:rFonts w:ascii="Arial" w:hAnsi="Arial" w:cs="Arial"/>
          <w:b/>
          <w:i w:val="0"/>
          <w:sz w:val="19"/>
        </w:rPr>
        <w:t>Figure 1.</w:t>
      </w:r>
      <w:r>
        <w:rPr>
          <w:rFonts w:ascii="Arial" w:hAnsi="Arial" w:cs="Arial"/>
          <w:b w:val="0"/>
          <w:i w:val="0"/>
          <w:sz w:val="19"/>
        </w:rPr>
        <w:t xml:space="preserve"> The data problem and its removal. The supervised prior art depends on an annotation step that cannot be performed at scale, because genuine malpractice is rare, adversarial and concealed; the present invention removes that step by construction, modelling sanctioned activity alone and scoring deviation from it.</w:t>
      </w:r>
    </w:p>
    <w:p>
      <w:pPr>
        <w:spacing w:after="140" w:line="274" w:lineRule="auto"/>
        <w:jc w:val="both"/>
      </w:pPr>
      <w:r>
        <w:rPr>
          <w:rFonts w:ascii="Times New Roman" w:hAnsi="Times New Roman" w:cs="Times New Roman"/>
          <w:b w:val="0"/>
          <w:i w:val="0"/>
          <w:sz w:val="22"/>
        </w:rPr>
        <w:t>Removing the labels is the precondition of the invention rather than its substance. What is claimed is the arrangement built on top of it. An installation comprises a plurality of candidate stations, each carrying its own sensing assembly and its own predictive model and calibration statistics; at least one station of like construction deliberately held unoccupied; a time-synchronisation arrangement holding all of them to a common time base within a bounded tolerance; and a processing arrangement that estimates the residual component common to the venue, removes it, and then evaluates a time-lagged coupling statistic between pairs of candidate stations against a baseline measured on that same pair during sanctioned activity. Coupling that survives all of those steps is the detection. On satisfying the coordination condition the installation re-tasks the sensing assemblies of the implicated pair alone, for a bounded interval, into a second acquisition state.</w:t>
      </w:r>
    </w:p>
    <w:p>
      <w:pPr>
        <w:keepNext/>
        <w:spacing w:before="220" w:after="80"/>
        <w:outlineLvl w:val="1"/>
      </w:pPr>
      <w:r>
        <w:rPr>
          <w:rFonts w:ascii="Times New Roman" w:hAnsi="Times New Roman" w:cs="Times New Roman"/>
          <w:b/>
          <w:i w:val="0"/>
          <w:sz w:val="23"/>
        </w:rPr>
        <w:t>4.1 Statement of Inventive Step (Non-Obviousness)</w:t>
      </w:r>
    </w:p>
    <w:p>
      <w:pPr>
        <w:spacing w:after="140" w:line="274" w:lineRule="auto"/>
        <w:jc w:val="both"/>
      </w:pPr>
      <w:r>
        <w:rPr>
          <w:rFonts w:ascii="Times New Roman" w:hAnsi="Times New Roman" w:cs="Times New Roman"/>
          <w:b w:val="0"/>
          <w:i w:val="0"/>
          <w:sz w:val="22"/>
        </w:rPr>
        <w:t>The inventive step does not reside in any single element taken alone. Anomaly detection by prediction error is known in other fields, as is self-supervised predictive representation learning, and the suppression of a component common to an array of like sensors is ordinary instrumentation practice. The invention resides in the combination of the following seven elements, and in technical effects that no element produces on its own:</w:t>
      </w:r>
    </w:p>
    <w:p>
      <w:pPr>
        <w:spacing w:after="140" w:line="274" w:lineRule="auto"/>
        <w:ind w:left="403"/>
        <w:jc w:val="both"/>
      </w:pPr>
      <w:r>
        <w:rPr>
          <w:rFonts w:ascii="Times New Roman" w:hAnsi="Times New Roman" w:cs="Times New Roman"/>
          <w:b/>
          <w:i w:val="0"/>
          <w:sz w:val="21"/>
        </w:rPr>
        <w:t xml:space="preserve">(a) </w:t>
      </w:r>
      <w:r>
        <w:rPr>
          <w:rFonts w:ascii="Times New Roman" w:hAnsi="Times New Roman" w:cs="Times New Roman"/>
          <w:b w:val="0"/>
          <w:i w:val="0"/>
          <w:sz w:val="21"/>
        </w:rPr>
        <w:t>a predictive model trained exclusively on sanctioned activity, so that the training corpus is abundant and the detector responds to violation methods never anticipated at design time;</w:t>
      </w:r>
    </w:p>
    <w:p>
      <w:pPr>
        <w:spacing w:after="140" w:line="274" w:lineRule="auto"/>
        <w:ind w:left="403"/>
        <w:jc w:val="both"/>
      </w:pPr>
      <w:r>
        <w:rPr>
          <w:rFonts w:ascii="Times New Roman" w:hAnsi="Times New Roman" w:cs="Times New Roman"/>
          <w:b/>
          <w:i w:val="0"/>
          <w:sz w:val="21"/>
        </w:rPr>
        <w:t xml:space="preserve">(b) </w:t>
      </w:r>
      <w:r>
        <w:rPr>
          <w:rFonts w:ascii="Times New Roman" w:hAnsi="Times New Roman" w:cs="Times New Roman"/>
          <w:b w:val="0"/>
          <w:i w:val="0"/>
          <w:sz w:val="21"/>
        </w:rPr>
        <w:t>use of the prediction residual directly as a live integrity score, rather than as an auxiliary training signal for a downstream classifier;</w:t>
      </w:r>
    </w:p>
    <w:p>
      <w:pPr>
        <w:spacing w:after="140" w:line="274" w:lineRule="auto"/>
        <w:ind w:left="403"/>
        <w:jc w:val="both"/>
      </w:pPr>
      <w:r>
        <w:rPr>
          <w:rFonts w:ascii="Times New Roman" w:hAnsi="Times New Roman" w:cs="Times New Roman"/>
          <w:b/>
          <w:i w:val="0"/>
          <w:sz w:val="21"/>
        </w:rPr>
        <w:t xml:space="preserve">(c) </w:t>
      </w:r>
      <w:r>
        <w:rPr>
          <w:rFonts w:ascii="Times New Roman" w:hAnsi="Times New Roman" w:cs="Times New Roman"/>
          <w:b w:val="0"/>
          <w:i w:val="0"/>
          <w:sz w:val="21"/>
        </w:rPr>
        <w:t>establishment of that model and of the statistics against which its residual is standardised separately at each station, from an interval of sanctioned activity at that same station, which calibrates the detector to local ambient conditions without any labelled data;</w:t>
      </w:r>
    </w:p>
    <w:p>
      <w:pPr>
        <w:spacing w:after="140" w:line="274" w:lineRule="auto"/>
        <w:ind w:left="403"/>
        <w:jc w:val="both"/>
      </w:pPr>
      <w:r>
        <w:rPr>
          <w:rFonts w:ascii="Times New Roman" w:hAnsi="Times New Roman" w:cs="Times New Roman"/>
          <w:b/>
          <w:i w:val="0"/>
          <w:sz w:val="21"/>
        </w:rPr>
        <w:t xml:space="preserve">(d) </w:t>
      </w:r>
      <w:r>
        <w:rPr>
          <w:rFonts w:ascii="Times New Roman" w:hAnsi="Times New Roman" w:cs="Times New Roman"/>
          <w:b w:val="0"/>
          <w:i w:val="0"/>
          <w:sz w:val="21"/>
        </w:rPr>
        <w:t>fusion of residuals across heterogeneous physical sensing modalities, so that violation methods manifesting in different channels are covered by one score;</w:t>
      </w:r>
    </w:p>
    <w:p>
      <w:pPr>
        <w:spacing w:after="140" w:line="274" w:lineRule="auto"/>
        <w:ind w:left="403"/>
        <w:jc w:val="both"/>
      </w:pPr>
      <w:r>
        <w:rPr>
          <w:rFonts w:ascii="Times New Roman" w:hAnsi="Times New Roman" w:cs="Times New Roman"/>
          <w:b/>
          <w:i w:val="0"/>
          <w:sz w:val="21"/>
        </w:rPr>
        <w:t xml:space="preserve">(e) </w:t>
      </w:r>
      <w:r>
        <w:rPr>
          <w:rFonts w:ascii="Times New Roman" w:hAnsi="Times New Roman" w:cs="Times New Roman"/>
          <w:b w:val="0"/>
          <w:i w:val="0"/>
          <w:sz w:val="21"/>
        </w:rPr>
        <w:t>time-lagged correlation of residual time-series between spatially proximate stations, the residual time-series of each station being generated by a model established at that station;</w:t>
      </w:r>
    </w:p>
    <w:p>
      <w:pPr>
        <w:spacing w:after="140" w:line="274" w:lineRule="auto"/>
        <w:ind w:left="403"/>
        <w:jc w:val="both"/>
      </w:pPr>
      <w:r>
        <w:rPr>
          <w:rFonts w:ascii="Times New Roman" w:hAnsi="Times New Roman" w:cs="Times New Roman"/>
          <w:b/>
          <w:i w:val="0"/>
          <w:sz w:val="21"/>
        </w:rPr>
        <w:t xml:space="preserve">(f) </w:t>
      </w:r>
      <w:r>
        <w:rPr>
          <w:rFonts w:ascii="Times New Roman" w:hAnsi="Times New Roman" w:cs="Times New Roman"/>
          <w:b w:val="0"/>
          <w:i w:val="0"/>
          <w:sz w:val="21"/>
        </w:rPr>
        <w:t>suppression of a venue-wide common-mode residual component prior to that correlation, derived from a robust central statistic across the stations, from at least one instrumented but unoccupied reference station, or from both, so that the coordination condition responds only to coupling specific to a station pair; and</w:t>
      </w:r>
    </w:p>
    <w:p>
      <w:pPr>
        <w:spacing w:after="140" w:line="274" w:lineRule="auto"/>
        <w:ind w:left="403"/>
        <w:jc w:val="both"/>
      </w:pPr>
      <w:r>
        <w:rPr>
          <w:rFonts w:ascii="Times New Roman" w:hAnsi="Times New Roman" w:cs="Times New Roman"/>
          <w:b/>
          <w:i w:val="0"/>
          <w:sz w:val="21"/>
        </w:rPr>
        <w:t xml:space="preserve">(g) </w:t>
      </w:r>
      <w:r>
        <w:rPr>
          <w:rFonts w:ascii="Times New Roman" w:hAnsi="Times New Roman" w:cs="Times New Roman"/>
          <w:b w:val="0"/>
          <w:i w:val="0"/>
          <w:sz w:val="21"/>
        </w:rPr>
        <w:t>maintenance of timing alignment between the residual time-series of different stations within a tolerance bounded by the shortest lag at which the correlation is evaluated, without which a pair coupling and a venue-wide event are not separable.</w:t>
      </w:r>
    </w:p>
    <w:p>
      <w:pPr>
        <w:spacing w:after="140" w:line="274" w:lineRule="auto"/>
        <w:jc w:val="both"/>
      </w:pPr>
      <w:r>
        <w:rPr>
          <w:rFonts w:ascii="Times New Roman" w:hAnsi="Times New Roman" w:cs="Times New Roman"/>
          <w:b w:val="0"/>
          <w:i w:val="0"/>
          <w:sz w:val="22"/>
        </w:rPr>
        <w:t>Estimating and subtracting a component common to an array of like sensors is, as element (f) is drafted, ordinary instrumentation practice, and it is not claimed as such. Entry 20 of Section 3 sets out that practice in seismic array processing, in common-average referencing across electroencephalographic channels, and in the common-mode rejection of differential instrumentation amplifiers. What is claimed is its application to the prediction residual of a model established separately at each station rather than to a physical measurement, its formation in part from a station deliberately held unoccupied, and its use as a precondition for a relational quantity between stations rather than as an improvement to a single-station one.</w:t>
      </w:r>
    </w:p>
    <w:p>
      <w:pPr>
        <w:spacing w:after="140" w:line="274" w:lineRule="auto"/>
        <w:jc w:val="both"/>
      </w:pPr>
      <w:r>
        <w:rPr>
          <w:rFonts w:ascii="Times New Roman" w:hAnsi="Times New Roman" w:cs="Times New Roman"/>
          <w:b w:val="0"/>
          <w:i w:val="0"/>
          <w:sz w:val="22"/>
        </w:rPr>
        <w:t>The synergy is specifically this. Element (e) is available only in combination with element (f), and is defeated rather than assisted by the arrangement a skilled person would be expected to adopt. Collusion is a relational phenomenon; every prior system listed at entries 1 to 9 of Section 3 scores candidates in isolation and is structurally incapable of observing it, while entries 10 and 11 observe it only after the event and from the answers rather than from the conduct. A coupling computed between station residual streams is a channel that exists at no single station. That channel is not, however, available merely by computing it. Stations in a venue share an environment, so the most frequent cause of simultaneous residual elevation at neighbouring stations is not coordination but an event common to the room. Measured on eleven independently instrumented stations, a venue-wide event raises the mean pairwise coupling across all fifty-five station pairs from 0.061 to 0.334, and a genuinely coupled pair — although it then carries the highest raw coupling in the venue — is identified first out of fifty-five in only one trial in ten, because the venue-wide event lifts every pair with it. Estimating and subtracting the component common to the venue restores that identification to six trials in ten and raises the ranking accuracy from 0.632 to 0.983. Element (f) is a precondition of the validity of element (e), not an optimisation of it.</w:t>
      </w:r>
    </w:p>
    <w:p>
      <w:pPr>
        <w:spacing w:after="140" w:line="274" w:lineRule="auto"/>
        <w:jc w:val="both"/>
      </w:pPr>
      <w:r>
        <w:rPr>
          <w:rFonts w:ascii="Times New Roman" w:hAnsi="Times New Roman" w:cs="Times New Roman"/>
          <w:b w:val="0"/>
          <w:i w:val="0"/>
          <w:sz w:val="22"/>
        </w:rPr>
        <w:t>A second and less expected condition governs the same channel, and it is the reason element (c) is drafted as it is. The residual streams to be correlated must be generated by predictive models established separately at each station. Applying one model in common across the stations, which is the arrangement a person skilled in the art would naturally adopt for economy and for uniformity of scale, introduces into every stream the error peculiar to that one model, and that error is shared across the stations by construction. It appears as coupling at every station pair and cannot be removed by a reference formed from the same stations, because it is itself part of what that reference measures. The effect is not marginal. With no coordinated activity present at all, forming the reference across stations scored by a common model raises mean pairwise coupling from 0.074 to 0.132, and the coupled pair is identified in none of twenty trials at any setting tested, the ranking accuracy remaining between 0.516 and 0.559 — that is, indistinguishable from chance. Station-local models under the same conditions reach 0.983. The arrangement claimed departs from the expedient a skilled person would adopt, and the departure is what makes the channel work.</w:t>
      </w:r>
    </w:p>
    <w:p>
      <w:pPr>
        <w:spacing w:after="140" w:line="274" w:lineRule="auto"/>
        <w:jc w:val="both"/>
      </w:pPr>
      <w:r>
        <w:rPr>
          <w:rFonts w:ascii="Times New Roman" w:hAnsi="Times New Roman" w:cs="Times New Roman"/>
          <w:b w:val="0"/>
          <w:i w:val="0"/>
          <w:sz w:val="22"/>
        </w:rPr>
        <w:t>Element (g) is not asserted. Measured on a coupling lag of two reporting intervals, ranking accuracy holds at 0.992, 0.987 and 0.981 for inter-station timing errors of zero, one half and one times that lag, falls to 0.954 at one and a half times, and to 0.726 at four times; identification of the coupled pair falls over the same range from 0.75 to 0.15. The tolerance recited in the claims is therefore expressed as a fraction of the shortest evaluated lag rather than as an absolute interval, which makes it independent of the station reporting rate.</w:t>
      </w:r>
    </w:p>
    <w:p>
      <w:pPr>
        <w:spacing w:after="140" w:line="274" w:lineRule="auto"/>
        <w:jc w:val="both"/>
      </w:pPr>
      <w:r>
        <w:rPr>
          <w:rFonts w:ascii="Times New Roman" w:hAnsi="Times New Roman" w:cs="Times New Roman"/>
          <w:b w:val="0"/>
          <w:i w:val="0"/>
          <w:sz w:val="22"/>
        </w:rPr>
        <w:t>A further effect follows from the same architecture and is independent of the analytical content of the model. Detection operates on residuals derived from a band-limited envelope rather than on raw recordings, so the quantity leaving a station is a small number of order statistics per window from which the acoustic waveform cannot be recovered, and the volume of data leaving the venue is reduced by orders of magnitude against a video- or audio-recording installation. A last effect is a change in the physical operating state of apparatus: upon the coordination condition being satisfied, the sensing assemblies of the two implicated stations, and of no others, are switched into a second acquisition state for a bounded interval, so that the installation runs in its low-rate, low-selectivity state by default and acquires more only where a measured relation between two physically separate transducer sets has indicated it.</w:t>
      </w:r>
    </w:p>
    <w:p>
      <w:pPr>
        <w:keepNext/>
        <w:spacing w:before="320" w:after="120"/>
        <w:outlineLvl w:val="0"/>
      </w:pPr>
      <w:r>
        <w:rPr>
          <w:rFonts w:ascii="Times New Roman" w:hAnsi="Times New Roman" w:cs="Times New Roman"/>
          <w:b/>
          <w:i w:val="0"/>
          <w:sz w:val="26"/>
        </w:rPr>
        <w:t>5. Objectives of the Invention</w:t>
      </w:r>
    </w:p>
    <w:p>
      <w:pPr>
        <w:spacing w:after="140" w:line="274" w:lineRule="auto"/>
        <w:ind w:left="403"/>
        <w:jc w:val="both"/>
      </w:pPr>
      <w:r>
        <w:rPr>
          <w:rFonts w:ascii="Times New Roman" w:hAnsi="Times New Roman" w:cs="Times New Roman"/>
          <w:b/>
          <w:i w:val="0"/>
          <w:sz w:val="21"/>
        </w:rPr>
        <w:t xml:space="preserve">1. </w:t>
      </w:r>
      <w:r>
        <w:rPr>
          <w:rFonts w:ascii="Times New Roman" w:hAnsi="Times New Roman" w:cs="Times New Roman"/>
          <w:b w:val="0"/>
          <w:i w:val="0"/>
          <w:sz w:val="21"/>
        </w:rPr>
        <w:t>To detect malpractice at station level without requiring any labelled example of cheating for training.</w:t>
      </w:r>
    </w:p>
    <w:p>
      <w:pPr>
        <w:spacing w:after="140" w:line="274" w:lineRule="auto"/>
        <w:ind w:left="403"/>
        <w:jc w:val="both"/>
      </w:pPr>
      <w:r>
        <w:rPr>
          <w:rFonts w:ascii="Times New Roman" w:hAnsi="Times New Roman" w:cs="Times New Roman"/>
          <w:b/>
          <w:i w:val="0"/>
          <w:sz w:val="21"/>
        </w:rPr>
        <w:t xml:space="preserve">2. </w:t>
      </w:r>
      <w:r>
        <w:rPr>
          <w:rFonts w:ascii="Times New Roman" w:hAnsi="Times New Roman" w:cs="Times New Roman"/>
          <w:b w:val="0"/>
          <w:i w:val="0"/>
          <w:sz w:val="21"/>
        </w:rPr>
        <w:t>To detect unauthorised communication devices and covert activity through their physical signatures across one or more sensing modalities, the invention being indifferent to the particular modality employed.</w:t>
      </w:r>
    </w:p>
    <w:p>
      <w:pPr>
        <w:spacing w:after="140" w:line="274" w:lineRule="auto"/>
        <w:ind w:left="403"/>
        <w:jc w:val="both"/>
      </w:pPr>
      <w:r>
        <w:rPr>
          <w:rFonts w:ascii="Times New Roman" w:hAnsi="Times New Roman" w:cs="Times New Roman"/>
          <w:b/>
          <w:i w:val="0"/>
          <w:sz w:val="21"/>
        </w:rPr>
        <w:t xml:space="preserve">3. </w:t>
      </w:r>
      <w:r>
        <w:rPr>
          <w:rFonts w:ascii="Times New Roman" w:hAnsi="Times New Roman" w:cs="Times New Roman"/>
          <w:b w:val="0"/>
          <w:i w:val="0"/>
          <w:sz w:val="21"/>
        </w:rPr>
        <w:t>To respond to violation methods that were not anticipated when the system was built.</w:t>
      </w:r>
    </w:p>
    <w:p>
      <w:pPr>
        <w:spacing w:after="140" w:line="274" w:lineRule="auto"/>
        <w:ind w:left="403"/>
        <w:jc w:val="both"/>
      </w:pPr>
      <w:r>
        <w:rPr>
          <w:rFonts w:ascii="Times New Roman" w:hAnsi="Times New Roman" w:cs="Times New Roman"/>
          <w:b/>
          <w:i w:val="0"/>
          <w:sz w:val="21"/>
        </w:rPr>
        <w:t xml:space="preserve">4. </w:t>
      </w:r>
      <w:r>
        <w:rPr>
          <w:rFonts w:ascii="Times New Roman" w:hAnsi="Times New Roman" w:cs="Times New Roman"/>
          <w:b w:val="0"/>
          <w:i w:val="0"/>
          <w:sz w:val="21"/>
        </w:rPr>
        <w:t>To reduce false alarms by fusing multiple sensing modalities and by requiring corroborating evidence.</w:t>
      </w:r>
    </w:p>
    <w:p>
      <w:pPr>
        <w:spacing w:after="140" w:line="274" w:lineRule="auto"/>
        <w:ind w:left="403"/>
        <w:jc w:val="both"/>
      </w:pPr>
      <w:r>
        <w:rPr>
          <w:rFonts w:ascii="Times New Roman" w:hAnsi="Times New Roman" w:cs="Times New Roman"/>
          <w:b/>
          <w:i w:val="0"/>
          <w:sz w:val="21"/>
        </w:rPr>
        <w:t xml:space="preserve">5. </w:t>
      </w:r>
      <w:r>
        <w:rPr>
          <w:rFonts w:ascii="Times New Roman" w:hAnsi="Times New Roman" w:cs="Times New Roman"/>
          <w:b w:val="0"/>
          <w:i w:val="0"/>
          <w:sz w:val="21"/>
        </w:rPr>
        <w:t>To distinguish coordinated malpractice between candidates from coincidental anomaly, by a time-lagged coupling between station residual streams that exists at no single station.</w:t>
      </w:r>
    </w:p>
    <w:p>
      <w:pPr>
        <w:spacing w:after="140" w:line="274" w:lineRule="auto"/>
        <w:ind w:left="403"/>
        <w:jc w:val="both"/>
      </w:pPr>
      <w:r>
        <w:rPr>
          <w:rFonts w:ascii="Times New Roman" w:hAnsi="Times New Roman" w:cs="Times New Roman"/>
          <w:b/>
          <w:i w:val="0"/>
          <w:sz w:val="21"/>
        </w:rPr>
        <w:t xml:space="preserve">6. </w:t>
      </w:r>
      <w:r>
        <w:rPr>
          <w:rFonts w:ascii="Times New Roman" w:hAnsi="Times New Roman" w:cs="Times New Roman"/>
          <w:b w:val="0"/>
          <w:i w:val="0"/>
          <w:sz w:val="21"/>
        </w:rPr>
        <w:t>To prevent an event common to the venue from being reported as coordination, by estimating that component from the stations themselves together with at least one instrumented station held unoccupied, and removing it before any coupling is evaluated.</w:t>
      </w:r>
    </w:p>
    <w:p>
      <w:pPr>
        <w:spacing w:after="140" w:line="274" w:lineRule="auto"/>
        <w:ind w:left="403"/>
        <w:jc w:val="both"/>
      </w:pPr>
      <w:r>
        <w:rPr>
          <w:rFonts w:ascii="Times New Roman" w:hAnsi="Times New Roman" w:cs="Times New Roman"/>
          <w:b/>
          <w:i w:val="0"/>
          <w:sz w:val="21"/>
        </w:rPr>
        <w:t xml:space="preserve">7. </w:t>
      </w:r>
      <w:r>
        <w:rPr>
          <w:rFonts w:ascii="Times New Roman" w:hAnsi="Times New Roman" w:cs="Times New Roman"/>
          <w:b w:val="0"/>
          <w:i w:val="0"/>
          <w:sz w:val="21"/>
        </w:rPr>
        <w:t>To calibrate automatically to the ambient conditions of each station and each session without labelled data, and to judge coupling against a baseline measured on that same station pair while activity was sanctioned.</w:t>
      </w:r>
    </w:p>
    <w:p>
      <w:pPr>
        <w:spacing w:after="140" w:line="274" w:lineRule="auto"/>
        <w:ind w:left="403"/>
        <w:jc w:val="both"/>
      </w:pPr>
      <w:r>
        <w:rPr>
          <w:rFonts w:ascii="Times New Roman" w:hAnsi="Times New Roman" w:cs="Times New Roman"/>
          <w:b/>
          <w:i w:val="0"/>
          <w:sz w:val="21"/>
        </w:rPr>
        <w:t xml:space="preserve">8. </w:t>
      </w:r>
      <w:r>
        <w:rPr>
          <w:rFonts w:ascii="Times New Roman" w:hAnsi="Times New Roman" w:cs="Times New Roman"/>
          <w:b w:val="0"/>
          <w:i w:val="0"/>
          <w:sz w:val="21"/>
        </w:rPr>
        <w:t>To operate without retaining raw audio, video, or radio recordings beyond the point of feature extraction, and to emit from each station a representation from which the acoustic waveform cannot be reconstructed.</w:t>
      </w:r>
    </w:p>
    <w:p>
      <w:pPr>
        <w:spacing w:after="140" w:line="274" w:lineRule="auto"/>
        <w:ind w:left="403"/>
        <w:jc w:val="both"/>
      </w:pPr>
      <w:r>
        <w:rPr>
          <w:rFonts w:ascii="Times New Roman" w:hAnsi="Times New Roman" w:cs="Times New Roman"/>
          <w:b/>
          <w:i w:val="0"/>
          <w:sz w:val="21"/>
        </w:rPr>
        <w:t xml:space="preserve">9. </w:t>
      </w:r>
      <w:r>
        <w:rPr>
          <w:rFonts w:ascii="Times New Roman" w:hAnsi="Times New Roman" w:cs="Times New Roman"/>
          <w:b w:val="0"/>
          <w:i w:val="0"/>
          <w:sz w:val="21"/>
        </w:rPr>
        <w:t>To bring about a physical change in the acquisition state of the implicated stations alone, bounded in time, rather than a notification only.</w:t>
      </w:r>
    </w:p>
    <w:p>
      <w:pPr>
        <w:spacing w:after="140" w:line="274" w:lineRule="auto"/>
        <w:ind w:left="403"/>
        <w:jc w:val="both"/>
      </w:pPr>
      <w:r>
        <w:rPr>
          <w:rFonts w:ascii="Times New Roman" w:hAnsi="Times New Roman" w:cs="Times New Roman"/>
          <w:b/>
          <w:i w:val="0"/>
          <w:sz w:val="21"/>
        </w:rPr>
        <w:t xml:space="preserve">10. </w:t>
      </w:r>
      <w:r>
        <w:rPr>
          <w:rFonts w:ascii="Times New Roman" w:hAnsi="Times New Roman" w:cs="Times New Roman"/>
          <w:b w:val="0"/>
          <w:i w:val="0"/>
          <w:sz w:val="21"/>
        </w:rPr>
        <w:t>To state an honest, quantified operating envelope naming the conditions under which detection is reliable and those under which it is not.</w:t>
      </w:r>
    </w:p>
    <w:p>
      <w:pPr>
        <w:keepNext/>
        <w:spacing w:before="320" w:after="120"/>
        <w:outlineLvl w:val="0"/>
      </w:pPr>
      <w:r>
        <w:rPr>
          <w:rFonts w:ascii="Times New Roman" w:hAnsi="Times New Roman" w:cs="Times New Roman"/>
          <w:b/>
          <w:i w:val="0"/>
          <w:sz w:val="26"/>
        </w:rPr>
        <w:t>6. Working Principle (in Brief)</w:t>
      </w:r>
    </w:p>
    <w:p>
      <w:pPr>
        <w:spacing w:after="140" w:line="274" w:lineRule="auto"/>
        <w:jc w:val="both"/>
      </w:pPr>
      <w:r>
        <w:rPr>
          <w:rFonts w:ascii="Times New Roman" w:hAnsi="Times New Roman" w:cs="Times New Roman"/>
          <w:b w:val="0"/>
          <w:i w:val="0"/>
          <w:sz w:val="22"/>
        </w:rPr>
        <w:t>Each monitored station carries a sensing assembly whose transducers continuously produce one or more signal streams, digitised at the station and processed either by an edge processing unit there or by a venue-local aggregator receiving the derived features. In the principal embodiment these are acoustic, including near-ultrasonic energy; electromagnetic, comprising radio-frequency emissions, device-advertisement activity and signal-strength dynamics; and, where a camera is present, behavioural. The streams are divided into short overlapping windows. An encoder trained only on sanctioned sessions at that station embeds the recent window and a predictor estimates the near-future change in the signal. The squared error between predicted and observed change is the per-modality residual, standardised against statistics gathered at that station during an initial sanctioned interval of the session and combined across modalities into one integrity-violation score. A score exceeding the alert condition is logged and reported with station identifier, timestamp and severity.</w:t>
      </w:r>
    </w:p>
    <w:p>
      <w:pPr>
        <w:spacing w:after="140" w:line="274" w:lineRule="auto"/>
        <w:jc w:val="both"/>
      </w:pPr>
      <w:r>
        <w:rPr>
          <w:rFonts w:ascii="Times New Roman" w:hAnsi="Times New Roman" w:cs="Times New Roman"/>
          <w:b w:val="0"/>
          <w:i w:val="0"/>
          <w:sz w:val="22"/>
        </w:rPr>
        <w:t>The relational step follows. At each sampling instant the processing arrangement forms, across the residual streams of the stations of the venue and of at least one station held unoccupied, a robust central statistic representing the residual variation common to the room, and subtracts it from every station stream. A time-lagged coupling statistic is then evaluated between the corrected streams of pairs of stations, over lags no shorter than twice the tolerance to which the station clocks are aligned. That statistic is compared not against a fixed threshold but against a baseline value measured on the same pair earlier in the session, while activity was sanctioned, so that the standing coupling produced by the fixed geometry of the room is removed from the decision. Coordination is indicated when the excess over that baseline recurs on each of a predetermined number of separate occasions; an elevated residual at one station that couples with nothing is reported as an isolated individual anomaly. On coordination being indicated, the sensing assemblies of the two implicated stations alone are switched into a second acquisition state for a bounded interval.</w:t>
      </w:r>
    </w:p>
    <w:p>
      <w:pPr>
        <w:spacing w:before="160" w:after="40"/>
        <w:jc w:val="center"/>
      </w:pPr>
      <w:r>
        <w:drawing>
          <wp:inline xmlns:a="http://schemas.openxmlformats.org/drawingml/2006/main" xmlns:pic="http://schemas.openxmlformats.org/drawingml/2006/picture">
            <wp:extent cx="5852160" cy="3159801"/>
            <wp:docPr id="3" name="Picture 3"/>
            <wp:cNvGraphicFramePr>
              <a:graphicFrameLocks noChangeAspect="1"/>
            </wp:cNvGraphicFramePr>
            <a:graphic>
              <a:graphicData uri="http://schemas.openxmlformats.org/drawingml/2006/picture">
                <pic:pic>
                  <pic:nvPicPr>
                    <pic:cNvPr id="0" name="fig02.png"/>
                    <pic:cNvPicPr/>
                  </pic:nvPicPr>
                  <pic:blipFill>
                    <a:blip r:embed="rId13"/>
                    <a:stretch>
                      <a:fillRect/>
                    </a:stretch>
                  </pic:blipFill>
                  <pic:spPr>
                    <a:xfrm>
                      <a:off x="0" y="0"/>
                      <a:ext cx="5852160" cy="3159801"/>
                    </a:xfrm>
                    <a:prstGeom prst="rect"/>
                  </pic:spPr>
                </pic:pic>
              </a:graphicData>
            </a:graphic>
          </wp:inline>
        </w:drawing>
      </w:r>
    </w:p>
    <w:p>
      <w:pPr>
        <w:spacing w:before="80" w:after="240"/>
        <w:jc w:val="center"/>
      </w:pPr>
      <w:r>
        <w:rPr>
          <w:rFonts w:ascii="Arial" w:hAnsi="Arial" w:cs="Arial"/>
          <w:b/>
          <w:i w:val="0"/>
          <w:sz w:val="19"/>
        </w:rPr>
        <w:t>Figure 2.</w:t>
      </w:r>
      <w:r>
        <w:rPr>
          <w:rFonts w:ascii="Arial" w:hAnsi="Arial" w:cs="Arial"/>
          <w:b w:val="0"/>
          <w:i w:val="0"/>
          <w:sz w:val="19"/>
        </w:rPr>
        <w:t xml:space="preserve"> System architecture. Each candidate station (100) carries a sensing assembly (10) and its own encoder, predictor and standardisation statistics (20, 22); residual scoring (30) and fusion (40) yield one stream per station; the cross-station coupling unit (50) removes the venue-common component (52), evaluates lagged coupling (54) against the pair’s own baseline (56), and applies the coordination condition (58); the outputs are the ranking interface (60) and the acquisition-state controller (80).</w:t>
      </w:r>
    </w:p>
    <w:p>
      <w:pPr>
        <w:keepNext/>
        <w:spacing w:before="320" w:after="120"/>
        <w:outlineLvl w:val="0"/>
      </w:pPr>
      <w:r>
        <w:rPr>
          <w:rFonts w:ascii="Times New Roman" w:hAnsi="Times New Roman" w:cs="Times New Roman"/>
          <w:b/>
          <w:i w:val="0"/>
          <w:sz w:val="26"/>
        </w:rPr>
        <w:t>7. Detailed Description of the Invention</w:t>
      </w:r>
    </w:p>
    <w:p>
      <w:pPr>
        <w:spacing w:after="140" w:line="274" w:lineRule="auto"/>
        <w:jc w:val="both"/>
      </w:pPr>
      <w:r>
        <w:rPr>
          <w:rFonts w:ascii="Times New Roman" w:hAnsi="Times New Roman" w:cs="Times New Roman"/>
          <w:b w:val="0"/>
          <w:i w:val="0"/>
          <w:sz w:val="22"/>
        </w:rPr>
        <w:t>Reference numerals used throughout the description and the figures are indexed below. They identify the parts of one embodiment and are not limitations upon the claims.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720"/>
          </w:tcPr>
          <w:p>
            <w:pPr>
              <w:keepNext/>
              <w:spacing w:after="40"/>
              <w:jc w:val="center"/>
            </w:pPr>
            <w:r/>
            <w:r>
              <w:rPr>
                <w:rFonts w:ascii="Times New Roman" w:hAnsi="Times New Roman" w:cs="Times New Roman"/>
                <w:b/>
                <w:i w:val="0"/>
                <w:sz w:val="17"/>
              </w:rPr>
              <w:t>No.</w:t>
            </w:r>
          </w:p>
        </w:tc>
        <w:tc>
          <w:tcPr>
            <w:tcW w:type="dxa" w:w="4104"/>
          </w:tcPr>
          <w:p>
            <w:pPr>
              <w:keepNext/>
              <w:spacing w:after="40"/>
              <w:jc w:val="center"/>
            </w:pPr>
            <w:r/>
            <w:r>
              <w:rPr>
                <w:rFonts w:ascii="Times New Roman" w:hAnsi="Times New Roman" w:cs="Times New Roman"/>
                <w:b/>
                <w:i w:val="0"/>
                <w:sz w:val="17"/>
              </w:rPr>
              <w:t>Part</w:t>
            </w:r>
          </w:p>
        </w:tc>
        <w:tc>
          <w:tcPr>
            <w:tcW w:type="dxa" w:w="720"/>
          </w:tcPr>
          <w:p>
            <w:pPr>
              <w:keepNext/>
              <w:spacing w:after="40"/>
              <w:jc w:val="center"/>
            </w:pPr>
            <w:r/>
            <w:r>
              <w:rPr>
                <w:rFonts w:ascii="Times New Roman" w:hAnsi="Times New Roman" w:cs="Times New Roman"/>
                <w:b/>
                <w:i w:val="0"/>
                <w:sz w:val="17"/>
              </w:rPr>
              <w:t>No.</w:t>
            </w:r>
          </w:p>
        </w:tc>
        <w:tc>
          <w:tcPr>
            <w:tcW w:type="dxa" w:w="4104"/>
          </w:tcPr>
          <w:p>
            <w:pPr>
              <w:keepNext/>
              <w:spacing w:after="40"/>
              <w:jc w:val="center"/>
            </w:pPr>
            <w:r/>
            <w:r>
              <w:rPr>
                <w:rFonts w:ascii="Times New Roman" w:hAnsi="Times New Roman" w:cs="Times New Roman"/>
                <w:b/>
                <w:i w:val="0"/>
                <w:sz w:val="17"/>
              </w:rPr>
              <w:t>Part</w:t>
            </w:r>
          </w:p>
        </w:tc>
      </w:tr>
      <w:tr>
        <w:tc>
          <w:tcPr>
            <w:tcW w:type="dxa" w:w="720"/>
          </w:tcPr>
          <w:p>
            <w:pPr>
              <w:spacing w:after="40"/>
              <w:jc w:val="center"/>
            </w:pPr>
            <w:r/>
            <w:r>
              <w:rPr>
                <w:rFonts w:ascii="Times New Roman" w:hAnsi="Times New Roman" w:cs="Times New Roman"/>
                <w:b w:val="0"/>
                <w:i w:val="0"/>
                <w:sz w:val="17"/>
              </w:rPr>
              <w:t>10</w:t>
            </w:r>
          </w:p>
        </w:tc>
        <w:tc>
          <w:tcPr>
            <w:tcW w:type="dxa" w:w="4104"/>
          </w:tcPr>
          <w:p>
            <w:pPr>
              <w:spacing w:after="40"/>
              <w:jc w:val="left"/>
            </w:pPr>
            <w:r/>
            <w:r>
              <w:rPr>
                <w:rFonts w:ascii="Times New Roman" w:hAnsi="Times New Roman" w:cs="Times New Roman"/>
                <w:b w:val="0"/>
                <w:i w:val="0"/>
                <w:sz w:val="17"/>
              </w:rPr>
              <w:t>sensing assembly of a station</w:t>
            </w:r>
          </w:p>
        </w:tc>
        <w:tc>
          <w:tcPr>
            <w:tcW w:type="dxa" w:w="720"/>
          </w:tcPr>
          <w:p>
            <w:pPr>
              <w:spacing w:after="40"/>
              <w:jc w:val="center"/>
            </w:pPr>
            <w:r/>
            <w:r>
              <w:rPr>
                <w:rFonts w:ascii="Times New Roman" w:hAnsi="Times New Roman" w:cs="Times New Roman"/>
                <w:b w:val="0"/>
                <w:i w:val="0"/>
                <w:sz w:val="17"/>
              </w:rPr>
              <w:t>52</w:t>
            </w:r>
          </w:p>
        </w:tc>
        <w:tc>
          <w:tcPr>
            <w:tcW w:type="dxa" w:w="4104"/>
          </w:tcPr>
          <w:p>
            <w:pPr>
              <w:spacing w:after="40"/>
              <w:jc w:val="left"/>
            </w:pPr>
            <w:r/>
            <w:r>
              <w:rPr>
                <w:rFonts w:ascii="Times New Roman" w:hAnsi="Times New Roman" w:cs="Times New Roman"/>
                <w:b w:val="0"/>
                <w:i w:val="0"/>
                <w:sz w:val="17"/>
              </w:rPr>
              <w:t>common-mode estimator</w:t>
            </w:r>
          </w:p>
        </w:tc>
      </w:tr>
      <w:tr>
        <w:tc>
          <w:tcPr>
            <w:tcW w:type="dxa" w:w="720"/>
          </w:tcPr>
          <w:p>
            <w:pPr>
              <w:spacing w:after="40"/>
              <w:jc w:val="center"/>
            </w:pPr>
            <w:r/>
            <w:r>
              <w:rPr>
                <w:rFonts w:ascii="Times New Roman" w:hAnsi="Times New Roman" w:cs="Times New Roman"/>
                <w:b w:val="0"/>
                <w:i w:val="0"/>
                <w:sz w:val="17"/>
              </w:rPr>
              <w:t>12</w:t>
            </w:r>
          </w:p>
        </w:tc>
        <w:tc>
          <w:tcPr>
            <w:tcW w:type="dxa" w:w="4104"/>
          </w:tcPr>
          <w:p>
            <w:pPr>
              <w:spacing w:after="40"/>
              <w:jc w:val="left"/>
            </w:pPr>
            <w:r/>
            <w:r>
              <w:rPr>
                <w:rFonts w:ascii="Times New Roman" w:hAnsi="Times New Roman" w:cs="Times New Roman"/>
                <w:b w:val="0"/>
                <w:i w:val="0"/>
                <w:sz w:val="17"/>
              </w:rPr>
              <w:t>acoustic transducer, audible and near-ultrasonic</w:t>
            </w:r>
          </w:p>
        </w:tc>
        <w:tc>
          <w:tcPr>
            <w:tcW w:type="dxa" w:w="720"/>
          </w:tcPr>
          <w:p>
            <w:pPr>
              <w:spacing w:after="40"/>
              <w:jc w:val="center"/>
            </w:pPr>
            <w:r/>
            <w:r>
              <w:rPr>
                <w:rFonts w:ascii="Times New Roman" w:hAnsi="Times New Roman" w:cs="Times New Roman"/>
                <w:b w:val="0"/>
                <w:i w:val="0"/>
                <w:sz w:val="17"/>
              </w:rPr>
              <w:t>54</w:t>
            </w:r>
          </w:p>
        </w:tc>
        <w:tc>
          <w:tcPr>
            <w:tcW w:type="dxa" w:w="4104"/>
          </w:tcPr>
          <w:p>
            <w:pPr>
              <w:spacing w:after="40"/>
              <w:jc w:val="left"/>
            </w:pPr>
            <w:r/>
            <w:r>
              <w:rPr>
                <w:rFonts w:ascii="Times New Roman" w:hAnsi="Times New Roman" w:cs="Times New Roman"/>
                <w:b w:val="0"/>
                <w:i w:val="0"/>
                <w:sz w:val="17"/>
              </w:rPr>
              <w:t>lagged coupling comparator</w:t>
            </w:r>
          </w:p>
        </w:tc>
      </w:tr>
      <w:tr>
        <w:tc>
          <w:tcPr>
            <w:tcW w:type="dxa" w:w="720"/>
          </w:tcPr>
          <w:p>
            <w:pPr>
              <w:spacing w:after="40"/>
              <w:jc w:val="center"/>
            </w:pPr>
            <w:r/>
            <w:r>
              <w:rPr>
                <w:rFonts w:ascii="Times New Roman" w:hAnsi="Times New Roman" w:cs="Times New Roman"/>
                <w:b w:val="0"/>
                <w:i w:val="0"/>
                <w:sz w:val="17"/>
              </w:rPr>
              <w:t>14</w:t>
            </w:r>
          </w:p>
        </w:tc>
        <w:tc>
          <w:tcPr>
            <w:tcW w:type="dxa" w:w="4104"/>
          </w:tcPr>
          <w:p>
            <w:pPr>
              <w:spacing w:after="40"/>
              <w:jc w:val="left"/>
            </w:pPr>
            <w:r/>
            <w:r>
              <w:rPr>
                <w:rFonts w:ascii="Times New Roman" w:hAnsi="Times New Roman" w:cs="Times New Roman"/>
                <w:b w:val="0"/>
                <w:i w:val="0"/>
                <w:sz w:val="17"/>
              </w:rPr>
              <w:t>electromagnetic sensor</w:t>
            </w:r>
          </w:p>
        </w:tc>
        <w:tc>
          <w:tcPr>
            <w:tcW w:type="dxa" w:w="720"/>
          </w:tcPr>
          <w:p>
            <w:pPr>
              <w:spacing w:after="40"/>
              <w:jc w:val="center"/>
            </w:pPr>
            <w:r/>
            <w:r>
              <w:rPr>
                <w:rFonts w:ascii="Times New Roman" w:hAnsi="Times New Roman" w:cs="Times New Roman"/>
                <w:b w:val="0"/>
                <w:i w:val="0"/>
                <w:sz w:val="17"/>
              </w:rPr>
              <w:t>56</w:t>
            </w:r>
          </w:p>
        </w:tc>
        <w:tc>
          <w:tcPr>
            <w:tcW w:type="dxa" w:w="4104"/>
          </w:tcPr>
          <w:p>
            <w:pPr>
              <w:spacing w:after="40"/>
              <w:jc w:val="left"/>
            </w:pPr>
            <w:r/>
            <w:r>
              <w:rPr>
                <w:rFonts w:ascii="Times New Roman" w:hAnsi="Times New Roman" w:cs="Times New Roman"/>
                <w:b w:val="0"/>
                <w:i w:val="0"/>
                <w:sz w:val="17"/>
              </w:rPr>
              <w:t>pair baseline store</w:t>
            </w:r>
          </w:p>
        </w:tc>
      </w:tr>
      <w:tr>
        <w:tc>
          <w:tcPr>
            <w:tcW w:type="dxa" w:w="720"/>
          </w:tcPr>
          <w:p>
            <w:pPr>
              <w:spacing w:after="40"/>
              <w:jc w:val="center"/>
            </w:pPr>
            <w:r/>
            <w:r>
              <w:rPr>
                <w:rFonts w:ascii="Times New Roman" w:hAnsi="Times New Roman" w:cs="Times New Roman"/>
                <w:b w:val="0"/>
                <w:i w:val="0"/>
                <w:sz w:val="17"/>
              </w:rPr>
              <w:t>16</w:t>
            </w:r>
          </w:p>
        </w:tc>
        <w:tc>
          <w:tcPr>
            <w:tcW w:type="dxa" w:w="4104"/>
          </w:tcPr>
          <w:p>
            <w:pPr>
              <w:spacing w:after="40"/>
              <w:jc w:val="left"/>
            </w:pPr>
            <w:r/>
            <w:r>
              <w:rPr>
                <w:rFonts w:ascii="Times New Roman" w:hAnsi="Times New Roman" w:cs="Times New Roman"/>
                <w:b w:val="0"/>
                <w:i w:val="0"/>
                <w:sz w:val="17"/>
              </w:rPr>
              <w:t>further-modality transducer</w:t>
            </w:r>
          </w:p>
        </w:tc>
        <w:tc>
          <w:tcPr>
            <w:tcW w:type="dxa" w:w="720"/>
          </w:tcPr>
          <w:p>
            <w:pPr>
              <w:spacing w:after="40"/>
              <w:jc w:val="center"/>
            </w:pPr>
            <w:r/>
            <w:r>
              <w:rPr>
                <w:rFonts w:ascii="Times New Roman" w:hAnsi="Times New Roman" w:cs="Times New Roman"/>
                <w:b w:val="0"/>
                <w:i w:val="0"/>
                <w:sz w:val="17"/>
              </w:rPr>
              <w:t>58</w:t>
            </w:r>
          </w:p>
        </w:tc>
        <w:tc>
          <w:tcPr>
            <w:tcW w:type="dxa" w:w="4104"/>
          </w:tcPr>
          <w:p>
            <w:pPr>
              <w:spacing w:after="40"/>
              <w:jc w:val="left"/>
            </w:pPr>
            <w:r/>
            <w:r>
              <w:rPr>
                <w:rFonts w:ascii="Times New Roman" w:hAnsi="Times New Roman" w:cs="Times New Roman"/>
                <w:b w:val="0"/>
                <w:i w:val="0"/>
                <w:sz w:val="17"/>
              </w:rPr>
              <w:t>coordination comparator</w:t>
            </w:r>
          </w:p>
        </w:tc>
      </w:tr>
      <w:tr>
        <w:tc>
          <w:tcPr>
            <w:tcW w:type="dxa" w:w="720"/>
          </w:tcPr>
          <w:p>
            <w:pPr>
              <w:spacing w:after="40"/>
              <w:jc w:val="center"/>
            </w:pPr>
            <w:r/>
            <w:r>
              <w:rPr>
                <w:rFonts w:ascii="Times New Roman" w:hAnsi="Times New Roman" w:cs="Times New Roman"/>
                <w:b w:val="0"/>
                <w:i w:val="0"/>
                <w:sz w:val="17"/>
              </w:rPr>
              <w:t>18</w:t>
            </w:r>
          </w:p>
        </w:tc>
        <w:tc>
          <w:tcPr>
            <w:tcW w:type="dxa" w:w="4104"/>
          </w:tcPr>
          <w:p>
            <w:pPr>
              <w:spacing w:after="40"/>
              <w:jc w:val="left"/>
            </w:pPr>
            <w:r/>
            <w:r>
              <w:rPr>
                <w:rFonts w:ascii="Times New Roman" w:hAnsi="Times New Roman" w:cs="Times New Roman"/>
                <w:b w:val="0"/>
                <w:i w:val="0"/>
                <w:sz w:val="17"/>
              </w:rPr>
              <w:t>optical behavioural module</w:t>
            </w:r>
          </w:p>
        </w:tc>
        <w:tc>
          <w:tcPr>
            <w:tcW w:type="dxa" w:w="720"/>
          </w:tcPr>
          <w:p>
            <w:pPr>
              <w:spacing w:after="40"/>
              <w:jc w:val="center"/>
            </w:pPr>
            <w:r/>
            <w:r>
              <w:rPr>
                <w:rFonts w:ascii="Times New Roman" w:hAnsi="Times New Roman" w:cs="Times New Roman"/>
                <w:b w:val="0"/>
                <w:i w:val="0"/>
                <w:sz w:val="17"/>
              </w:rPr>
              <w:t>60</w:t>
            </w:r>
          </w:p>
        </w:tc>
        <w:tc>
          <w:tcPr>
            <w:tcW w:type="dxa" w:w="4104"/>
          </w:tcPr>
          <w:p>
            <w:pPr>
              <w:spacing w:after="40"/>
              <w:jc w:val="left"/>
            </w:pPr>
            <w:r/>
            <w:r>
              <w:rPr>
                <w:rFonts w:ascii="Times New Roman" w:hAnsi="Times New Roman" w:cs="Times New Roman"/>
                <w:b w:val="0"/>
                <w:i w:val="0"/>
                <w:sz w:val="17"/>
              </w:rPr>
              <w:t>alert and ranking interface</w:t>
            </w:r>
          </w:p>
        </w:tc>
      </w:tr>
      <w:tr>
        <w:tc>
          <w:tcPr>
            <w:tcW w:type="dxa" w:w="720"/>
          </w:tcPr>
          <w:p>
            <w:pPr>
              <w:spacing w:after="40"/>
              <w:jc w:val="center"/>
            </w:pPr>
            <w:r/>
            <w:r>
              <w:rPr>
                <w:rFonts w:ascii="Times New Roman" w:hAnsi="Times New Roman" w:cs="Times New Roman"/>
                <w:b w:val="0"/>
                <w:i w:val="0"/>
                <w:sz w:val="17"/>
              </w:rPr>
              <w:t>20</w:t>
            </w:r>
          </w:p>
        </w:tc>
        <w:tc>
          <w:tcPr>
            <w:tcW w:type="dxa" w:w="4104"/>
          </w:tcPr>
          <w:p>
            <w:pPr>
              <w:spacing w:after="40"/>
              <w:jc w:val="left"/>
            </w:pPr>
            <w:r/>
            <w:r>
              <w:rPr>
                <w:rFonts w:ascii="Times New Roman" w:hAnsi="Times New Roman" w:cs="Times New Roman"/>
                <w:b w:val="0"/>
                <w:i w:val="0"/>
                <w:sz w:val="17"/>
              </w:rPr>
              <w:t>station-local encoder and predictor</w:t>
            </w:r>
          </w:p>
        </w:tc>
        <w:tc>
          <w:tcPr>
            <w:tcW w:type="dxa" w:w="720"/>
          </w:tcPr>
          <w:p>
            <w:pPr>
              <w:spacing w:after="40"/>
              <w:jc w:val="center"/>
            </w:pPr>
            <w:r/>
            <w:r>
              <w:rPr>
                <w:rFonts w:ascii="Times New Roman" w:hAnsi="Times New Roman" w:cs="Times New Roman"/>
                <w:b w:val="0"/>
                <w:i w:val="0"/>
                <w:sz w:val="17"/>
              </w:rPr>
              <w:t>70</w:t>
            </w:r>
          </w:p>
        </w:tc>
        <w:tc>
          <w:tcPr>
            <w:tcW w:type="dxa" w:w="4104"/>
          </w:tcPr>
          <w:p>
            <w:pPr>
              <w:spacing w:after="40"/>
              <w:jc w:val="left"/>
            </w:pPr>
            <w:r/>
            <w:r>
              <w:rPr>
                <w:rFonts w:ascii="Times New Roman" w:hAnsi="Times New Roman" w:cs="Times New Roman"/>
                <w:b w:val="0"/>
                <w:i w:val="0"/>
                <w:sz w:val="17"/>
              </w:rPr>
              <w:t>time-synchronisation arrangement</w:t>
            </w:r>
          </w:p>
        </w:tc>
      </w:tr>
      <w:tr>
        <w:tc>
          <w:tcPr>
            <w:tcW w:type="dxa" w:w="720"/>
          </w:tcPr>
          <w:p>
            <w:pPr>
              <w:spacing w:after="40"/>
              <w:jc w:val="center"/>
            </w:pPr>
            <w:r/>
            <w:r>
              <w:rPr>
                <w:rFonts w:ascii="Times New Roman" w:hAnsi="Times New Roman" w:cs="Times New Roman"/>
                <w:b w:val="0"/>
                <w:i w:val="0"/>
                <w:sz w:val="17"/>
              </w:rPr>
              <w:t>22</w:t>
            </w:r>
          </w:p>
        </w:tc>
        <w:tc>
          <w:tcPr>
            <w:tcW w:type="dxa" w:w="4104"/>
          </w:tcPr>
          <w:p>
            <w:pPr>
              <w:spacing w:after="40"/>
              <w:jc w:val="left"/>
            </w:pPr>
            <w:r/>
            <w:r>
              <w:rPr>
                <w:rFonts w:ascii="Times New Roman" w:hAnsi="Times New Roman" w:cs="Times New Roman"/>
                <w:b w:val="0"/>
                <w:i w:val="0"/>
                <w:sz w:val="17"/>
              </w:rPr>
              <w:t>station-local standardisation statistics</w:t>
            </w:r>
          </w:p>
        </w:tc>
        <w:tc>
          <w:tcPr>
            <w:tcW w:type="dxa" w:w="720"/>
          </w:tcPr>
          <w:p>
            <w:pPr>
              <w:spacing w:after="40"/>
              <w:jc w:val="center"/>
            </w:pPr>
            <w:r/>
            <w:r>
              <w:rPr>
                <w:rFonts w:ascii="Times New Roman" w:hAnsi="Times New Roman" w:cs="Times New Roman"/>
                <w:b w:val="0"/>
                <w:i w:val="0"/>
                <w:sz w:val="17"/>
              </w:rPr>
              <w:t>80</w:t>
            </w:r>
          </w:p>
        </w:tc>
        <w:tc>
          <w:tcPr>
            <w:tcW w:type="dxa" w:w="4104"/>
          </w:tcPr>
          <w:p>
            <w:pPr>
              <w:spacing w:after="40"/>
              <w:jc w:val="left"/>
            </w:pPr>
            <w:r/>
            <w:r>
              <w:rPr>
                <w:rFonts w:ascii="Times New Roman" w:hAnsi="Times New Roman" w:cs="Times New Roman"/>
                <w:b w:val="0"/>
                <w:i w:val="0"/>
                <w:sz w:val="17"/>
              </w:rPr>
              <w:t>acquisition-state controller</w:t>
            </w:r>
          </w:p>
        </w:tc>
      </w:tr>
      <w:tr>
        <w:tc>
          <w:tcPr>
            <w:tcW w:type="dxa" w:w="720"/>
          </w:tcPr>
          <w:p>
            <w:pPr>
              <w:spacing w:after="40"/>
              <w:jc w:val="center"/>
            </w:pPr>
            <w:r/>
            <w:r>
              <w:rPr>
                <w:rFonts w:ascii="Times New Roman" w:hAnsi="Times New Roman" w:cs="Times New Roman"/>
                <w:b w:val="0"/>
                <w:i w:val="0"/>
                <w:sz w:val="17"/>
              </w:rPr>
              <w:t>24</w:t>
            </w:r>
          </w:p>
        </w:tc>
        <w:tc>
          <w:tcPr>
            <w:tcW w:type="dxa" w:w="4104"/>
          </w:tcPr>
          <w:p>
            <w:pPr>
              <w:spacing w:after="40"/>
              <w:jc w:val="left"/>
            </w:pPr>
            <w:r/>
            <w:r>
              <w:rPr>
                <w:rFonts w:ascii="Times New Roman" w:hAnsi="Times New Roman" w:cs="Times New Roman"/>
                <w:b w:val="0"/>
                <w:i w:val="0"/>
                <w:sz w:val="17"/>
              </w:rPr>
              <w:t>acoustic analogue front end: band-pass, rectifier, low-pass</w:t>
            </w:r>
          </w:p>
        </w:tc>
        <w:tc>
          <w:tcPr>
            <w:tcW w:type="dxa" w:w="720"/>
          </w:tcPr>
          <w:p>
            <w:pPr>
              <w:spacing w:after="40"/>
              <w:jc w:val="center"/>
            </w:pPr>
            <w:r/>
            <w:r>
              <w:rPr>
                <w:rFonts w:ascii="Times New Roman" w:hAnsi="Times New Roman" w:cs="Times New Roman"/>
                <w:b w:val="0"/>
                <w:i w:val="0"/>
                <w:sz w:val="17"/>
              </w:rPr>
              <w:t>82</w:t>
            </w:r>
          </w:p>
        </w:tc>
        <w:tc>
          <w:tcPr>
            <w:tcW w:type="dxa" w:w="4104"/>
          </w:tcPr>
          <w:p>
            <w:pPr>
              <w:spacing w:after="40"/>
              <w:jc w:val="left"/>
            </w:pPr>
            <w:r/>
            <w:r>
              <w:rPr>
                <w:rFonts w:ascii="Times New Roman" w:hAnsi="Times New Roman" w:cs="Times New Roman"/>
                <w:b w:val="0"/>
                <w:i w:val="0"/>
                <w:sz w:val="17"/>
              </w:rPr>
              <w:t>first acquisition state</w:t>
            </w:r>
          </w:p>
        </w:tc>
      </w:tr>
      <w:tr>
        <w:tc>
          <w:tcPr>
            <w:tcW w:type="dxa" w:w="720"/>
          </w:tcPr>
          <w:p>
            <w:pPr>
              <w:spacing w:after="40"/>
              <w:jc w:val="center"/>
            </w:pPr>
            <w:r/>
            <w:r>
              <w:rPr>
                <w:rFonts w:ascii="Times New Roman" w:hAnsi="Times New Roman" w:cs="Times New Roman"/>
                <w:b w:val="0"/>
                <w:i w:val="0"/>
                <w:sz w:val="17"/>
              </w:rPr>
              <w:t>30</w:t>
            </w:r>
          </w:p>
        </w:tc>
        <w:tc>
          <w:tcPr>
            <w:tcW w:type="dxa" w:w="4104"/>
          </w:tcPr>
          <w:p>
            <w:pPr>
              <w:spacing w:after="40"/>
              <w:jc w:val="left"/>
            </w:pPr>
            <w:r/>
            <w:r>
              <w:rPr>
                <w:rFonts w:ascii="Times New Roman" w:hAnsi="Times New Roman" w:cs="Times New Roman"/>
                <w:b w:val="0"/>
                <w:i w:val="0"/>
                <w:sz w:val="17"/>
              </w:rPr>
              <w:t>residual scoring unit</w:t>
            </w:r>
          </w:p>
        </w:tc>
        <w:tc>
          <w:tcPr>
            <w:tcW w:type="dxa" w:w="720"/>
          </w:tcPr>
          <w:p>
            <w:pPr>
              <w:spacing w:after="40"/>
              <w:jc w:val="center"/>
            </w:pPr>
            <w:r/>
            <w:r>
              <w:rPr>
                <w:rFonts w:ascii="Times New Roman" w:hAnsi="Times New Roman" w:cs="Times New Roman"/>
                <w:b w:val="0"/>
                <w:i w:val="0"/>
                <w:sz w:val="17"/>
              </w:rPr>
              <w:t>84</w:t>
            </w:r>
          </w:p>
        </w:tc>
        <w:tc>
          <w:tcPr>
            <w:tcW w:type="dxa" w:w="4104"/>
          </w:tcPr>
          <w:p>
            <w:pPr>
              <w:spacing w:after="40"/>
              <w:jc w:val="left"/>
            </w:pPr>
            <w:r/>
            <w:r>
              <w:rPr>
                <w:rFonts w:ascii="Times New Roman" w:hAnsi="Times New Roman" w:cs="Times New Roman"/>
                <w:b w:val="0"/>
                <w:i w:val="0"/>
                <w:sz w:val="17"/>
              </w:rPr>
              <w:t>second acquisition state</w:t>
            </w:r>
          </w:p>
        </w:tc>
      </w:tr>
      <w:tr>
        <w:tc>
          <w:tcPr>
            <w:tcW w:type="dxa" w:w="720"/>
          </w:tcPr>
          <w:p>
            <w:pPr>
              <w:spacing w:after="40"/>
              <w:jc w:val="center"/>
            </w:pPr>
            <w:r/>
            <w:r>
              <w:rPr>
                <w:rFonts w:ascii="Times New Roman" w:hAnsi="Times New Roman" w:cs="Times New Roman"/>
                <w:b w:val="0"/>
                <w:i w:val="0"/>
                <w:sz w:val="17"/>
              </w:rPr>
              <w:t>40</w:t>
            </w:r>
          </w:p>
        </w:tc>
        <w:tc>
          <w:tcPr>
            <w:tcW w:type="dxa" w:w="4104"/>
          </w:tcPr>
          <w:p>
            <w:pPr>
              <w:spacing w:after="40"/>
              <w:jc w:val="left"/>
            </w:pPr>
            <w:r/>
            <w:r>
              <w:rPr>
                <w:rFonts w:ascii="Times New Roman" w:hAnsi="Times New Roman" w:cs="Times New Roman"/>
                <w:b w:val="0"/>
                <w:i w:val="0"/>
                <w:sz w:val="17"/>
              </w:rPr>
              <w:t>multi-modal fusion unit</w:t>
            </w:r>
          </w:p>
        </w:tc>
        <w:tc>
          <w:tcPr>
            <w:tcW w:type="dxa" w:w="720"/>
          </w:tcPr>
          <w:p>
            <w:pPr>
              <w:spacing w:after="40"/>
              <w:jc w:val="center"/>
            </w:pPr>
            <w:r/>
            <w:r>
              <w:rPr>
                <w:rFonts w:ascii="Times New Roman" w:hAnsi="Times New Roman" w:cs="Times New Roman"/>
                <w:b w:val="0"/>
                <w:i w:val="0"/>
                <w:sz w:val="17"/>
              </w:rPr>
              <w:t>90</w:t>
            </w:r>
          </w:p>
        </w:tc>
        <w:tc>
          <w:tcPr>
            <w:tcW w:type="dxa" w:w="4104"/>
          </w:tcPr>
          <w:p>
            <w:pPr>
              <w:spacing w:after="40"/>
              <w:jc w:val="left"/>
            </w:pPr>
            <w:r/>
            <w:r>
              <w:rPr>
                <w:rFonts w:ascii="Times New Roman" w:hAnsi="Times New Roman" w:cs="Times New Roman"/>
                <w:b w:val="0"/>
                <w:i w:val="0"/>
                <w:sz w:val="17"/>
              </w:rPr>
              <w:t>reference station, held unoccupied</w:t>
            </w:r>
          </w:p>
        </w:tc>
      </w:tr>
      <w:tr>
        <w:tc>
          <w:tcPr>
            <w:tcW w:type="dxa" w:w="720"/>
          </w:tcPr>
          <w:p>
            <w:pPr>
              <w:keepNext/>
              <w:spacing w:after="40"/>
              <w:jc w:val="center"/>
            </w:pPr>
            <w:r/>
            <w:r>
              <w:rPr>
                <w:rFonts w:ascii="Times New Roman" w:hAnsi="Times New Roman" w:cs="Times New Roman"/>
                <w:b w:val="0"/>
                <w:i w:val="0"/>
                <w:sz w:val="17"/>
              </w:rPr>
              <w:t>50</w:t>
            </w:r>
          </w:p>
        </w:tc>
        <w:tc>
          <w:tcPr>
            <w:tcW w:type="dxa" w:w="4104"/>
          </w:tcPr>
          <w:p>
            <w:pPr>
              <w:keepNext/>
              <w:spacing w:after="40"/>
              <w:jc w:val="left"/>
            </w:pPr>
            <w:r/>
            <w:r>
              <w:rPr>
                <w:rFonts w:ascii="Times New Roman" w:hAnsi="Times New Roman" w:cs="Times New Roman"/>
                <w:b w:val="0"/>
                <w:i w:val="0"/>
                <w:sz w:val="17"/>
              </w:rPr>
              <w:t>cross-station coupling unit</w:t>
            </w:r>
          </w:p>
        </w:tc>
        <w:tc>
          <w:tcPr>
            <w:tcW w:type="dxa" w:w="720"/>
          </w:tcPr>
          <w:p>
            <w:pPr>
              <w:keepNext/>
              <w:spacing w:after="40"/>
              <w:jc w:val="center"/>
            </w:pPr>
            <w:r/>
            <w:r>
              <w:rPr>
                <w:rFonts w:ascii="Times New Roman" w:hAnsi="Times New Roman" w:cs="Times New Roman"/>
                <w:b w:val="0"/>
                <w:i w:val="0"/>
                <w:sz w:val="17"/>
              </w:rPr>
              <w:t>100</w:t>
            </w:r>
          </w:p>
        </w:tc>
        <w:tc>
          <w:tcPr>
            <w:tcW w:type="dxa" w:w="4104"/>
          </w:tcPr>
          <w:p>
            <w:pPr>
              <w:keepNext/>
              <w:spacing w:after="40"/>
              <w:jc w:val="left"/>
            </w:pPr>
            <w:r/>
            <w:r>
              <w:rPr>
                <w:rFonts w:ascii="Times New Roman" w:hAnsi="Times New Roman" w:cs="Times New Roman"/>
                <w:b w:val="0"/>
                <w:i w:val="0"/>
                <w:sz w:val="17"/>
              </w:rPr>
              <w:t>candidate station body</w:t>
            </w:r>
          </w:p>
        </w:tc>
      </w:tr>
    </w:tbl>
    <w:p>
      <w:pPr>
        <w:spacing w:before="60" w:after="240"/>
        <w:jc w:val="center"/>
      </w:pPr>
      <w:r>
        <w:rPr>
          <w:rFonts w:ascii="Times New Roman" w:hAnsi="Times New Roman" w:cs="Times New Roman"/>
          <w:b/>
          <w:i w:val="0"/>
          <w:sz w:val="21"/>
        </w:rPr>
        <w:t>Table 2: Index of Reference Numerals</w:t>
      </w:r>
    </w:p>
    <w:p>
      <w:pPr>
        <w:spacing w:after="140" w:line="274" w:lineRule="auto"/>
        <w:jc w:val="both"/>
      </w:pPr>
      <w:r>
        <w:rPr>
          <w:rFonts w:ascii="Times New Roman" w:hAnsi="Times New Roman" w:cs="Times New Roman"/>
          <w:b/>
          <w:i w:val="0"/>
          <w:sz w:val="22"/>
        </w:rPr>
        <w:t xml:space="preserve">Sensing. </w:t>
      </w:r>
      <w:r>
        <w:rPr>
          <w:rFonts w:ascii="Times New Roman" w:hAnsi="Times New Roman" w:cs="Times New Roman"/>
          <w:b w:val="0"/>
          <w:i w:val="0"/>
          <w:sz w:val="22"/>
        </w:rPr>
        <w:t>In the principal embodiment the acoustic transducer (12) captures sound across a wide band including the near-ultrasonic frequencies used by some covert audio links, and the electromagnetic sensor (14) monitors bands associated with consumer devices, capturing radio emissions, device-advertisement rates and received-signal-strength behaviour. An optional module (18) derives gaze, blink, head-pose and fixation features from a camera. Further transducers (16) of other physical modalities may be substituted or added; the invention is not restricted to any of them, for the reasons set out at Section 7.1. In a representative embodiment the derived features of all modalities are reported at a common low frame rate and grouped into overlapping context windows of approximately seven seconds.</w:t>
      </w:r>
    </w:p>
    <w:p>
      <w:pPr>
        <w:spacing w:after="140" w:line="274" w:lineRule="auto"/>
        <w:jc w:val="both"/>
      </w:pPr>
      <w:r>
        <w:rPr>
          <w:rFonts w:ascii="Times New Roman" w:hAnsi="Times New Roman" w:cs="Times New Roman"/>
          <w:b/>
          <w:i w:val="0"/>
          <w:sz w:val="22"/>
        </w:rPr>
        <w:t xml:space="preserve">Non-reconstructability of the acoustic representation. </w:t>
      </w:r>
      <w:r>
        <w:rPr>
          <w:rFonts w:ascii="Times New Roman" w:hAnsi="Times New Roman" w:cs="Times New Roman"/>
          <w:b w:val="0"/>
          <w:i w:val="0"/>
          <w:sz w:val="22"/>
        </w:rPr>
        <w:t>The output of the acoustic transducer is not digitised as a waveform. An analogue front end (24) band-passes it to the voice and near-ultrasonic bands of interest, rectifies it, and low-pass filters the result, so that what is digitised is the envelope. From each reporting window only order statistics of that envelope are retained, in a representative embodiment its peak and its root-mean-square. Two consequences follow, and the second is the important one. The data rate leaving the station falls by three orders of magnitude against waveform capture. And the retained representation cannot be inverted: the envelope stage discards phase, and a peak and a root-mean-square are order statistics over the whole window, so the mapping from waveform to retained representation is many-to-one and no inverse exists. That is a property of the signal chain rather than a policy undertaking, and it holds at any sampling rate.</w:t>
      </w:r>
    </w:p>
    <w:p>
      <w:pPr>
        <w:spacing w:after="140" w:line="274" w:lineRule="auto"/>
        <w:jc w:val="both"/>
      </w:pPr>
      <w:r>
        <w:rPr>
          <w:rFonts w:ascii="Times New Roman" w:hAnsi="Times New Roman" w:cs="Times New Roman"/>
          <w:b/>
          <w:i w:val="0"/>
          <w:sz w:val="22"/>
        </w:rPr>
        <w:t xml:space="preserve">Model, established station by station. </w:t>
      </w:r>
      <w:r>
        <w:rPr>
          <w:rFonts w:ascii="Times New Roman" w:hAnsi="Times New Roman" w:cs="Times New Roman"/>
          <w:b w:val="0"/>
          <w:i w:val="0"/>
          <w:sz w:val="22"/>
        </w:rPr>
        <w:t>A separate lightweight encoder is provided for each modality at each station. From a context window the encoder produces a compact embedding, and a predictor estimates the change in the signal over a short future horizon. Training minimises the error of that prediction on sanctioned sessions alone, while a variance-and-covariance regularisation on the embedding prevents the degenerate solution in which the encoder maps every input to the same point. No labelled malpractice is used at any stage. The parameters of the model (20) and the statistics (22) against which its residual is standardised are established at the station whose signals they serve, and are not transferred between stations. Section 8 sets out the measurement that requires this: a model shared across stations is worse at every commensurability metric tested and destroys the relational channel entirely.</w:t>
      </w:r>
    </w:p>
    <w:p>
      <w:pPr>
        <w:spacing w:after="140" w:line="274" w:lineRule="auto"/>
        <w:jc w:val="both"/>
      </w:pPr>
      <w:r>
        <w:rPr>
          <w:rFonts w:ascii="Times New Roman" w:hAnsi="Times New Roman" w:cs="Times New Roman"/>
          <w:b/>
          <w:i w:val="0"/>
          <w:sz w:val="22"/>
        </w:rPr>
        <w:t xml:space="preserve">Scoring and fusion. </w:t>
      </w:r>
      <w:r>
        <w:rPr>
          <w:rFonts w:ascii="Times New Roman" w:hAnsi="Times New Roman" w:cs="Times New Roman"/>
          <w:b w:val="0"/>
          <w:i w:val="0"/>
          <w:sz w:val="22"/>
        </w:rPr>
        <w:t>At inference the prediction error for each modality is the anomaly score. Scores are standardised using statistics gathered from sanctioned calibration data at that station only, then combined across modalities. Fusing modalities is beneficial because different violation methods manifest in different channels. The residual may in addition be aggregated by a causal rolling statistic over a longer span within the session, which raises sensitivity to faint but sustained activity and uses no future information.</w:t>
      </w:r>
    </w:p>
    <w:p>
      <w:pPr>
        <w:spacing w:before="160" w:after="40"/>
        <w:jc w:val="center"/>
      </w:pPr>
      <w:r>
        <w:drawing>
          <wp:inline xmlns:a="http://schemas.openxmlformats.org/drawingml/2006/main" xmlns:pic="http://schemas.openxmlformats.org/drawingml/2006/picture">
            <wp:extent cx="5486400" cy="2627333"/>
            <wp:docPr id="4" name="Picture 4"/>
            <wp:cNvGraphicFramePr>
              <a:graphicFrameLocks noChangeAspect="1"/>
            </wp:cNvGraphicFramePr>
            <a:graphic>
              <a:graphicData uri="http://schemas.openxmlformats.org/drawingml/2006/picture">
                <pic:pic>
                  <pic:nvPicPr>
                    <pic:cNvPr id="0" name="fig03.png"/>
                    <pic:cNvPicPr/>
                  </pic:nvPicPr>
                  <pic:blipFill>
                    <a:blip r:embed="rId14"/>
                    <a:stretch>
                      <a:fillRect/>
                    </a:stretch>
                  </pic:blipFill>
                  <pic:spPr>
                    <a:xfrm>
                      <a:off x="0" y="0"/>
                      <a:ext cx="5486400" cy="2627333"/>
                    </a:xfrm>
                    <a:prstGeom prst="rect"/>
                  </pic:spPr>
                </pic:pic>
              </a:graphicData>
            </a:graphic>
          </wp:inline>
        </w:drawing>
      </w:r>
    </w:p>
    <w:p>
      <w:pPr>
        <w:spacing w:before="80" w:after="240"/>
        <w:jc w:val="center"/>
      </w:pPr>
      <w:r>
        <w:rPr>
          <w:rFonts w:ascii="Arial" w:hAnsi="Arial" w:cs="Arial"/>
          <w:b/>
          <w:i w:val="0"/>
          <w:sz w:val="19"/>
        </w:rPr>
        <w:t>Figure 3.</w:t>
      </w:r>
      <w:r>
        <w:rPr>
          <w:rFonts w:ascii="Arial" w:hAnsi="Arial" w:cs="Arial"/>
          <w:b w:val="0"/>
          <w:i w:val="0"/>
          <w:sz w:val="19"/>
        </w:rPr>
        <w:t xml:space="preserve"> Working principle at one station. The encoder embeds the recent context window and the predictor estimates the near-future change; the discrepancy against the observed change is the residual (30), which serves as the integrity-violation score.</w:t>
      </w:r>
    </w:p>
    <w:p>
      <w:pPr>
        <w:spacing w:after="140" w:line="274" w:lineRule="auto"/>
        <w:jc w:val="both"/>
      </w:pPr>
      <w:r>
        <w:rPr>
          <w:rFonts w:ascii="Times New Roman" w:hAnsi="Times New Roman" w:cs="Times New Roman"/>
          <w:b/>
          <w:i w:val="0"/>
          <w:sz w:val="22"/>
        </w:rPr>
        <w:t xml:space="preserve">Cross-station coupling. </w:t>
      </w:r>
      <w:r>
        <w:rPr>
          <w:rFonts w:ascii="Times New Roman" w:hAnsi="Times New Roman" w:cs="Times New Roman"/>
          <w:b w:val="0"/>
          <w:i w:val="0"/>
          <w:sz w:val="22"/>
        </w:rPr>
        <w:t>A single station cannot distinguish an individual brief anomaly from coordinated activity. The processing arrangement therefore compares the residual time-series of proximate stations. Collusion couples two stations in time — one candidate signals, the other responds after a short lag — producing residual elevations that are correlated at that lag. An isolated anomaly correlates with nothing. A lagged cross-correlation of proximate-station residuals, evaluated per modality and combined, therefore separates coordination from coincidence, and the quantity so obtained is absent from any single-station analysis.</w:t>
      </w:r>
    </w:p>
    <w:p>
      <w:pPr>
        <w:spacing w:after="140" w:line="274" w:lineRule="auto"/>
        <w:jc w:val="both"/>
      </w:pPr>
      <w:r>
        <w:rPr>
          <w:rFonts w:ascii="Times New Roman" w:hAnsi="Times New Roman" w:cs="Times New Roman"/>
          <w:b/>
          <w:i w:val="0"/>
          <w:sz w:val="22"/>
        </w:rPr>
        <w:t xml:space="preserve">Common-mode rejection and the unoccupied reference station. </w:t>
      </w:r>
      <w:r>
        <w:rPr>
          <w:rFonts w:ascii="Times New Roman" w:hAnsi="Times New Roman" w:cs="Times New Roman"/>
          <w:b w:val="0"/>
          <w:i w:val="0"/>
          <w:sz w:val="22"/>
        </w:rPr>
        <w:t>Stations within a venue share an environment, so residual elevations arise simultaneously at proximate stations for reasons unrelated to coordination: an invigilator passing between desks, a door opening, a dropped object, a public-address announcement, a venue-wide radio disturbance. Such common-mode events satisfy a naive coordination condition and are the principal source of false coordination alarms. The processing arrangement estimates, at each sampling instant, a component representing residual variation shared across the stations, and subtracts it from each station residual before any coupling statistic is computed. The estimate is formed as a robust central statistic across the stations — in the best-performing embodiment tested, the plain median at each instant — and includes the residual of at least one station (90) instrumented in like manner and held unoccupied throughout the session. The unoccupied station is not a refinement. A reference formed only from occupied stations carries whatever the candidates at those stations are doing; a station carrying no candidate observes the room and nothing else, which is precisely the quantity to be removed.</w:t>
      </w:r>
    </w:p>
    <w:p>
      <w:pPr>
        <w:spacing w:before="160" w:after="40"/>
        <w:jc w:val="center"/>
      </w:pPr>
      <w:r>
        <w:drawing>
          <wp:inline xmlns:a="http://schemas.openxmlformats.org/drawingml/2006/main" xmlns:pic="http://schemas.openxmlformats.org/drawingml/2006/picture">
            <wp:extent cx="5852160" cy="3424200"/>
            <wp:docPr id="5" name="Picture 5"/>
            <wp:cNvGraphicFramePr>
              <a:graphicFrameLocks noChangeAspect="1"/>
            </wp:cNvGraphicFramePr>
            <a:graphic>
              <a:graphicData uri="http://schemas.openxmlformats.org/drawingml/2006/picture">
                <pic:pic>
                  <pic:nvPicPr>
                    <pic:cNvPr id="0" name="fig04.png"/>
                    <pic:cNvPicPr/>
                  </pic:nvPicPr>
                  <pic:blipFill>
                    <a:blip r:embed="rId15"/>
                    <a:stretch>
                      <a:fillRect/>
                    </a:stretch>
                  </pic:blipFill>
                  <pic:spPr>
                    <a:xfrm>
                      <a:off x="0" y="0"/>
                      <a:ext cx="5852160" cy="3424200"/>
                    </a:xfrm>
                    <a:prstGeom prst="rect"/>
                  </pic:spPr>
                </pic:pic>
              </a:graphicData>
            </a:graphic>
          </wp:inline>
        </w:drawing>
      </w:r>
    </w:p>
    <w:p>
      <w:pPr>
        <w:spacing w:before="80" w:after="240"/>
        <w:jc w:val="center"/>
      </w:pPr>
      <w:r>
        <w:rPr>
          <w:rFonts w:ascii="Arial" w:hAnsi="Arial" w:cs="Arial"/>
          <w:b/>
          <w:i w:val="0"/>
          <w:sz w:val="19"/>
        </w:rPr>
        <w:t>Figure 4.</w:t>
      </w:r>
      <w:r>
        <w:rPr>
          <w:rFonts w:ascii="Arial" w:hAnsi="Arial" w:cs="Arial"/>
          <w:b w:val="0"/>
          <w:i w:val="0"/>
          <w:sz w:val="19"/>
        </w:rPr>
        <w:t xml:space="preserve"> Venue installation. Candidate stations (100) and at least one like-instrumented reference station (90) held unoccupied share a common time base (70) to within a tolerance T; a venue-wide event reaches every station at once and is removed by the common-mode estimator, while the coupling of one pair at a lag survives it and an isolated anomaly couples with nothing.</w:t>
      </w:r>
    </w:p>
    <w:p>
      <w:pPr>
        <w:spacing w:after="140" w:line="274" w:lineRule="auto"/>
        <w:jc w:val="both"/>
      </w:pPr>
      <w:r>
        <w:rPr>
          <w:rFonts w:ascii="Times New Roman" w:hAnsi="Times New Roman" w:cs="Times New Roman"/>
          <w:b/>
          <w:i w:val="0"/>
          <w:sz w:val="22"/>
        </w:rPr>
        <w:t xml:space="preserve">The inverted null: each pair is its own control. </w:t>
      </w:r>
      <w:r>
        <w:rPr>
          <w:rFonts w:ascii="Times New Roman" w:hAnsi="Times New Roman" w:cs="Times New Roman"/>
          <w:b w:val="0"/>
          <w:i w:val="0"/>
          <w:sz w:val="22"/>
        </w:rPr>
        <w:t>A coupling statistic evaluated against a fixed threshold would report the standing coupling produced by the fixed geometry of the room — two adjacent desks share a wall, a light fitting and a draught, and their residuals are not independent even when both candidates behave. For each pair of stations the processing arrangement therefore measures, during an interval of the session in which activity is sanctioned, a baseline value of the same coupling statistic computed on the same corrected residual streams of the same pair. Coordination is indicated only when the coupling later exceeds that pair’s own baseline by a predetermined margin. Each pair is thus its own control, which removes seating distance, room geometry and any fixed shared exposure from the decision without any labelled datum. The condition is further required to be satisfied on each of at least a predetermined number of separate occasions within the session, because the coupling statistic is a correlation estimate and a single exchange does not move it: measurement reported at Section 8 puts the usable range at about twenty separate exchanges and upward.</w:t>
      </w:r>
    </w:p>
    <w:p>
      <w:pPr>
        <w:spacing w:after="140" w:line="274" w:lineRule="auto"/>
        <w:jc w:val="both"/>
      </w:pPr>
      <w:r>
        <w:rPr>
          <w:rFonts w:ascii="Times New Roman" w:hAnsi="Times New Roman" w:cs="Times New Roman"/>
          <w:b/>
          <w:i w:val="0"/>
          <w:sz w:val="22"/>
        </w:rPr>
        <w:t xml:space="preserve">Timing. </w:t>
      </w:r>
      <w:r>
        <w:rPr>
          <w:rFonts w:ascii="Times New Roman" w:hAnsi="Times New Roman" w:cs="Times New Roman"/>
          <w:b w:val="0"/>
          <w:i w:val="0"/>
          <w:sz w:val="22"/>
        </w:rPr>
        <w:t>The lag to be resolved is short. Clock disagreement between stations both smears a genuine coupling and manufactures a spurious one, so a time-synchronisation arrangement (70) holds the streams to a common time base within a predetermined tolerance, and the set of lags at which coupling is evaluated is bounded below at twice that tolerance. Expressed as a fraction of the coupling lag the requirement is independent of the reporting rate: measurement reported at Section 8 shows ranking accuracy above 0.95 while the timing error remains within about one and a half times the shortest evaluated lag, and collapse beyond three times it. For a coupling lag of one to three seconds that admits network time synchronisation over the venue local area network and requires no pulse-per-second distribution.</w:t>
      </w:r>
    </w:p>
    <w:p>
      <w:pPr>
        <w:spacing w:after="140" w:line="274" w:lineRule="auto"/>
        <w:jc w:val="both"/>
      </w:pPr>
      <w:r>
        <w:rPr>
          <w:rFonts w:ascii="Times New Roman" w:hAnsi="Times New Roman" w:cs="Times New Roman"/>
          <w:b/>
          <w:i w:val="0"/>
          <w:sz w:val="22"/>
        </w:rPr>
        <w:t xml:space="preserve">Per-station, per-session calibration. </w:t>
      </w:r>
      <w:r>
        <w:rPr>
          <w:rFonts w:ascii="Times New Roman" w:hAnsi="Times New Roman" w:cs="Times New Roman"/>
          <w:b w:val="0"/>
          <w:i w:val="0"/>
          <w:sz w:val="22"/>
        </w:rPr>
        <w:t>Ambient acoustic and electromagnetic conditions differ between halls, between rooms of a hall and between mornings and afternoons. The statistics used for standardisation are therefore established from an initial interval of each session, at each station, and then held fixed for the remainder of that session, or re-established at intervals where the ambient conditions are known to drift. No labelled data is required, which is what makes the calibration deployable at scale.</w:t>
      </w:r>
    </w:p>
    <w:p>
      <w:pPr>
        <w:spacing w:after="140" w:line="274" w:lineRule="auto"/>
        <w:jc w:val="both"/>
      </w:pPr>
      <w:r>
        <w:rPr>
          <w:rFonts w:ascii="Times New Roman" w:hAnsi="Times New Roman" w:cs="Times New Roman"/>
          <w:b/>
          <w:i w:val="0"/>
          <w:sz w:val="22"/>
        </w:rPr>
        <w:t xml:space="preserve">Graduated physical response. </w:t>
      </w:r>
      <w:r>
        <w:rPr>
          <w:rFonts w:ascii="Times New Roman" w:hAnsi="Times New Roman" w:cs="Times New Roman"/>
          <w:b w:val="0"/>
          <w:i w:val="0"/>
          <w:sz w:val="22"/>
        </w:rPr>
        <w:t>Every claim of this disclosure that ends in a notification is a weaker claim than one that ends in a physical act, and the installation accordingly acts. Each sensing assembly is operable in a first acquisition state (82) and a second acquisition state (84), the two differing in at least one of sampling rate, the number of transducers enabled, and the directional selectivity of acquisition. The installation runs in the first state throughout. On the coordination condition being satisfied in respect of a pair, the acquisition-state controller (80) switches the sensing assemblies of the two implicated stations, and of no other station, into the second state for a bounded interval, after which they revert unless the condition is satisfied again. The response is deliberately confined to gathering better evidence on the implicated pair. Confining it to that pair and bounding it in time is also the privacy answer: the venue is monitored at the lower rate by default, and closer acquisition is applied only where a measured relation between two physically separate transducer sets has warranted it.</w:t>
      </w:r>
    </w:p>
    <w:p>
      <w:pPr>
        <w:keepNext/>
        <w:spacing w:before="220" w:after="80"/>
        <w:outlineLvl w:val="1"/>
      </w:pPr>
      <w:r>
        <w:rPr>
          <w:rFonts w:ascii="Times New Roman" w:hAnsi="Times New Roman" w:cs="Times New Roman"/>
          <w:b/>
          <w:i w:val="0"/>
          <w:sz w:val="23"/>
        </w:rPr>
        <w:t>7.1 Alternative Embodiments</w:t>
      </w:r>
    </w:p>
    <w:p>
      <w:pPr>
        <w:spacing w:after="140" w:line="274" w:lineRule="auto"/>
        <w:jc w:val="both"/>
      </w:pPr>
      <w:r>
        <w:rPr>
          <w:rFonts w:ascii="Times New Roman" w:hAnsi="Times New Roman" w:cs="Times New Roman"/>
          <w:b w:val="0"/>
          <w:i w:val="0"/>
          <w:sz w:val="22"/>
        </w:rPr>
        <w:t>The following alternatives are contemplated and are to be read as within the scope of the invention. They are recited so that the disclosure supports claim language broader than the principal embodiment.</w:t>
      </w:r>
    </w:p>
    <w:p>
      <w:pPr>
        <w:spacing w:after="140" w:line="274" w:lineRule="auto"/>
        <w:ind w:left="403"/>
        <w:jc w:val="both"/>
      </w:pPr>
      <w:r>
        <w:rPr>
          <w:rFonts w:ascii="Times New Roman" w:hAnsi="Times New Roman" w:cs="Times New Roman"/>
          <w:b/>
          <w:i w:val="0"/>
          <w:sz w:val="21"/>
        </w:rPr>
        <w:t xml:space="preserve">(a) Sensing modalities. </w:t>
      </w:r>
      <w:r>
        <w:rPr>
          <w:rFonts w:ascii="Times New Roman" w:hAnsi="Times New Roman" w:cs="Times New Roman"/>
          <w:b w:val="0"/>
          <w:i w:val="0"/>
          <w:sz w:val="21"/>
        </w:rPr>
        <w:t>The sensing assembly may comprise any one or more of: acoustic sensing including near-ultrasonic bands; electromagnetic and radio-frequency sensing including device-advertisement capture and received-signal-strength dynamics; mechanical vibration or accelerometric sensing of the desk or seat surface; magnetic-field sensing; pressure, strain, or load sensing in the seat or writing surface; thermal or infrared sensing; millimetre-wave or radar-based micro-motion sensing; capacitive proximity sensing; and optical sensing of candidate behaviour. The method is indifferent to which physical quantity is sensed, because the detector learns the temporal predictability of whatever stream it is given.</w:t>
      </w:r>
    </w:p>
    <w:p>
      <w:pPr>
        <w:spacing w:after="140" w:line="274" w:lineRule="auto"/>
        <w:ind w:left="403"/>
        <w:jc w:val="both"/>
      </w:pPr>
      <w:r>
        <w:rPr>
          <w:rFonts w:ascii="Times New Roman" w:hAnsi="Times New Roman" w:cs="Times New Roman"/>
          <w:b/>
          <w:i w:val="0"/>
          <w:sz w:val="21"/>
        </w:rPr>
        <w:t xml:space="preserve">(b) Physical form factor. </w:t>
      </w:r>
      <w:r>
        <w:rPr>
          <w:rFonts w:ascii="Times New Roman" w:hAnsi="Times New Roman" w:cs="Times New Roman"/>
          <w:b w:val="0"/>
          <w:i w:val="0"/>
          <w:sz w:val="21"/>
        </w:rPr>
        <w:t>The sensing assembly may be embedded within a purpose-built desk body; provided as a retrofit sensing pod clamped or adhered to an existing desk; integrated into a partition, seat back, or candidate device holder; or mounted overhead on a per-station basis. Retrofit embodiments are commercially significant because they do not require replacement of existing furniture. The reference station is of like construction in every case.</w:t>
      </w:r>
    </w:p>
    <w:p>
      <w:pPr>
        <w:spacing w:after="140" w:line="274" w:lineRule="auto"/>
        <w:ind w:left="403"/>
        <w:jc w:val="both"/>
      </w:pPr>
      <w:r>
        <w:rPr>
          <w:rFonts w:ascii="Times New Roman" w:hAnsi="Times New Roman" w:cs="Times New Roman"/>
          <w:b/>
          <w:i w:val="0"/>
          <w:sz w:val="21"/>
        </w:rPr>
        <w:t xml:space="preserve">(c) The reference station. </w:t>
      </w:r>
      <w:r>
        <w:rPr>
          <w:rFonts w:ascii="Times New Roman" w:hAnsi="Times New Roman" w:cs="Times New Roman"/>
          <w:b w:val="0"/>
          <w:i w:val="0"/>
          <w:sz w:val="21"/>
        </w:rPr>
        <w:t>One reference station per hall suffices in a small room. Two or more at spaced positions are contemplated where the venue is large enough that a disturbance does not reach all stations equally, in which case the reference applied to a candidate station may be formed with greater weight on the nearer reference. A reference station may alternatively be a candidate station recorded as unoccupied for that session by the seating plan, at the cost of relying on that record.</w:t>
      </w:r>
    </w:p>
    <w:p>
      <w:pPr>
        <w:spacing w:after="140" w:line="274" w:lineRule="auto"/>
        <w:ind w:left="403"/>
        <w:jc w:val="both"/>
      </w:pPr>
      <w:r>
        <w:rPr>
          <w:rFonts w:ascii="Times New Roman" w:hAnsi="Times New Roman" w:cs="Times New Roman"/>
          <w:b/>
          <w:i w:val="0"/>
          <w:sz w:val="21"/>
        </w:rPr>
        <w:t xml:space="preserve">(d) Processing topology. </w:t>
      </w:r>
      <w:r>
        <w:rPr>
          <w:rFonts w:ascii="Times New Roman" w:hAnsi="Times New Roman" w:cs="Times New Roman"/>
          <w:b w:val="0"/>
          <w:i w:val="0"/>
          <w:sz w:val="21"/>
        </w:rPr>
        <w:t>Inference may be performed entirely at an edge processing unit at the station; at a venue-local aggregation server receiving feature streams from many stations and performing scoring, fusion, common-mode estimation and coupling centrally; at a remote server; or in any hybrid division of these. In privacy-preserving embodiments raw acoustic, optical and radio signals are reduced to features at the point of acquisition and only derived features or residual values are transmitted beyond the venue.</w:t>
      </w:r>
    </w:p>
    <w:p>
      <w:pPr>
        <w:spacing w:after="140" w:line="274" w:lineRule="auto"/>
        <w:ind w:left="403"/>
        <w:jc w:val="both"/>
      </w:pPr>
      <w:r>
        <w:rPr>
          <w:rFonts w:ascii="Times New Roman" w:hAnsi="Times New Roman" w:cs="Times New Roman"/>
          <w:b/>
          <w:i w:val="0"/>
          <w:sz w:val="21"/>
        </w:rPr>
        <w:t xml:space="preserve">(e) Model and residual variants. </w:t>
      </w:r>
      <w:r>
        <w:rPr>
          <w:rFonts w:ascii="Times New Roman" w:hAnsi="Times New Roman" w:cs="Times New Roman"/>
          <w:b w:val="0"/>
          <w:i w:val="0"/>
          <w:sz w:val="21"/>
        </w:rPr>
        <w:t>The predictive model may employ convolutional, recurrent, or attention-based encoders; a single joint encoder across modalities or one per modality; prediction of raw future samples, of future feature statistics, or of the future embedding. The residual may be computed as squared error, absolute error, cosine distance in embedding space, or negative log-likelihood under a predictive distribution. Fusion may be by mean, maximum, weighted sum with weights set from sanctioned-only variance, or a learned combiner trained without malpractice labels.</w:t>
      </w:r>
    </w:p>
    <w:p>
      <w:pPr>
        <w:spacing w:after="140" w:line="274" w:lineRule="auto"/>
        <w:ind w:left="403"/>
        <w:jc w:val="both"/>
      </w:pPr>
      <w:r>
        <w:rPr>
          <w:rFonts w:ascii="Times New Roman" w:hAnsi="Times New Roman" w:cs="Times New Roman"/>
          <w:b/>
          <w:i w:val="0"/>
          <w:sz w:val="21"/>
        </w:rPr>
        <w:t xml:space="preserve">(f) Coupling variants. </w:t>
      </w:r>
      <w:r>
        <w:rPr>
          <w:rFonts w:ascii="Times New Roman" w:hAnsi="Times New Roman" w:cs="Times New Roman"/>
          <w:b w:val="0"/>
          <w:i w:val="0"/>
          <w:sz w:val="21"/>
        </w:rPr>
        <w:t>Cross-station coupling may be measured by time-lagged cross-correlation, mutual information, coherence, or event-coincidence statistics over sliding windows. Coupling results across a venue may be assembled into a graph in which stations are nodes and supra-threshold proximate pairs are edges; connected components identify collusion groups involving more than two candidates, and the graph may be presented to an invigilator as a live hall map.</w:t>
      </w:r>
    </w:p>
    <w:p>
      <w:pPr>
        <w:spacing w:after="140" w:line="274" w:lineRule="auto"/>
        <w:ind w:left="403"/>
        <w:jc w:val="both"/>
      </w:pPr>
      <w:r>
        <w:rPr>
          <w:rFonts w:ascii="Times New Roman" w:hAnsi="Times New Roman" w:cs="Times New Roman"/>
          <w:b/>
          <w:i w:val="0"/>
          <w:sz w:val="21"/>
        </w:rPr>
        <w:t xml:space="preserve">(g) The second acquisition state. </w:t>
      </w:r>
      <w:r>
        <w:rPr>
          <w:rFonts w:ascii="Times New Roman" w:hAnsi="Times New Roman" w:cs="Times New Roman"/>
          <w:b w:val="0"/>
          <w:i w:val="0"/>
          <w:sz w:val="21"/>
        </w:rPr>
        <w:t>The second state may raise the sampling rate of one or more transducers, enable a transducer held inactive in the first state, narrow the directional selectivity of an acoustic array toward the implicated station, or extend the retained window of derived features. It may be applied for a fixed interval, for an interval that extends while the coordination condition continues to be satisfied, or until an invigilator acknowledges the indication.</w:t>
      </w:r>
    </w:p>
    <w:p>
      <w:pPr>
        <w:spacing w:after="140" w:line="274" w:lineRule="auto"/>
        <w:ind w:left="403"/>
        <w:jc w:val="both"/>
      </w:pPr>
      <w:r>
        <w:rPr>
          <w:rFonts w:ascii="Times New Roman" w:hAnsi="Times New Roman" w:cs="Times New Roman"/>
          <w:b/>
          <w:i w:val="0"/>
          <w:sz w:val="21"/>
        </w:rPr>
        <w:t xml:space="preserve">(h) Contemplated further development. </w:t>
      </w:r>
      <w:r>
        <w:rPr>
          <w:rFonts w:ascii="Times New Roman" w:hAnsi="Times New Roman" w:cs="Times New Roman"/>
          <w:b w:val="0"/>
          <w:i w:val="0"/>
          <w:sz w:val="21"/>
        </w:rPr>
        <w:t>In a further contemplated embodiment the predictive model is additionally trained against corrupted or temporally shuffled future signals as explicit negative examples, such that a plausible future is scored as more probable than an implausible one, sharpening the residual used as the integrity score. This variant is disclosed to preserve it for possible later claiming; it is deliberately not recited among the claims of Section 10, as it has not been reduced to practice.</w:t>
      </w:r>
    </w:p>
    <w:p>
      <w:pPr>
        <w:spacing w:after="140" w:line="274" w:lineRule="auto"/>
        <w:ind w:left="403"/>
        <w:jc w:val="both"/>
      </w:pPr>
      <w:r>
        <w:rPr>
          <w:rFonts w:ascii="Times New Roman" w:hAnsi="Times New Roman" w:cs="Times New Roman"/>
          <w:b/>
          <w:i w:val="0"/>
          <w:sz w:val="21"/>
        </w:rPr>
        <w:t xml:space="preserve">(i) Application environments. </w:t>
      </w:r>
      <w:r>
        <w:rPr>
          <w:rFonts w:ascii="Times New Roman" w:hAnsi="Times New Roman" w:cs="Times New Roman"/>
          <w:b w:val="0"/>
          <w:i w:val="0"/>
          <w:sz w:val="21"/>
        </w:rPr>
        <w:t>Beyond examination halls the same installation applies to professional certification and licensing test centres, secure interview and vetting rooms, recruitment and aptitude testing facilities, defence and public-service selection examinations, controlled-access screening areas, and multi-seat remote-proctoring installations. In each case the enabling condition is the same: sanctioned activity is abundant and cheaply recorded, violations are rare, concealed and unlabellable, and several monitored positions share one space.</w:t>
      </w:r>
    </w:p>
    <w:p>
      <w:pPr>
        <w:keepNext/>
        <w:spacing w:before="320" w:after="120"/>
        <w:outlineLvl w:val="0"/>
      </w:pPr>
      <w:r>
        <w:rPr>
          <w:rFonts w:ascii="Times New Roman" w:hAnsi="Times New Roman" w:cs="Times New Roman"/>
          <w:b/>
          <w:i w:val="0"/>
          <w:sz w:val="26"/>
        </w:rPr>
        <w:t>8. Validation</w:t>
      </w:r>
    </w:p>
    <w:p>
      <w:pPr>
        <w:spacing w:after="140" w:line="274" w:lineRule="auto"/>
        <w:jc w:val="both"/>
      </w:pPr>
      <w:r>
        <w:rPr>
          <w:rFonts w:ascii="Times New Roman" w:hAnsi="Times New Roman" w:cs="Times New Roman"/>
          <w:b w:val="0"/>
          <w:i w:val="0"/>
          <w:sz w:val="22"/>
        </w:rPr>
        <w:t>This section reports two bodies of work of different evidential weight, and they are kept apart deliberately. Part A is a parametric simulation of station-level signals, in which both the sanctioned and the violation signals were produced by a generative model. It establishes internal consistency and nothing more. Part B is a measurement campaign on a public, real, multi-node sensor corpus under a licence permitting commercial use, and it is the evidence on which the cross-station claims rest. No measurement on a physical prototype of this invention is reported anywhere in this document; Section 9 sets out prospectively the experiment that would produce one. Detection quality is reported throughout as AUROC, where 1.0 is perfect ranking and 0.5 is chance.</w:t>
      </w:r>
    </w:p>
    <w:p>
      <w:pPr>
        <w:keepNext/>
        <w:spacing w:before="220" w:after="80"/>
        <w:outlineLvl w:val="1"/>
      </w:pPr>
      <w:r>
        <w:rPr>
          <w:rFonts w:ascii="Times New Roman" w:hAnsi="Times New Roman" w:cs="Times New Roman"/>
          <w:b/>
          <w:i w:val="0"/>
          <w:sz w:val="23"/>
        </w:rPr>
        <w:t>8.1 Part A — Simulation of the Single-Station Detector</w:t>
      </w:r>
    </w:p>
    <w:p>
      <w:pPr>
        <w:spacing w:after="140" w:line="274" w:lineRule="auto"/>
        <w:jc w:val="both"/>
      </w:pPr>
      <w:r>
        <w:rPr>
          <w:rFonts w:ascii="Times New Roman" w:hAnsi="Times New Roman" w:cs="Times New Roman"/>
          <w:b w:val="0"/>
          <w:i w:val="0"/>
          <w:sz w:val="22"/>
        </w:rPr>
        <w:t>Before the method was evaluated the simulation was audited to confirm that no single sensor feature trivially separates sanctioned from violation activity; the largest single-feature separation was small, at a Cohen’s d of 0.16, so any detection must arise from learned temporal structure rather than from one obvious cue. A supervised reference detector trained from scratch on the same data, but permitted to use the labels, establishes the best achievable performance and serves as a ceiling. The apparent tension between a single-feature separation of 0.16 and a supervised ceiling of 0.946 is expected and is itself informative: the separating information is multivariate and temporal, distributed across features and across time, and invisible to any test applied to one feature at one instant.</w:t>
      </w:r>
    </w:p>
    <w:p>
      <w:pPr>
        <w:spacing w:after="140" w:line="274" w:lineRule="auto"/>
        <w:jc w:val="both"/>
      </w:pPr>
      <w:r>
        <w:rPr>
          <w:rFonts w:ascii="Times New Roman" w:hAnsi="Times New Roman" w:cs="Times New Roman"/>
          <w:b/>
          <w:i w:val="0"/>
          <w:sz w:val="22"/>
        </w:rPr>
        <w:t xml:space="preserve">Scope of the simulation. </w:t>
      </w:r>
      <w:r>
        <w:rPr>
          <w:rFonts w:ascii="Times New Roman" w:hAnsi="Times New Roman" w:cs="Times New Roman"/>
          <w:b w:val="0"/>
          <w:i w:val="0"/>
          <w:sz w:val="22"/>
        </w:rPr>
        <w:t>The simulation generated twenty-two engineered feature streams per station: eight acoustic features, being log band energy in six bands spanning 0–500 Hz, 500 Hz–2 kHz, 2–8 kHz, 8–14 kHz, 14–18 kHz and 18–24 kHz together with spectral flatness and spectral flux; six electromagnetic features, being the mean and variance of received signal strength, the advertisement rate, the count of distinct advertising addresses, the probe-request rate and channel utilisation; and eight behavioural features. Streams were segmented into context windows of thirty frames, yielding 17,000 context windows per modality, and the model was trained for forty epochs on sanctioned windows only, with embedding spread held between 0.94 and 0.97 by the variance-covariance regularisation. All figures derive from a single training run per configuration; no across-seed variance estimate exists, and no figure below should be read as carrying more precision than that supports.</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1440"/>
          </w:tcPr>
          <w:p>
            <w:pPr>
              <w:keepNext/>
              <w:spacing w:after="40"/>
              <w:jc w:val="center"/>
            </w:pPr>
            <w:r/>
            <w:r>
              <w:rPr>
                <w:rFonts w:ascii="Times New Roman" w:hAnsi="Times New Roman" w:cs="Times New Roman"/>
                <w:b/>
                <w:i w:val="0"/>
                <w:sz w:val="17"/>
              </w:rPr>
              <w:t>Signal strength (SNR)</w:t>
            </w:r>
          </w:p>
        </w:tc>
        <w:tc>
          <w:tcPr>
            <w:tcW w:type="dxa" w:w="1800"/>
          </w:tcPr>
          <w:p>
            <w:pPr>
              <w:keepNext/>
              <w:spacing w:after="40"/>
              <w:jc w:val="center"/>
            </w:pPr>
            <w:r/>
            <w:r>
              <w:rPr>
                <w:rFonts w:ascii="Times New Roman" w:hAnsi="Times New Roman" w:cs="Times New Roman"/>
                <w:b/>
                <w:i w:val="0"/>
                <w:sz w:val="17"/>
              </w:rPr>
              <w:t>Reference detector (uses labels)</w:t>
            </w:r>
          </w:p>
        </w:tc>
        <w:tc>
          <w:tcPr>
            <w:tcW w:type="dxa" w:w="1800"/>
          </w:tcPr>
          <w:p>
            <w:pPr>
              <w:keepNext/>
              <w:spacing w:after="40"/>
              <w:jc w:val="center"/>
            </w:pPr>
            <w:r/>
            <w:r>
              <w:rPr>
                <w:rFonts w:ascii="Times New Roman" w:hAnsi="Times New Roman" w:cs="Times New Roman"/>
                <w:b/>
                <w:i w:val="0"/>
                <w:sz w:val="17"/>
              </w:rPr>
              <w:t>Present method (uses no labels)</w:t>
            </w:r>
          </w:p>
        </w:tc>
        <w:tc>
          <w:tcPr>
            <w:tcW w:type="dxa" w:w="4320"/>
          </w:tcPr>
          <w:p>
            <w:pPr>
              <w:keepNext/>
              <w:spacing w:after="40"/>
              <w:jc w:val="center"/>
            </w:pPr>
            <w:r/>
            <w:r>
              <w:rPr>
                <w:rFonts w:ascii="Times New Roman" w:hAnsi="Times New Roman" w:cs="Times New Roman"/>
                <w:b/>
                <w:i w:val="0"/>
                <w:sz w:val="17"/>
              </w:rPr>
              <w:t>Interpretation</w:t>
            </w:r>
          </w:p>
        </w:tc>
      </w:tr>
      <w:tr>
        <w:tc>
          <w:tcPr>
            <w:tcW w:type="dxa" w:w="1440"/>
          </w:tcPr>
          <w:p>
            <w:pPr>
              <w:spacing w:after="40"/>
              <w:jc w:val="center"/>
            </w:pPr>
            <w:r/>
            <w:r>
              <w:rPr>
                <w:rFonts w:ascii="Times New Roman" w:hAnsi="Times New Roman" w:cs="Times New Roman"/>
                <w:b w:val="0"/>
                <w:i w:val="0"/>
                <w:sz w:val="17"/>
              </w:rPr>
              <w:t>1.0 (overt)</w:t>
            </w:r>
          </w:p>
        </w:tc>
        <w:tc>
          <w:tcPr>
            <w:tcW w:type="dxa" w:w="1800"/>
          </w:tcPr>
          <w:p>
            <w:pPr>
              <w:spacing w:after="40"/>
              <w:jc w:val="center"/>
            </w:pPr>
            <w:r/>
            <w:r>
              <w:rPr>
                <w:rFonts w:ascii="Times New Roman" w:hAnsi="Times New Roman" w:cs="Times New Roman"/>
                <w:b w:val="0"/>
                <w:i w:val="0"/>
                <w:sz w:val="17"/>
              </w:rPr>
              <w:t>0.946</w:t>
            </w:r>
          </w:p>
        </w:tc>
        <w:tc>
          <w:tcPr>
            <w:tcW w:type="dxa" w:w="1800"/>
          </w:tcPr>
          <w:p>
            <w:pPr>
              <w:spacing w:after="40"/>
              <w:jc w:val="center"/>
            </w:pPr>
            <w:r/>
            <w:r>
              <w:rPr>
                <w:rFonts w:ascii="Times New Roman" w:hAnsi="Times New Roman" w:cs="Times New Roman"/>
                <w:b w:val="0"/>
                <w:i w:val="0"/>
                <w:sz w:val="17"/>
              </w:rPr>
              <w:t>0.705 / 0.781</w:t>
            </w:r>
          </w:p>
        </w:tc>
        <w:tc>
          <w:tcPr>
            <w:tcW w:type="dxa" w:w="4320"/>
          </w:tcPr>
          <w:p>
            <w:pPr>
              <w:spacing w:after="40"/>
              <w:jc w:val="left"/>
            </w:pPr>
            <w:r/>
            <w:r>
              <w:rPr>
                <w:rFonts w:ascii="Times New Roman" w:hAnsi="Times New Roman" w:cs="Times New Roman"/>
                <w:b w:val="0"/>
                <w:i w:val="0"/>
                <w:sz w:val="17"/>
              </w:rPr>
              <w:t>Recovers about three quarters of the label-using reference with no labelled malpractice; temporal aggregation raises the figure to 0.781.</w:t>
            </w:r>
          </w:p>
        </w:tc>
      </w:tr>
      <w:tr>
        <w:tc>
          <w:tcPr>
            <w:tcW w:type="dxa" w:w="1440"/>
          </w:tcPr>
          <w:p>
            <w:pPr>
              <w:spacing w:after="40"/>
              <w:jc w:val="center"/>
            </w:pPr>
            <w:r/>
            <w:r>
              <w:rPr>
                <w:rFonts w:ascii="Times New Roman" w:hAnsi="Times New Roman" w:cs="Times New Roman"/>
                <w:b w:val="0"/>
                <w:i w:val="0"/>
                <w:sz w:val="17"/>
              </w:rPr>
              <w:t>0.6 (moderate)</w:t>
            </w:r>
          </w:p>
        </w:tc>
        <w:tc>
          <w:tcPr>
            <w:tcW w:type="dxa" w:w="1800"/>
          </w:tcPr>
          <w:p>
            <w:pPr>
              <w:spacing w:after="40"/>
              <w:jc w:val="center"/>
            </w:pPr>
            <w:r/>
            <w:r>
              <w:rPr>
                <w:rFonts w:ascii="Times New Roman" w:hAnsi="Times New Roman" w:cs="Times New Roman"/>
                <w:b w:val="0"/>
                <w:i w:val="0"/>
                <w:sz w:val="17"/>
              </w:rPr>
              <w:t>0.903</w:t>
            </w:r>
          </w:p>
        </w:tc>
        <w:tc>
          <w:tcPr>
            <w:tcW w:type="dxa" w:w="1800"/>
          </w:tcPr>
          <w:p>
            <w:pPr>
              <w:spacing w:after="40"/>
              <w:jc w:val="center"/>
            </w:pPr>
            <w:r/>
            <w:r>
              <w:rPr>
                <w:rFonts w:ascii="Times New Roman" w:hAnsi="Times New Roman" w:cs="Times New Roman"/>
                <w:b w:val="0"/>
                <w:i w:val="0"/>
                <w:sz w:val="17"/>
              </w:rPr>
              <w:t>0.653 / 0.716</w:t>
            </w:r>
          </w:p>
        </w:tc>
        <w:tc>
          <w:tcPr>
            <w:tcW w:type="dxa" w:w="4320"/>
          </w:tcPr>
          <w:p>
            <w:pPr>
              <w:spacing w:after="40"/>
              <w:jc w:val="left"/>
            </w:pPr>
            <w:r/>
            <w:r>
              <w:rPr>
                <w:rFonts w:ascii="Times New Roman" w:hAnsi="Times New Roman" w:cs="Times New Roman"/>
                <w:b w:val="0"/>
                <w:i w:val="0"/>
                <w:sz w:val="17"/>
              </w:rPr>
              <w:t>Detection remains clearly above chance as concealment increases.</w:t>
            </w:r>
          </w:p>
        </w:tc>
      </w:tr>
      <w:tr>
        <w:tc>
          <w:tcPr>
            <w:tcW w:type="dxa" w:w="1440"/>
          </w:tcPr>
          <w:p>
            <w:pPr>
              <w:spacing w:after="40"/>
              <w:jc w:val="center"/>
            </w:pPr>
            <w:r/>
            <w:r>
              <w:rPr>
                <w:rFonts w:ascii="Times New Roman" w:hAnsi="Times New Roman" w:cs="Times New Roman"/>
                <w:b w:val="0"/>
                <w:i w:val="0"/>
                <w:sz w:val="17"/>
              </w:rPr>
              <w:t>0.3 (faint)</w:t>
            </w:r>
          </w:p>
        </w:tc>
        <w:tc>
          <w:tcPr>
            <w:tcW w:type="dxa" w:w="1800"/>
          </w:tcPr>
          <w:p>
            <w:pPr>
              <w:spacing w:after="40"/>
              <w:jc w:val="center"/>
            </w:pPr>
            <w:r/>
            <w:r>
              <w:rPr>
                <w:rFonts w:ascii="Times New Roman" w:hAnsi="Times New Roman" w:cs="Times New Roman"/>
                <w:b w:val="0"/>
                <w:i w:val="0"/>
                <w:sz w:val="17"/>
              </w:rPr>
              <w:t>0.843</w:t>
            </w:r>
          </w:p>
        </w:tc>
        <w:tc>
          <w:tcPr>
            <w:tcW w:type="dxa" w:w="1800"/>
          </w:tcPr>
          <w:p>
            <w:pPr>
              <w:spacing w:after="40"/>
              <w:jc w:val="center"/>
            </w:pPr>
            <w:r/>
            <w:r>
              <w:rPr>
                <w:rFonts w:ascii="Times New Roman" w:hAnsi="Times New Roman" w:cs="Times New Roman"/>
                <w:b w:val="0"/>
                <w:i w:val="0"/>
                <w:sz w:val="17"/>
              </w:rPr>
              <w:t>0.613 / 0.657</w:t>
            </w:r>
          </w:p>
        </w:tc>
        <w:tc>
          <w:tcPr>
            <w:tcW w:type="dxa" w:w="4320"/>
          </w:tcPr>
          <w:p>
            <w:pPr>
              <w:spacing w:after="40"/>
              <w:jc w:val="left"/>
            </w:pPr>
            <w:r/>
            <w:r>
              <w:rPr>
                <w:rFonts w:ascii="Times New Roman" w:hAnsi="Times New Roman" w:cs="Times New Roman"/>
                <w:b w:val="0"/>
                <w:i w:val="0"/>
                <w:sz w:val="17"/>
              </w:rPr>
              <w:t>Weak but non-trivial detection of subtle activity.</w:t>
            </w:r>
          </w:p>
        </w:tc>
      </w:tr>
      <w:tr>
        <w:tc>
          <w:tcPr>
            <w:tcW w:type="dxa" w:w="1440"/>
          </w:tcPr>
          <w:p>
            <w:pPr>
              <w:keepNext/>
              <w:spacing w:after="40"/>
              <w:jc w:val="center"/>
            </w:pPr>
            <w:r/>
            <w:r>
              <w:rPr>
                <w:rFonts w:ascii="Times New Roman" w:hAnsi="Times New Roman" w:cs="Times New Roman"/>
                <w:b w:val="0"/>
                <w:i w:val="0"/>
                <w:sz w:val="17"/>
              </w:rPr>
              <w:t>0.15 (near noise floor)</w:t>
            </w:r>
          </w:p>
        </w:tc>
        <w:tc>
          <w:tcPr>
            <w:tcW w:type="dxa" w:w="1800"/>
          </w:tcPr>
          <w:p>
            <w:pPr>
              <w:keepNext/>
              <w:spacing w:after="40"/>
              <w:jc w:val="center"/>
            </w:pPr>
            <w:r/>
            <w:r>
              <w:rPr>
                <w:rFonts w:ascii="Times New Roman" w:hAnsi="Times New Roman" w:cs="Times New Roman"/>
                <w:b w:val="0"/>
                <w:i w:val="0"/>
                <w:sz w:val="17"/>
              </w:rPr>
              <w:t>0.797</w:t>
            </w:r>
          </w:p>
        </w:tc>
        <w:tc>
          <w:tcPr>
            <w:tcW w:type="dxa" w:w="1800"/>
          </w:tcPr>
          <w:p>
            <w:pPr>
              <w:keepNext/>
              <w:spacing w:after="40"/>
              <w:jc w:val="center"/>
            </w:pPr>
            <w:r/>
            <w:r>
              <w:rPr>
                <w:rFonts w:ascii="Times New Roman" w:hAnsi="Times New Roman" w:cs="Times New Roman"/>
                <w:b w:val="0"/>
                <w:i w:val="0"/>
                <w:sz w:val="17"/>
              </w:rPr>
              <w:t>0.541 / 0.571</w:t>
            </w:r>
          </w:p>
        </w:tc>
        <w:tc>
          <w:tcPr>
            <w:tcW w:type="dxa" w:w="4320"/>
          </w:tcPr>
          <w:p>
            <w:pPr>
              <w:keepNext/>
              <w:spacing w:after="40"/>
              <w:jc w:val="left"/>
            </w:pPr>
            <w:r/>
            <w:r>
              <w:rPr>
                <w:rFonts w:ascii="Times New Roman" w:hAnsi="Times New Roman" w:cs="Times New Roman"/>
                <w:b w:val="0"/>
                <w:i w:val="0"/>
                <w:sz w:val="17"/>
              </w:rPr>
              <w:t>Approaches chance; defines the lower limit of the operating envelope.</w:t>
            </w:r>
          </w:p>
        </w:tc>
      </w:tr>
    </w:tbl>
    <w:p>
      <w:pPr>
        <w:spacing w:before="60" w:after="240"/>
        <w:jc w:val="center"/>
      </w:pPr>
      <w:r>
        <w:rPr>
          <w:rFonts w:ascii="Times New Roman" w:hAnsi="Times New Roman" w:cs="Times New Roman"/>
          <w:b/>
          <w:i w:val="0"/>
          <w:sz w:val="21"/>
        </w:rPr>
        <w:t>Table 3: Simulated Single-Station Detection Against Signal Strength</w:t>
      </w:r>
    </w:p>
    <w:p>
      <w:pPr>
        <w:spacing w:before="160" w:after="40"/>
        <w:jc w:val="center"/>
      </w:pPr>
      <w:r>
        <w:drawing>
          <wp:inline xmlns:a="http://schemas.openxmlformats.org/drawingml/2006/main" xmlns:pic="http://schemas.openxmlformats.org/drawingml/2006/picture">
            <wp:extent cx="5120640" cy="2755972"/>
            <wp:docPr id="6" name="Picture 6"/>
            <wp:cNvGraphicFramePr>
              <a:graphicFrameLocks noChangeAspect="1"/>
            </wp:cNvGraphicFramePr>
            <a:graphic>
              <a:graphicData uri="http://schemas.openxmlformats.org/drawingml/2006/picture">
                <pic:pic>
                  <pic:nvPicPr>
                    <pic:cNvPr id="0" name="fig06.png"/>
                    <pic:cNvPicPr/>
                  </pic:nvPicPr>
                  <pic:blipFill>
                    <a:blip r:embed="rId16"/>
                    <a:stretch>
                      <a:fillRect/>
                    </a:stretch>
                  </pic:blipFill>
                  <pic:spPr>
                    <a:xfrm>
                      <a:off x="0" y="0"/>
                      <a:ext cx="5120640" cy="2755972"/>
                    </a:xfrm>
                    <a:prstGeom prst="rect"/>
                  </pic:spPr>
                </pic:pic>
              </a:graphicData>
            </a:graphic>
          </wp:inline>
        </w:drawing>
      </w:r>
    </w:p>
    <w:p>
      <w:pPr>
        <w:spacing w:before="80" w:after="240"/>
        <w:jc w:val="center"/>
      </w:pPr>
      <w:r>
        <w:rPr>
          <w:rFonts w:ascii="Arial" w:hAnsi="Arial" w:cs="Arial"/>
          <w:b/>
          <w:i w:val="0"/>
          <w:sz w:val="19"/>
        </w:rPr>
        <w:t>Figure 5.</w:t>
      </w:r>
      <w:r>
        <w:rPr>
          <w:rFonts w:ascii="Arial" w:hAnsi="Arial" w:cs="Arial"/>
          <w:b w:val="0"/>
          <w:i w:val="0"/>
          <w:sz w:val="19"/>
        </w:rPr>
        <w:t xml:space="preserve"> Simulated single-station detection across signal strength, against a label-using reference detector. The second trace for the present method includes causal temporal aggregation within the session.</w:t>
      </w:r>
    </w:p>
    <w:p>
      <w:pPr>
        <w:spacing w:after="140" w:line="274" w:lineRule="auto"/>
        <w:jc w:val="both"/>
      </w:pPr>
      <w:r>
        <w:rPr>
          <w:rFonts w:ascii="Times New Roman" w:hAnsi="Times New Roman" w:cs="Times New Roman"/>
          <w:b w:val="0"/>
          <w:i w:val="0"/>
          <w:sz w:val="22"/>
        </w:rPr>
        <w:t>Two observations follow. The method recovers a substantial fraction of the label-using reference while using no labelled malpractice, which is the central claim of the single-station embodiment. And detection degrades gracefully and monotonically as concealment increases, approaching chance only near the noise floor. Fusion of modalities was confirmed to exceed the best single modality. In an ablated run trained without the variance-covariance regularisation the embedding spread fell from the healthy 0.94–0.97 range to approximately 0.09, the signature of representational collapse, and fused detection fell at every signal strength, to 0.633 against 0.705 at signal strength 1.0 and to 0.571 against 0.613 at 0.3. The regularisation recited in Section 7 is therefore not incidental: without it the encoder degenerates toward a near-constant embedding and the residual loses discriminative content.</w:t>
      </w:r>
    </w:p>
    <w:p>
      <w:pPr>
        <w:spacing w:after="140" w:line="274" w:lineRule="auto"/>
        <w:jc w:val="both"/>
      </w:pPr>
      <w:r>
        <w:rPr>
          <w:rFonts w:ascii="Times New Roman" w:hAnsi="Times New Roman" w:cs="Times New Roman"/>
          <w:b/>
          <w:i w:val="0"/>
          <w:sz w:val="22"/>
        </w:rPr>
        <w:t xml:space="preserve">What Part A does and does not establish. </w:t>
      </w:r>
      <w:r>
        <w:rPr>
          <w:rFonts w:ascii="Times New Roman" w:hAnsi="Times New Roman" w:cs="Times New Roman"/>
          <w:b w:val="0"/>
          <w:i w:val="0"/>
          <w:sz w:val="22"/>
        </w:rPr>
        <w:t>The sanctioned signals and the violation signals of Part A were both produced by a parametric generative model. The simulation establishes that a model trained on sanctioned activity alone recovers a violation signal that a label-using model also recovers, at a quantified fraction of its performance. It does not establish external validity, because the statistical structure of real examination-hall acoustics and radio traffic is not known to match the generator. The figures are offered as evidence of mechanism, not as predicted field performance. Part A additionally contained a simulated cross-station evaluation. Those cross-station figures have been withdrawn from this disclosure and are not relied upon anywhere in it, for the reason given at Section 8.3: they were produced under an assumption about the arrangement that the measurements of Part B contradict.</w:t>
      </w:r>
    </w:p>
    <w:p>
      <w:pPr>
        <w:keepNext/>
        <w:spacing w:before="220" w:after="80"/>
        <w:outlineLvl w:val="1"/>
      </w:pPr>
      <w:r>
        <w:rPr>
          <w:rFonts w:ascii="Times New Roman" w:hAnsi="Times New Roman" w:cs="Times New Roman"/>
          <w:b/>
          <w:i w:val="0"/>
          <w:sz w:val="23"/>
        </w:rPr>
        <w:t>8.2 Part B — Measurement on a Real Multi-Node Sensor Corpus</w:t>
      </w:r>
    </w:p>
    <w:p>
      <w:pPr>
        <w:spacing w:after="140" w:line="274" w:lineRule="auto"/>
        <w:jc w:val="both"/>
      </w:pPr>
      <w:r>
        <w:rPr>
          <w:rFonts w:ascii="Times New Roman" w:hAnsi="Times New Roman" w:cs="Times New Roman"/>
          <w:b/>
          <w:i w:val="0"/>
          <w:sz w:val="22"/>
        </w:rPr>
        <w:t xml:space="preserve">Corpus. </w:t>
      </w:r>
      <w:r>
        <w:rPr>
          <w:rFonts w:ascii="Times New Roman" w:hAnsi="Times New Roman" w:cs="Times New Roman"/>
          <w:b w:val="0"/>
          <w:i w:val="0"/>
          <w:sz w:val="22"/>
        </w:rPr>
        <w:t>No public corpus exists of many like-instrumented examination desks, which is why the disclosure had to simulate in the first place. The closest available proxy of the right shape is the Server Machine Dataset, released under the MIT licence with the OmniAnomaly work: 28 entities, 38 channels each, 28,479 samples per entity at one sample per minute, per-entity normalised to the unit interval, with anomaly-free training splits by construction. It supplies what is needed — many separately instrumented nodes reporting on a common channel schema, with normal-only data for each. Two limitations are stated wherever a number from it is quoted. The entities are heterogeneous machines across three clusters, whereas a venue is identical desks in one room, which makes the corpus a pessimistic proxy for anything depending on stations resembling one another. And the sampling interval is one minute, so every lag below is expressed in reporting intervals, not seconds; the mechanism is rate-agnostic and the corpus fixes only the interval.</w:t>
      </w:r>
    </w:p>
    <w:p>
      <w:pPr>
        <w:spacing w:after="140" w:line="274" w:lineRule="auto"/>
        <w:jc w:val="both"/>
      </w:pPr>
      <w:r>
        <w:rPr>
          <w:rFonts w:ascii="Times New Roman" w:hAnsi="Times New Roman" w:cs="Times New Roman"/>
          <w:b/>
          <w:i w:val="0"/>
          <w:sz w:val="22"/>
        </w:rPr>
        <w:t xml:space="preserve">Protocol. </w:t>
      </w:r>
      <w:r>
        <w:rPr>
          <w:rFonts w:ascii="Times New Roman" w:hAnsi="Times New Roman" w:cs="Times New Roman"/>
          <w:b w:val="0"/>
          <w:i w:val="0"/>
          <w:sz w:val="22"/>
        </w:rPr>
        <w:t>The split is group-disjoint throughout. A model trained on groups 1 and 2 — 17 entities, 417,349 windows — never sees group 3, and every measurement is made on group 3, which is 11 stations and therefore 55 station pairs. The station-local control models are trained on each held-out station’s own calibration normals, with identical architecture, optimiser, epochs and preprocessing, so that the only difference between the two conditions is shared against local parameters. The predictor is a deliberately plain one-step-ahead multilayer perceptron over a window of 20 samples; plain on purpose, because the contribution claimed is the arrangement and a strong backbone would blur which is which. Perturbations representing a coupled exchange and a venue-wide event are injected into the raw channel signal before the predictor, never into the residual. Those perturbations are synthetic, because no public corpus carries real cross-station coupling; that limitation is repeated at Section 8.3 and is not minimised.</w:t>
      </w:r>
    </w:p>
    <w:p>
      <w:pPr>
        <w:spacing w:after="140" w:line="274" w:lineRule="auto"/>
        <w:jc w:val="both"/>
      </w:pPr>
      <w:r>
        <w:rPr>
          <w:rFonts w:ascii="Times New Roman" w:hAnsi="Times New Roman" w:cs="Times New Roman"/>
          <w:b/>
          <w:i w:val="0"/>
          <w:sz w:val="22"/>
        </w:rPr>
        <w:t xml:space="preserve">Residual comparability under a shared model. </w:t>
      </w:r>
      <w:r>
        <w:rPr>
          <w:rFonts w:ascii="Times New Roman" w:hAnsi="Times New Roman" w:cs="Times New Roman"/>
          <w:b w:val="0"/>
          <w:i w:val="0"/>
          <w:sz w:val="22"/>
        </w:rPr>
        <w:t>The first question is whether one normal-only model applied across the stations makes their residual magnitudes comparable, so that a threshold calibrated at one station holds at another. A threshold was set at each station 99th residual percentile and applied to every other station held-out normals, over 110 ordered pairs. It does not. Sharing widens scale disagreement on every metric measured, and is also worse at detection on the labelled test split.</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3384"/>
          </w:tcPr>
          <w:p>
            <w:pPr>
              <w:keepNext/>
              <w:spacing w:after="40"/>
              <w:jc w:val="center"/>
            </w:pPr>
            <w:r/>
            <w:r>
              <w:rPr>
                <w:rFonts w:ascii="Times New Roman" w:hAnsi="Times New Roman" w:cs="Times New Roman"/>
                <w:b/>
                <w:i w:val="0"/>
                <w:sz w:val="17"/>
              </w:rPr>
              <w:t>Quantity (nominal false-positive rate 1 %)</w:t>
            </w:r>
          </w:p>
        </w:tc>
        <w:tc>
          <w:tcPr>
            <w:tcW w:type="dxa" w:w="1469"/>
          </w:tcPr>
          <w:p>
            <w:pPr>
              <w:keepNext/>
              <w:spacing w:after="40"/>
              <w:jc w:val="center"/>
            </w:pPr>
            <w:r/>
            <w:r>
              <w:rPr>
                <w:rFonts w:ascii="Times New Roman" w:hAnsi="Times New Roman" w:cs="Times New Roman"/>
                <w:b/>
                <w:i w:val="0"/>
                <w:sz w:val="17"/>
              </w:rPr>
              <w:t>One model shared</w:t>
            </w:r>
          </w:p>
        </w:tc>
        <w:tc>
          <w:tcPr>
            <w:tcW w:type="dxa" w:w="1512"/>
          </w:tcPr>
          <w:p>
            <w:pPr>
              <w:keepNext/>
              <w:spacing w:after="40"/>
              <w:jc w:val="center"/>
            </w:pPr>
            <w:r/>
            <w:r>
              <w:rPr>
                <w:rFonts w:ascii="Times New Roman" w:hAnsi="Times New Roman" w:cs="Times New Roman"/>
                <w:b/>
                <w:i w:val="0"/>
                <w:sz w:val="17"/>
              </w:rPr>
              <w:t>Model per station</w:t>
            </w:r>
          </w:p>
        </w:tc>
        <w:tc>
          <w:tcPr>
            <w:tcW w:type="dxa" w:w="1469"/>
          </w:tcPr>
          <w:p>
            <w:pPr>
              <w:keepNext/>
              <w:spacing w:after="40"/>
              <w:jc w:val="center"/>
            </w:pPr>
            <w:r/>
            <w:r>
              <w:rPr>
                <w:rFonts w:ascii="Times New Roman" w:hAnsi="Times New Roman" w:cs="Times New Roman"/>
                <w:b/>
                <w:i w:val="0"/>
                <w:sz w:val="17"/>
              </w:rPr>
              <w:t>Shared, 3x width</w:t>
            </w:r>
          </w:p>
        </w:tc>
        <w:tc>
          <w:tcPr>
            <w:tcW w:type="dxa" w:w="1526"/>
          </w:tcPr>
          <w:p>
            <w:pPr>
              <w:keepNext/>
              <w:spacing w:after="40"/>
              <w:jc w:val="center"/>
            </w:pPr>
            <w:r/>
            <w:r>
              <w:rPr>
                <w:rFonts w:ascii="Times New Roman" w:hAnsi="Times New Roman" w:cs="Times New Roman"/>
                <w:b/>
                <w:i w:val="0"/>
                <w:sz w:val="17"/>
              </w:rPr>
              <w:t>Per station, 3x width</w:t>
            </w:r>
          </w:p>
        </w:tc>
      </w:tr>
      <w:tr>
        <w:tc>
          <w:tcPr>
            <w:tcW w:type="dxa" w:w="3384"/>
          </w:tcPr>
          <w:p>
            <w:pPr>
              <w:spacing w:after="40"/>
              <w:jc w:val="left"/>
            </w:pPr>
            <w:r/>
            <w:r>
              <w:rPr>
                <w:rFonts w:ascii="Times New Roman" w:hAnsi="Times New Roman" w:cs="Times New Roman"/>
                <w:b w:val="0"/>
                <w:i w:val="0"/>
                <w:sz w:val="17"/>
              </w:rPr>
              <w:t>station pairs within 2x nominal</w:t>
            </w:r>
          </w:p>
        </w:tc>
        <w:tc>
          <w:tcPr>
            <w:tcW w:type="dxa" w:w="1469"/>
          </w:tcPr>
          <w:p>
            <w:pPr>
              <w:spacing w:after="40"/>
              <w:jc w:val="center"/>
            </w:pPr>
            <w:r/>
            <w:r>
              <w:rPr>
                <w:rFonts w:ascii="Times New Roman" w:hAnsi="Times New Roman" w:cs="Times New Roman"/>
                <w:b w:val="0"/>
                <w:i w:val="0"/>
                <w:sz w:val="17"/>
              </w:rPr>
              <w:t>17.3 %</w:t>
            </w:r>
          </w:p>
        </w:tc>
        <w:tc>
          <w:tcPr>
            <w:tcW w:type="dxa" w:w="1512"/>
          </w:tcPr>
          <w:p>
            <w:pPr>
              <w:spacing w:after="40"/>
              <w:jc w:val="center"/>
            </w:pPr>
            <w:r/>
            <w:r>
              <w:rPr>
                <w:rFonts w:ascii="Times New Roman" w:hAnsi="Times New Roman" w:cs="Times New Roman"/>
                <w:b w:val="0"/>
                <w:i w:val="0"/>
                <w:sz w:val="17"/>
              </w:rPr>
              <w:t>22.7 %</w:t>
            </w:r>
          </w:p>
        </w:tc>
        <w:tc>
          <w:tcPr>
            <w:tcW w:type="dxa" w:w="1469"/>
          </w:tcPr>
          <w:p>
            <w:pPr>
              <w:spacing w:after="40"/>
              <w:jc w:val="center"/>
            </w:pPr>
            <w:r/>
            <w:r>
              <w:rPr>
                <w:rFonts w:ascii="Times New Roman" w:hAnsi="Times New Roman" w:cs="Times New Roman"/>
                <w:b w:val="0"/>
                <w:i w:val="0"/>
                <w:sz w:val="17"/>
              </w:rPr>
              <w:t>14.5 %</w:t>
            </w:r>
          </w:p>
        </w:tc>
        <w:tc>
          <w:tcPr>
            <w:tcW w:type="dxa" w:w="1526"/>
          </w:tcPr>
          <w:p>
            <w:pPr>
              <w:spacing w:after="40"/>
              <w:jc w:val="center"/>
            </w:pPr>
            <w:r/>
            <w:r>
              <w:rPr>
                <w:rFonts w:ascii="Times New Roman" w:hAnsi="Times New Roman" w:cs="Times New Roman"/>
                <w:b w:val="0"/>
                <w:i w:val="0"/>
                <w:sz w:val="17"/>
              </w:rPr>
              <w:t>20.0 %</w:t>
            </w:r>
          </w:p>
        </w:tc>
      </w:tr>
      <w:tr>
        <w:tc>
          <w:tcPr>
            <w:tcW w:type="dxa" w:w="3384"/>
          </w:tcPr>
          <w:p>
            <w:pPr>
              <w:spacing w:after="40"/>
              <w:jc w:val="left"/>
            </w:pPr>
            <w:r/>
            <w:r>
              <w:rPr>
                <w:rFonts w:ascii="Times New Roman" w:hAnsi="Times New Roman" w:cs="Times New Roman"/>
                <w:b w:val="0"/>
                <w:i w:val="0"/>
                <w:sz w:val="17"/>
              </w:rPr>
              <w:t>station pairs within 10x nominal</w:t>
            </w:r>
          </w:p>
        </w:tc>
        <w:tc>
          <w:tcPr>
            <w:tcW w:type="dxa" w:w="1469"/>
          </w:tcPr>
          <w:p>
            <w:pPr>
              <w:spacing w:after="40"/>
              <w:jc w:val="center"/>
            </w:pPr>
            <w:r/>
            <w:r>
              <w:rPr>
                <w:rFonts w:ascii="Times New Roman" w:hAnsi="Times New Roman" w:cs="Times New Roman"/>
                <w:b w:val="0"/>
                <w:i w:val="0"/>
                <w:sz w:val="17"/>
              </w:rPr>
              <w:t>45.5 %</w:t>
            </w:r>
          </w:p>
        </w:tc>
        <w:tc>
          <w:tcPr>
            <w:tcW w:type="dxa" w:w="1512"/>
          </w:tcPr>
          <w:p>
            <w:pPr>
              <w:spacing w:after="40"/>
              <w:jc w:val="center"/>
            </w:pPr>
            <w:r/>
            <w:r>
              <w:rPr>
                <w:rFonts w:ascii="Times New Roman" w:hAnsi="Times New Roman" w:cs="Times New Roman"/>
                <w:b w:val="0"/>
                <w:i w:val="0"/>
                <w:sz w:val="17"/>
              </w:rPr>
              <w:t>53.6 %</w:t>
            </w:r>
          </w:p>
        </w:tc>
        <w:tc>
          <w:tcPr>
            <w:tcW w:type="dxa" w:w="1469"/>
          </w:tcPr>
          <w:p>
            <w:pPr>
              <w:spacing w:after="40"/>
              <w:jc w:val="center"/>
            </w:pPr>
            <w:r/>
            <w:r>
              <w:rPr>
                <w:rFonts w:ascii="Times New Roman" w:hAnsi="Times New Roman" w:cs="Times New Roman"/>
                <w:b w:val="0"/>
                <w:i w:val="0"/>
                <w:sz w:val="17"/>
              </w:rPr>
              <w:t>32.7 %</w:t>
            </w:r>
          </w:p>
        </w:tc>
        <w:tc>
          <w:tcPr>
            <w:tcW w:type="dxa" w:w="1526"/>
          </w:tcPr>
          <w:p>
            <w:pPr>
              <w:spacing w:after="40"/>
              <w:jc w:val="center"/>
            </w:pPr>
            <w:r/>
            <w:r>
              <w:rPr>
                <w:rFonts w:ascii="Times New Roman" w:hAnsi="Times New Roman" w:cs="Times New Roman"/>
                <w:b w:val="0"/>
                <w:i w:val="0"/>
                <w:sz w:val="17"/>
              </w:rPr>
              <w:t>52.7 %</w:t>
            </w:r>
          </w:p>
        </w:tc>
      </w:tr>
      <w:tr>
        <w:tc>
          <w:tcPr>
            <w:tcW w:type="dxa" w:w="3384"/>
          </w:tcPr>
          <w:p>
            <w:pPr>
              <w:spacing w:after="40"/>
              <w:jc w:val="left"/>
            </w:pPr>
            <w:r/>
            <w:r>
              <w:rPr>
                <w:rFonts w:ascii="Times New Roman" w:hAnsi="Times New Roman" w:cs="Times New Roman"/>
                <w:b w:val="0"/>
                <w:i w:val="0"/>
                <w:sz w:val="17"/>
              </w:rPr>
              <w:t>95th-percentile realised false-positive rate</w:t>
            </w:r>
          </w:p>
        </w:tc>
        <w:tc>
          <w:tcPr>
            <w:tcW w:type="dxa" w:w="1469"/>
          </w:tcPr>
          <w:p>
            <w:pPr>
              <w:spacing w:after="40"/>
              <w:jc w:val="center"/>
            </w:pPr>
            <w:r/>
            <w:r>
              <w:rPr>
                <w:rFonts w:ascii="Times New Roman" w:hAnsi="Times New Roman" w:cs="Times New Roman"/>
                <w:b w:val="0"/>
                <w:i w:val="0"/>
                <w:sz w:val="17"/>
              </w:rPr>
              <w:t>79.5 %</w:t>
            </w:r>
          </w:p>
        </w:tc>
        <w:tc>
          <w:tcPr>
            <w:tcW w:type="dxa" w:w="1512"/>
          </w:tcPr>
          <w:p>
            <w:pPr>
              <w:spacing w:after="40"/>
              <w:jc w:val="center"/>
            </w:pPr>
            <w:r/>
            <w:r>
              <w:rPr>
                <w:rFonts w:ascii="Times New Roman" w:hAnsi="Times New Roman" w:cs="Times New Roman"/>
                <w:b w:val="0"/>
                <w:i w:val="0"/>
                <w:sz w:val="17"/>
              </w:rPr>
              <w:t>28.2 %</w:t>
            </w:r>
          </w:p>
        </w:tc>
        <w:tc>
          <w:tcPr>
            <w:tcW w:type="dxa" w:w="1469"/>
          </w:tcPr>
          <w:p>
            <w:pPr>
              <w:spacing w:after="40"/>
              <w:jc w:val="center"/>
            </w:pPr>
            <w:r/>
            <w:r>
              <w:rPr>
                <w:rFonts w:ascii="Times New Roman" w:hAnsi="Times New Roman" w:cs="Times New Roman"/>
                <w:b w:val="0"/>
                <w:i w:val="0"/>
                <w:sz w:val="17"/>
              </w:rPr>
              <w:t>96.1 %</w:t>
            </w:r>
          </w:p>
        </w:tc>
        <w:tc>
          <w:tcPr>
            <w:tcW w:type="dxa" w:w="1526"/>
          </w:tcPr>
          <w:p>
            <w:pPr>
              <w:spacing w:after="40"/>
              <w:jc w:val="center"/>
            </w:pPr>
            <w:r/>
            <w:r>
              <w:rPr>
                <w:rFonts w:ascii="Times New Roman" w:hAnsi="Times New Roman" w:cs="Times New Roman"/>
                <w:b w:val="0"/>
                <w:i w:val="0"/>
                <w:sz w:val="17"/>
              </w:rPr>
              <w:t>35.2 %</w:t>
            </w:r>
          </w:p>
        </w:tc>
      </w:tr>
      <w:tr>
        <w:tc>
          <w:tcPr>
            <w:tcW w:type="dxa" w:w="3384"/>
          </w:tcPr>
          <w:p>
            <w:pPr>
              <w:spacing w:after="40"/>
              <w:jc w:val="left"/>
            </w:pPr>
            <w:r/>
            <w:r>
              <w:rPr>
                <w:rFonts w:ascii="Times New Roman" w:hAnsi="Times New Roman" w:cs="Times New Roman"/>
                <w:b w:val="0"/>
                <w:i w:val="0"/>
                <w:sz w:val="17"/>
              </w:rPr>
              <w:t>median KS distance between station residuals</w:t>
            </w:r>
          </w:p>
        </w:tc>
        <w:tc>
          <w:tcPr>
            <w:tcW w:type="dxa" w:w="1469"/>
          </w:tcPr>
          <w:p>
            <w:pPr>
              <w:spacing w:after="40"/>
              <w:jc w:val="center"/>
            </w:pPr>
            <w:r/>
            <w:r>
              <w:rPr>
                <w:rFonts w:ascii="Times New Roman" w:hAnsi="Times New Roman" w:cs="Times New Roman"/>
                <w:b w:val="0"/>
                <w:i w:val="0"/>
                <w:sz w:val="17"/>
              </w:rPr>
              <w:t>0.599</w:t>
            </w:r>
          </w:p>
        </w:tc>
        <w:tc>
          <w:tcPr>
            <w:tcW w:type="dxa" w:w="1512"/>
          </w:tcPr>
          <w:p>
            <w:pPr>
              <w:spacing w:after="40"/>
              <w:jc w:val="center"/>
            </w:pPr>
            <w:r/>
            <w:r>
              <w:rPr>
                <w:rFonts w:ascii="Times New Roman" w:hAnsi="Times New Roman" w:cs="Times New Roman"/>
                <w:b w:val="0"/>
                <w:i w:val="0"/>
                <w:sz w:val="17"/>
              </w:rPr>
              <w:t>0.389</w:t>
            </w:r>
          </w:p>
        </w:tc>
        <w:tc>
          <w:tcPr>
            <w:tcW w:type="dxa" w:w="1469"/>
          </w:tcPr>
          <w:p>
            <w:pPr>
              <w:spacing w:after="40"/>
              <w:jc w:val="center"/>
            </w:pPr>
            <w:r/>
            <w:r>
              <w:rPr>
                <w:rFonts w:ascii="Times New Roman" w:hAnsi="Times New Roman" w:cs="Times New Roman"/>
                <w:b w:val="0"/>
                <w:i w:val="0"/>
                <w:sz w:val="17"/>
              </w:rPr>
              <w:t>0.560</w:t>
            </w:r>
          </w:p>
        </w:tc>
        <w:tc>
          <w:tcPr>
            <w:tcW w:type="dxa" w:w="1526"/>
          </w:tcPr>
          <w:p>
            <w:pPr>
              <w:spacing w:after="40"/>
              <w:jc w:val="center"/>
            </w:pPr>
            <w:r/>
            <w:r>
              <w:rPr>
                <w:rFonts w:ascii="Times New Roman" w:hAnsi="Times New Roman" w:cs="Times New Roman"/>
                <w:b w:val="0"/>
                <w:i w:val="0"/>
                <w:sz w:val="17"/>
              </w:rPr>
              <w:t>0.440</w:t>
            </w:r>
          </w:p>
        </w:tc>
      </w:tr>
      <w:tr>
        <w:tc>
          <w:tcPr>
            <w:tcW w:type="dxa" w:w="3384"/>
          </w:tcPr>
          <w:p>
            <w:pPr>
              <w:keepNext/>
              <w:spacing w:after="40"/>
              <w:jc w:val="left"/>
            </w:pPr>
            <w:r/>
            <w:r>
              <w:rPr>
                <w:rFonts w:ascii="Times New Roman" w:hAnsi="Times New Roman" w:cs="Times New Roman"/>
                <w:b w:val="0"/>
                <w:i w:val="0"/>
                <w:sz w:val="17"/>
              </w:rPr>
              <w:t>mean AUROC on the labelled test split</w:t>
            </w:r>
          </w:p>
        </w:tc>
        <w:tc>
          <w:tcPr>
            <w:tcW w:type="dxa" w:w="1469"/>
          </w:tcPr>
          <w:p>
            <w:pPr>
              <w:keepNext/>
              <w:spacing w:after="40"/>
              <w:jc w:val="center"/>
            </w:pPr>
            <w:r/>
            <w:r>
              <w:rPr>
                <w:rFonts w:ascii="Times New Roman" w:hAnsi="Times New Roman" w:cs="Times New Roman"/>
                <w:b w:val="0"/>
                <w:i w:val="0"/>
                <w:sz w:val="17"/>
              </w:rPr>
              <w:t>0.739</w:t>
            </w:r>
          </w:p>
        </w:tc>
        <w:tc>
          <w:tcPr>
            <w:tcW w:type="dxa" w:w="1512"/>
          </w:tcPr>
          <w:p>
            <w:pPr>
              <w:keepNext/>
              <w:spacing w:after="40"/>
              <w:jc w:val="center"/>
            </w:pPr>
            <w:r/>
            <w:r>
              <w:rPr>
                <w:rFonts w:ascii="Times New Roman" w:hAnsi="Times New Roman" w:cs="Times New Roman"/>
                <w:b w:val="0"/>
                <w:i w:val="0"/>
                <w:sz w:val="17"/>
              </w:rPr>
              <w:t>0.797</w:t>
            </w:r>
          </w:p>
        </w:tc>
        <w:tc>
          <w:tcPr>
            <w:tcW w:type="dxa" w:w="1469"/>
          </w:tcPr>
          <w:p>
            <w:pPr>
              <w:keepNext/>
              <w:spacing w:after="40"/>
              <w:jc w:val="center"/>
            </w:pPr>
            <w:r/>
            <w:r>
              <w:rPr>
                <w:rFonts w:ascii="Times New Roman" w:hAnsi="Times New Roman" w:cs="Times New Roman"/>
                <w:b w:val="0"/>
                <w:i w:val="0"/>
                <w:sz w:val="17"/>
              </w:rPr>
              <w:t>0.734</w:t>
            </w:r>
          </w:p>
        </w:tc>
        <w:tc>
          <w:tcPr>
            <w:tcW w:type="dxa" w:w="1526"/>
          </w:tcPr>
          <w:p>
            <w:pPr>
              <w:keepNext/>
              <w:spacing w:after="40"/>
              <w:jc w:val="center"/>
            </w:pPr>
            <w:r/>
            <w:r>
              <w:rPr>
                <w:rFonts w:ascii="Times New Roman" w:hAnsi="Times New Roman" w:cs="Times New Roman"/>
                <w:b w:val="0"/>
                <w:i w:val="0"/>
                <w:sz w:val="17"/>
              </w:rPr>
              <w:t>0.776</w:t>
            </w:r>
          </w:p>
        </w:tc>
      </w:tr>
    </w:tbl>
    <w:p>
      <w:pPr>
        <w:spacing w:before="60" w:after="240"/>
        <w:jc w:val="center"/>
      </w:pPr>
      <w:r>
        <w:rPr>
          <w:rFonts w:ascii="Times New Roman" w:hAnsi="Times New Roman" w:cs="Times New Roman"/>
          <w:b/>
          <w:i w:val="0"/>
          <w:sz w:val="21"/>
        </w:rPr>
        <w:t>Table 4: Residual Comparability Across 11 Held-Out Stations, at Two Model Capacities</w:t>
      </w:r>
    </w:p>
    <w:p>
      <w:pPr>
        <w:spacing w:before="160" w:after="40"/>
        <w:jc w:val="center"/>
      </w:pPr>
      <w:r>
        <w:drawing>
          <wp:inline xmlns:a="http://schemas.openxmlformats.org/drawingml/2006/main" xmlns:pic="http://schemas.openxmlformats.org/drawingml/2006/picture">
            <wp:extent cx="5943600" cy="2200227"/>
            <wp:docPr id="7" name="Picture 7"/>
            <wp:cNvGraphicFramePr>
              <a:graphicFrameLocks noChangeAspect="1"/>
            </wp:cNvGraphicFramePr>
            <a:graphic>
              <a:graphicData uri="http://schemas.openxmlformats.org/drawingml/2006/picture">
                <pic:pic>
                  <pic:nvPicPr>
                    <pic:cNvPr id="0" name="fig07.png"/>
                    <pic:cNvPicPr/>
                  </pic:nvPicPr>
                  <pic:blipFill>
                    <a:blip r:embed="rId17"/>
                    <a:stretch>
                      <a:fillRect/>
                    </a:stretch>
                  </pic:blipFill>
                  <pic:spPr>
                    <a:xfrm>
                      <a:off x="0" y="0"/>
                      <a:ext cx="5943600" cy="2200227"/>
                    </a:xfrm>
                    <a:prstGeom prst="rect"/>
                  </pic:spPr>
                </pic:pic>
              </a:graphicData>
            </a:graphic>
          </wp:inline>
        </w:drawing>
      </w:r>
    </w:p>
    <w:p>
      <w:pPr>
        <w:spacing w:before="80" w:after="240"/>
        <w:jc w:val="center"/>
      </w:pPr>
      <w:r>
        <w:rPr>
          <w:rFonts w:ascii="Arial" w:hAnsi="Arial" w:cs="Arial"/>
          <w:b/>
          <w:i w:val="0"/>
          <w:sz w:val="19"/>
        </w:rPr>
        <w:t>Figure 6.</w:t>
      </w:r>
      <w:r>
        <w:rPr>
          <w:rFonts w:ascii="Arial" w:hAnsi="Arial" w:cs="Arial"/>
          <w:b w:val="0"/>
          <w:i w:val="0"/>
          <w:sz w:val="19"/>
        </w:rPr>
        <w:t xml:space="preserve"> Residual comparability across stations. Sharing one normal-only model is worse on every metric, and adding capacity widens the deficit rather than closing it.</w:t>
      </w:r>
    </w:p>
    <w:p>
      <w:pPr>
        <w:spacing w:after="140" w:line="274" w:lineRule="auto"/>
        <w:jc w:val="both"/>
      </w:pPr>
      <w:r>
        <w:rPr>
          <w:rFonts w:ascii="Times New Roman" w:hAnsi="Times New Roman" w:cs="Times New Roman"/>
          <w:b w:val="0"/>
          <w:i w:val="0"/>
          <w:sz w:val="22"/>
        </w:rPr>
        <w:t>The obvious rebuttal is capacity: that a model of 128 units trained for 5 epochs simply lacked the capacity to fit 17 heterogeneous machines. The right-hand columns close that objection. Re-run at 384 units and 12 epochs, with both conditions scaled identically, the shared model gets worse and the gap widens — the deficit in station pairs within ten times nominal grows from 8.2 points to 20.0. The mechanism is straightforward once stated: a shared model fits some stations better than others, so its residual magnitude encodes how typical that station is. That is a station property, not a common scale.</w:t>
      </w:r>
    </w:p>
    <w:p>
      <w:pPr>
        <w:spacing w:after="140" w:line="274" w:lineRule="auto"/>
        <w:jc w:val="both"/>
      </w:pPr>
      <w:r>
        <w:rPr>
          <w:rFonts w:ascii="Times New Roman" w:hAnsi="Times New Roman" w:cs="Times New Roman"/>
          <w:b/>
          <w:i w:val="0"/>
          <w:sz w:val="22"/>
        </w:rPr>
        <w:t xml:space="preserve">Identification of a coupled pair under a venue-wide event. </w:t>
      </w:r>
      <w:r>
        <w:rPr>
          <w:rFonts w:ascii="Times New Roman" w:hAnsi="Times New Roman" w:cs="Times New Roman"/>
          <w:b w:val="0"/>
          <w:i w:val="0"/>
          <w:sz w:val="22"/>
        </w:rPr>
        <w:t>The second question is whether a coupled station pair can be identified while a venue-wide event is also present. This is the operating case. One station pair was coupled at a lag of two reporting intervals and a simultaneous event was applied to all 11 stations. Identification is the strict test of whether the coupled pair ranks first out of 55; the AUROC column ranks it against the 54 uncoupled pairs. Twenty trials, with the pairs and the injections resampled each trial and the predictors held fixed.</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1944"/>
          </w:tcPr>
          <w:p>
            <w:pPr>
              <w:keepNext/>
              <w:spacing w:after="40"/>
              <w:jc w:val="center"/>
            </w:pPr>
            <w:r/>
            <w:r>
              <w:rPr>
                <w:rFonts w:ascii="Times New Roman" w:hAnsi="Times New Roman" w:cs="Times New Roman"/>
                <w:b/>
                <w:i w:val="0"/>
                <w:sz w:val="17"/>
              </w:rPr>
              <w:t>Residual model</w:t>
            </w:r>
          </w:p>
        </w:tc>
        <w:tc>
          <w:tcPr>
            <w:tcW w:type="dxa" w:w="2232"/>
          </w:tcPr>
          <w:p>
            <w:pPr>
              <w:keepNext/>
              <w:spacing w:after="40"/>
              <w:jc w:val="center"/>
            </w:pPr>
            <w:r/>
            <w:r>
              <w:rPr>
                <w:rFonts w:ascii="Times New Roman" w:hAnsi="Times New Roman" w:cs="Times New Roman"/>
                <w:b/>
                <w:i w:val="0"/>
                <w:sz w:val="17"/>
              </w:rPr>
              <w:t>Common-mode reference</w:t>
            </w:r>
          </w:p>
        </w:tc>
        <w:tc>
          <w:tcPr>
            <w:tcW w:type="dxa" w:w="1800"/>
          </w:tcPr>
          <w:p>
            <w:pPr>
              <w:keepNext/>
              <w:spacing w:after="40"/>
              <w:jc w:val="center"/>
            </w:pPr>
            <w:r/>
            <w:r>
              <w:rPr>
                <w:rFonts w:ascii="Times New Roman" w:hAnsi="Times New Roman" w:cs="Times New Roman"/>
                <w:b/>
                <w:i w:val="0"/>
                <w:sz w:val="17"/>
              </w:rPr>
              <w:t>Coupled pair ranked first of 55</w:t>
            </w:r>
          </w:p>
        </w:tc>
        <w:tc>
          <w:tcPr>
            <w:tcW w:type="dxa" w:w="1440"/>
          </w:tcPr>
          <w:p>
            <w:pPr>
              <w:keepNext/>
              <w:spacing w:after="40"/>
              <w:jc w:val="center"/>
            </w:pPr>
            <w:r/>
            <w:r>
              <w:rPr>
                <w:rFonts w:ascii="Times New Roman" w:hAnsi="Times New Roman" w:cs="Times New Roman"/>
                <w:b/>
                <w:i w:val="0"/>
                <w:sz w:val="17"/>
              </w:rPr>
              <w:t>AUROC over pairs</w:t>
            </w:r>
          </w:p>
        </w:tc>
        <w:tc>
          <w:tcPr>
            <w:tcW w:type="dxa" w:w="1944"/>
          </w:tcPr>
          <w:p>
            <w:pPr>
              <w:keepNext/>
              <w:spacing w:after="40"/>
              <w:jc w:val="center"/>
            </w:pPr>
            <w:r/>
            <w:r>
              <w:rPr>
                <w:rFonts w:ascii="Times New Roman" w:hAnsi="Times New Roman" w:cs="Times New Roman"/>
                <w:b/>
                <w:i w:val="0"/>
                <w:sz w:val="17"/>
              </w:rPr>
              <w:t>Median z of the coupled pair</w:t>
            </w:r>
          </w:p>
        </w:tc>
      </w:tr>
      <w:tr>
        <w:tc>
          <w:tcPr>
            <w:tcW w:type="dxa" w:w="1944"/>
          </w:tcPr>
          <w:p>
            <w:pPr>
              <w:spacing w:after="40"/>
              <w:jc w:val="left"/>
            </w:pPr>
            <w:r/>
            <w:r>
              <w:rPr>
                <w:rFonts w:ascii="Times New Roman" w:hAnsi="Times New Roman" w:cs="Times New Roman"/>
                <w:b w:val="0"/>
                <w:i w:val="0"/>
                <w:sz w:val="17"/>
              </w:rPr>
              <w:t>one model shared</w:t>
            </w:r>
          </w:p>
        </w:tc>
        <w:tc>
          <w:tcPr>
            <w:tcW w:type="dxa" w:w="2232"/>
          </w:tcPr>
          <w:p>
            <w:pPr>
              <w:spacing w:after="40"/>
              <w:jc w:val="left"/>
            </w:pPr>
            <w:r/>
            <w:r>
              <w:rPr>
                <w:rFonts w:ascii="Times New Roman" w:hAnsi="Times New Roman" w:cs="Times New Roman"/>
                <w:b w:val="0"/>
                <w:i w:val="0"/>
                <w:sz w:val="17"/>
              </w:rPr>
              <w:t>none</w:t>
            </w:r>
          </w:p>
        </w:tc>
        <w:tc>
          <w:tcPr>
            <w:tcW w:type="dxa" w:w="1800"/>
          </w:tcPr>
          <w:p>
            <w:pPr>
              <w:spacing w:after="40"/>
              <w:jc w:val="center"/>
            </w:pPr>
            <w:r/>
            <w:r>
              <w:rPr>
                <w:rFonts w:ascii="Times New Roman" w:hAnsi="Times New Roman" w:cs="Times New Roman"/>
                <w:b w:val="0"/>
                <w:i w:val="0"/>
                <w:sz w:val="17"/>
              </w:rPr>
              <w:t>0.00</w:t>
            </w:r>
          </w:p>
        </w:tc>
        <w:tc>
          <w:tcPr>
            <w:tcW w:type="dxa" w:w="1440"/>
          </w:tcPr>
          <w:p>
            <w:pPr>
              <w:spacing w:after="40"/>
              <w:jc w:val="center"/>
            </w:pPr>
            <w:r/>
            <w:r>
              <w:rPr>
                <w:rFonts w:ascii="Times New Roman" w:hAnsi="Times New Roman" w:cs="Times New Roman"/>
                <w:b w:val="0"/>
                <w:i w:val="0"/>
                <w:sz w:val="17"/>
              </w:rPr>
              <w:t>0.532</w:t>
            </w:r>
          </w:p>
        </w:tc>
        <w:tc>
          <w:tcPr>
            <w:tcW w:type="dxa" w:w="1944"/>
          </w:tcPr>
          <w:p>
            <w:pPr>
              <w:spacing w:after="40"/>
              <w:jc w:val="center"/>
            </w:pPr>
            <w:r/>
            <w:r>
              <w:rPr>
                <w:rFonts w:ascii="Times New Roman" w:hAnsi="Times New Roman" w:cs="Times New Roman"/>
                <w:b w:val="0"/>
                <w:i w:val="0"/>
                <w:sz w:val="17"/>
              </w:rPr>
              <w:t>0.01</w:t>
            </w:r>
          </w:p>
        </w:tc>
      </w:tr>
      <w:tr>
        <w:tc>
          <w:tcPr>
            <w:tcW w:type="dxa" w:w="1944"/>
          </w:tcPr>
          <w:p>
            <w:pPr>
              <w:spacing w:after="40"/>
              <w:jc w:val="left"/>
            </w:pPr>
            <w:r/>
            <w:r>
              <w:rPr>
                <w:rFonts w:ascii="Times New Roman" w:hAnsi="Times New Roman" w:cs="Times New Roman"/>
                <w:b w:val="0"/>
                <w:i w:val="0"/>
                <w:sz w:val="17"/>
              </w:rPr>
              <w:t>one model shared</w:t>
            </w:r>
          </w:p>
        </w:tc>
        <w:tc>
          <w:tcPr>
            <w:tcW w:type="dxa" w:w="2232"/>
          </w:tcPr>
          <w:p>
            <w:pPr>
              <w:spacing w:after="40"/>
              <w:jc w:val="left"/>
            </w:pPr>
            <w:r/>
            <w:r>
              <w:rPr>
                <w:rFonts w:ascii="Times New Roman" w:hAnsi="Times New Roman" w:cs="Times New Roman"/>
                <w:b w:val="0"/>
                <w:i w:val="0"/>
                <w:sz w:val="17"/>
              </w:rPr>
              <w:t>median across stations</w:t>
            </w:r>
          </w:p>
        </w:tc>
        <w:tc>
          <w:tcPr>
            <w:tcW w:type="dxa" w:w="1800"/>
          </w:tcPr>
          <w:p>
            <w:pPr>
              <w:spacing w:after="40"/>
              <w:jc w:val="center"/>
            </w:pPr>
            <w:r/>
            <w:r>
              <w:rPr>
                <w:rFonts w:ascii="Times New Roman" w:hAnsi="Times New Roman" w:cs="Times New Roman"/>
                <w:b w:val="0"/>
                <w:i w:val="0"/>
                <w:sz w:val="17"/>
              </w:rPr>
              <w:t>0.00</w:t>
            </w:r>
          </w:p>
        </w:tc>
        <w:tc>
          <w:tcPr>
            <w:tcW w:type="dxa" w:w="1440"/>
          </w:tcPr>
          <w:p>
            <w:pPr>
              <w:spacing w:after="40"/>
              <w:jc w:val="center"/>
            </w:pPr>
            <w:r/>
            <w:r>
              <w:rPr>
                <w:rFonts w:ascii="Times New Roman" w:hAnsi="Times New Roman" w:cs="Times New Roman"/>
                <w:b w:val="0"/>
                <w:i w:val="0"/>
                <w:sz w:val="17"/>
              </w:rPr>
              <w:t>0.516</w:t>
            </w:r>
          </w:p>
        </w:tc>
        <w:tc>
          <w:tcPr>
            <w:tcW w:type="dxa" w:w="1944"/>
          </w:tcPr>
          <w:p>
            <w:pPr>
              <w:spacing w:after="40"/>
              <w:jc w:val="center"/>
            </w:pPr>
            <w:r/>
            <w:r>
              <w:rPr>
                <w:rFonts w:ascii="Times New Roman" w:hAnsi="Times New Roman" w:cs="Times New Roman"/>
                <w:b w:val="0"/>
                <w:i w:val="0"/>
                <w:sz w:val="17"/>
              </w:rPr>
              <w:t>0.18</w:t>
            </w:r>
          </w:p>
        </w:tc>
      </w:tr>
      <w:tr>
        <w:tc>
          <w:tcPr>
            <w:tcW w:type="dxa" w:w="1944"/>
          </w:tcPr>
          <w:p>
            <w:pPr>
              <w:spacing w:after="40"/>
              <w:jc w:val="left"/>
            </w:pPr>
            <w:r/>
            <w:r>
              <w:rPr>
                <w:rFonts w:ascii="Times New Roman" w:hAnsi="Times New Roman" w:cs="Times New Roman"/>
                <w:b w:val="0"/>
                <w:i w:val="0"/>
                <w:sz w:val="17"/>
              </w:rPr>
              <w:t>one model shared</w:t>
            </w:r>
          </w:p>
        </w:tc>
        <w:tc>
          <w:tcPr>
            <w:tcW w:type="dxa" w:w="2232"/>
          </w:tcPr>
          <w:p>
            <w:pPr>
              <w:spacing w:after="40"/>
              <w:jc w:val="left"/>
            </w:pPr>
            <w:r/>
            <w:r>
              <w:rPr>
                <w:rFonts w:ascii="Times New Roman" w:hAnsi="Times New Roman" w:cs="Times New Roman"/>
                <w:b w:val="0"/>
                <w:i w:val="0"/>
                <w:sz w:val="17"/>
              </w:rPr>
              <w:t>standardised median</w:t>
            </w:r>
          </w:p>
        </w:tc>
        <w:tc>
          <w:tcPr>
            <w:tcW w:type="dxa" w:w="1800"/>
          </w:tcPr>
          <w:p>
            <w:pPr>
              <w:spacing w:after="40"/>
              <w:jc w:val="center"/>
            </w:pPr>
            <w:r/>
            <w:r>
              <w:rPr>
                <w:rFonts w:ascii="Times New Roman" w:hAnsi="Times New Roman" w:cs="Times New Roman"/>
                <w:b w:val="0"/>
                <w:i w:val="0"/>
                <w:sz w:val="17"/>
              </w:rPr>
              <w:t>0.00</w:t>
            </w:r>
          </w:p>
        </w:tc>
        <w:tc>
          <w:tcPr>
            <w:tcW w:type="dxa" w:w="1440"/>
          </w:tcPr>
          <w:p>
            <w:pPr>
              <w:spacing w:after="40"/>
              <w:jc w:val="center"/>
            </w:pPr>
            <w:r/>
            <w:r>
              <w:rPr>
                <w:rFonts w:ascii="Times New Roman" w:hAnsi="Times New Roman" w:cs="Times New Roman"/>
                <w:b w:val="0"/>
                <w:i w:val="0"/>
                <w:sz w:val="17"/>
              </w:rPr>
              <w:t>0.559</w:t>
            </w:r>
          </w:p>
        </w:tc>
        <w:tc>
          <w:tcPr>
            <w:tcW w:type="dxa" w:w="1944"/>
          </w:tcPr>
          <w:p>
            <w:pPr>
              <w:spacing w:after="40"/>
              <w:jc w:val="center"/>
            </w:pPr>
            <w:r/>
            <w:r>
              <w:rPr>
                <w:rFonts w:ascii="Times New Roman" w:hAnsi="Times New Roman" w:cs="Times New Roman"/>
                <w:b w:val="0"/>
                <w:i w:val="0"/>
                <w:sz w:val="17"/>
              </w:rPr>
              <w:t>0.19</w:t>
            </w:r>
          </w:p>
        </w:tc>
      </w:tr>
      <w:tr>
        <w:tc>
          <w:tcPr>
            <w:tcW w:type="dxa" w:w="1944"/>
          </w:tcPr>
          <w:p>
            <w:pPr>
              <w:spacing w:after="40"/>
              <w:jc w:val="left"/>
            </w:pPr>
            <w:r/>
            <w:r>
              <w:rPr>
                <w:rFonts w:ascii="Times New Roman" w:hAnsi="Times New Roman" w:cs="Times New Roman"/>
                <w:b w:val="0"/>
                <w:i w:val="0"/>
                <w:sz w:val="17"/>
              </w:rPr>
              <w:t>model per station</w:t>
            </w:r>
          </w:p>
        </w:tc>
        <w:tc>
          <w:tcPr>
            <w:tcW w:type="dxa" w:w="2232"/>
          </w:tcPr>
          <w:p>
            <w:pPr>
              <w:spacing w:after="40"/>
              <w:jc w:val="left"/>
            </w:pPr>
            <w:r/>
            <w:r>
              <w:rPr>
                <w:rFonts w:ascii="Times New Roman" w:hAnsi="Times New Roman" w:cs="Times New Roman"/>
                <w:b w:val="0"/>
                <w:i w:val="0"/>
                <w:sz w:val="17"/>
              </w:rPr>
              <w:t>none</w:t>
            </w:r>
          </w:p>
        </w:tc>
        <w:tc>
          <w:tcPr>
            <w:tcW w:type="dxa" w:w="1800"/>
          </w:tcPr>
          <w:p>
            <w:pPr>
              <w:spacing w:after="40"/>
              <w:jc w:val="center"/>
            </w:pPr>
            <w:r/>
            <w:r>
              <w:rPr>
                <w:rFonts w:ascii="Times New Roman" w:hAnsi="Times New Roman" w:cs="Times New Roman"/>
                <w:b w:val="0"/>
                <w:i w:val="0"/>
                <w:sz w:val="17"/>
              </w:rPr>
              <w:t>0.10</w:t>
            </w:r>
          </w:p>
        </w:tc>
        <w:tc>
          <w:tcPr>
            <w:tcW w:type="dxa" w:w="1440"/>
          </w:tcPr>
          <w:p>
            <w:pPr>
              <w:spacing w:after="40"/>
              <w:jc w:val="center"/>
            </w:pPr>
            <w:r/>
            <w:r>
              <w:rPr>
                <w:rFonts w:ascii="Times New Roman" w:hAnsi="Times New Roman" w:cs="Times New Roman"/>
                <w:b w:val="0"/>
                <w:i w:val="0"/>
                <w:sz w:val="17"/>
              </w:rPr>
              <w:t>0.632</w:t>
            </w:r>
          </w:p>
        </w:tc>
        <w:tc>
          <w:tcPr>
            <w:tcW w:type="dxa" w:w="1944"/>
          </w:tcPr>
          <w:p>
            <w:pPr>
              <w:spacing w:after="40"/>
              <w:jc w:val="center"/>
            </w:pPr>
            <w:r/>
            <w:r>
              <w:rPr>
                <w:rFonts w:ascii="Times New Roman" w:hAnsi="Times New Roman" w:cs="Times New Roman"/>
                <w:b w:val="0"/>
                <w:i w:val="0"/>
                <w:sz w:val="17"/>
              </w:rPr>
              <w:t>0.57</w:t>
            </w:r>
          </w:p>
        </w:tc>
      </w:tr>
      <w:tr>
        <w:tc>
          <w:tcPr>
            <w:tcW w:type="dxa" w:w="1944"/>
          </w:tcPr>
          <w:p>
            <w:pPr>
              <w:spacing w:after="40"/>
              <w:jc w:val="left"/>
            </w:pPr>
            <w:r/>
            <w:r>
              <w:rPr>
                <w:rFonts w:ascii="Times New Roman" w:hAnsi="Times New Roman" w:cs="Times New Roman"/>
                <w:b w:val="0"/>
                <w:i w:val="0"/>
                <w:sz w:val="17"/>
              </w:rPr>
              <w:t>model per station</w:t>
            </w:r>
          </w:p>
        </w:tc>
        <w:tc>
          <w:tcPr>
            <w:tcW w:type="dxa" w:w="2232"/>
          </w:tcPr>
          <w:p>
            <w:pPr>
              <w:spacing w:after="40"/>
              <w:jc w:val="left"/>
            </w:pPr>
            <w:r/>
            <w:r>
              <w:rPr>
                <w:rFonts w:ascii="Times New Roman" w:hAnsi="Times New Roman" w:cs="Times New Roman"/>
                <w:b w:val="0"/>
                <w:i w:val="0"/>
                <w:sz w:val="17"/>
              </w:rPr>
              <w:t>median across stations</w:t>
            </w:r>
          </w:p>
        </w:tc>
        <w:tc>
          <w:tcPr>
            <w:tcW w:type="dxa" w:w="1800"/>
          </w:tcPr>
          <w:p>
            <w:pPr>
              <w:spacing w:after="40"/>
              <w:jc w:val="center"/>
            </w:pPr>
            <w:r/>
            <w:r>
              <w:rPr>
                <w:rFonts w:ascii="Times New Roman" w:hAnsi="Times New Roman" w:cs="Times New Roman"/>
                <w:b w:val="0"/>
                <w:i w:val="0"/>
                <w:sz w:val="17"/>
              </w:rPr>
              <w:t>0.60</w:t>
            </w:r>
          </w:p>
        </w:tc>
        <w:tc>
          <w:tcPr>
            <w:tcW w:type="dxa" w:w="1440"/>
          </w:tcPr>
          <w:p>
            <w:pPr>
              <w:spacing w:after="40"/>
              <w:jc w:val="center"/>
            </w:pPr>
            <w:r/>
            <w:r>
              <w:rPr>
                <w:rFonts w:ascii="Times New Roman" w:hAnsi="Times New Roman" w:cs="Times New Roman"/>
                <w:b w:val="0"/>
                <w:i w:val="0"/>
                <w:sz w:val="17"/>
              </w:rPr>
              <w:t>0.983</w:t>
            </w:r>
          </w:p>
        </w:tc>
        <w:tc>
          <w:tcPr>
            <w:tcW w:type="dxa" w:w="1944"/>
          </w:tcPr>
          <w:p>
            <w:pPr>
              <w:spacing w:after="40"/>
              <w:jc w:val="center"/>
            </w:pPr>
            <w:r/>
            <w:r>
              <w:rPr>
                <w:rFonts w:ascii="Times New Roman" w:hAnsi="Times New Roman" w:cs="Times New Roman"/>
                <w:b w:val="0"/>
                <w:i w:val="0"/>
                <w:sz w:val="17"/>
              </w:rPr>
              <w:t>4.42</w:t>
            </w:r>
          </w:p>
        </w:tc>
      </w:tr>
      <w:tr>
        <w:tc>
          <w:tcPr>
            <w:tcW w:type="dxa" w:w="1944"/>
          </w:tcPr>
          <w:p>
            <w:pPr>
              <w:keepNext/>
              <w:spacing w:after="40"/>
              <w:jc w:val="left"/>
            </w:pPr>
            <w:r/>
            <w:r>
              <w:rPr>
                <w:rFonts w:ascii="Times New Roman" w:hAnsi="Times New Roman" w:cs="Times New Roman"/>
                <w:b w:val="0"/>
                <w:i w:val="0"/>
                <w:sz w:val="17"/>
              </w:rPr>
              <w:t>model per station</w:t>
            </w:r>
          </w:p>
        </w:tc>
        <w:tc>
          <w:tcPr>
            <w:tcW w:type="dxa" w:w="2232"/>
          </w:tcPr>
          <w:p>
            <w:pPr>
              <w:keepNext/>
              <w:spacing w:after="40"/>
              <w:jc w:val="left"/>
            </w:pPr>
            <w:r/>
            <w:r>
              <w:rPr>
                <w:rFonts w:ascii="Times New Roman" w:hAnsi="Times New Roman" w:cs="Times New Roman"/>
                <w:b w:val="0"/>
                <w:i w:val="0"/>
                <w:sz w:val="17"/>
              </w:rPr>
              <w:t>standardised median</w:t>
            </w:r>
          </w:p>
        </w:tc>
        <w:tc>
          <w:tcPr>
            <w:tcW w:type="dxa" w:w="1800"/>
          </w:tcPr>
          <w:p>
            <w:pPr>
              <w:keepNext/>
              <w:spacing w:after="40"/>
              <w:jc w:val="center"/>
            </w:pPr>
            <w:r/>
            <w:r>
              <w:rPr>
                <w:rFonts w:ascii="Times New Roman" w:hAnsi="Times New Roman" w:cs="Times New Roman"/>
                <w:b w:val="0"/>
                <w:i w:val="0"/>
                <w:sz w:val="17"/>
              </w:rPr>
              <w:t>0.55</w:t>
            </w:r>
          </w:p>
        </w:tc>
        <w:tc>
          <w:tcPr>
            <w:tcW w:type="dxa" w:w="1440"/>
          </w:tcPr>
          <w:p>
            <w:pPr>
              <w:keepNext/>
              <w:spacing w:after="40"/>
              <w:jc w:val="center"/>
            </w:pPr>
            <w:r/>
            <w:r>
              <w:rPr>
                <w:rFonts w:ascii="Times New Roman" w:hAnsi="Times New Roman" w:cs="Times New Roman"/>
                <w:b w:val="0"/>
                <w:i w:val="0"/>
                <w:sz w:val="17"/>
              </w:rPr>
              <w:t>0.920</w:t>
            </w:r>
          </w:p>
        </w:tc>
        <w:tc>
          <w:tcPr>
            <w:tcW w:type="dxa" w:w="1944"/>
          </w:tcPr>
          <w:p>
            <w:pPr>
              <w:keepNext/>
              <w:spacing w:after="40"/>
              <w:jc w:val="center"/>
            </w:pPr>
            <w:r/>
            <w:r>
              <w:rPr>
                <w:rFonts w:ascii="Times New Roman" w:hAnsi="Times New Roman" w:cs="Times New Roman"/>
                <w:b w:val="0"/>
                <w:i w:val="0"/>
                <w:sz w:val="17"/>
              </w:rPr>
              <w:t>3.28</w:t>
            </w:r>
          </w:p>
        </w:tc>
      </w:tr>
    </w:tbl>
    <w:p>
      <w:pPr>
        <w:spacing w:before="60" w:after="240"/>
        <w:jc w:val="center"/>
      </w:pPr>
      <w:r>
        <w:rPr>
          <w:rFonts w:ascii="Times New Roman" w:hAnsi="Times New Roman" w:cs="Times New Roman"/>
          <w:b/>
          <w:i w:val="0"/>
          <w:sz w:val="21"/>
        </w:rPr>
        <w:t>Table 5: Identification of a Coupled Station Pair in the Presence of a Venue-Wide Event, 20 Trials</w:t>
      </w:r>
    </w:p>
    <w:p>
      <w:pPr>
        <w:spacing w:before="160" w:after="40"/>
        <w:jc w:val="center"/>
      </w:pPr>
      <w:r>
        <w:drawing>
          <wp:inline xmlns:a="http://schemas.openxmlformats.org/drawingml/2006/main" xmlns:pic="http://schemas.openxmlformats.org/drawingml/2006/picture">
            <wp:extent cx="5760720" cy="2528866"/>
            <wp:docPr id="8" name="Picture 8"/>
            <wp:cNvGraphicFramePr>
              <a:graphicFrameLocks noChangeAspect="1"/>
            </wp:cNvGraphicFramePr>
            <a:graphic>
              <a:graphicData uri="http://schemas.openxmlformats.org/drawingml/2006/picture">
                <pic:pic>
                  <pic:nvPicPr>
                    <pic:cNvPr id="0" name="fig08.png"/>
                    <pic:cNvPicPr/>
                  </pic:nvPicPr>
                  <pic:blipFill>
                    <a:blip r:embed="rId18"/>
                    <a:stretch>
                      <a:fillRect/>
                    </a:stretch>
                  </pic:blipFill>
                  <pic:spPr>
                    <a:xfrm>
                      <a:off x="0" y="0"/>
                      <a:ext cx="5760720" cy="2528866"/>
                    </a:xfrm>
                    <a:prstGeom prst="rect"/>
                  </pic:spPr>
                </pic:pic>
              </a:graphicData>
            </a:graphic>
          </wp:inline>
        </w:drawing>
      </w:r>
    </w:p>
    <w:p>
      <w:pPr>
        <w:spacing w:before="80" w:after="240"/>
        <w:jc w:val="center"/>
      </w:pPr>
      <w:r>
        <w:rPr>
          <w:rFonts w:ascii="Arial" w:hAnsi="Arial" w:cs="Arial"/>
          <w:b/>
          <w:i w:val="0"/>
          <w:sz w:val="19"/>
        </w:rPr>
        <w:t>Figure 7.</w:t>
      </w:r>
      <w:r>
        <w:rPr>
          <w:rFonts w:ascii="Arial" w:hAnsi="Arial" w:cs="Arial"/>
          <w:b w:val="0"/>
          <w:i w:val="0"/>
          <w:sz w:val="19"/>
        </w:rPr>
        <w:t xml:space="preserve"> Identification of the coupled pair by residual model and common-mode reference rule. The claimed arrangement is the heavy-outlined bar; the shared-model conditions are at chance and return no identification in twenty trials.</w:t>
      </w:r>
    </w:p>
    <w:p>
      <w:pPr>
        <w:spacing w:after="140" w:line="274" w:lineRule="auto"/>
        <w:jc w:val="both"/>
      </w:pPr>
      <w:r>
        <w:rPr>
          <w:rFonts w:ascii="Times New Roman" w:hAnsi="Times New Roman" w:cs="Times New Roman"/>
          <w:b w:val="0"/>
          <w:i w:val="0"/>
          <w:sz w:val="22"/>
        </w:rPr>
        <w:t>Three findings fall out and all three bear directly on the claims. The shared-model conditions are at chance, at an AUROC of 0.516 to 0.559 across every reference rule, with no identification in twenty trials; sharing does not merely fail to help, it removes the channel. Common-mode rejection is necessary, and the size of its effect is now measured rather than asserted: with station-local models, moving from no reference to the plain across-station median takes AUROC from 0.632 to 0.983 and identification from 0.10 to 0.60. And the additional per-station standardisation of the reference is not needed and slightly hurts, at 0.920 against 0.983, so Claim 12 recites the plain median.</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2088"/>
          </w:tcPr>
          <w:p>
            <w:pPr>
              <w:keepNext/>
              <w:spacing w:after="40"/>
              <w:jc w:val="center"/>
            </w:pPr>
            <w:r/>
            <w:r>
              <w:rPr>
                <w:rFonts w:ascii="Times New Roman" w:hAnsi="Times New Roman" w:cs="Times New Roman"/>
                <w:b/>
                <w:i w:val="0"/>
                <w:sz w:val="17"/>
              </w:rPr>
              <w:t>Residual model</w:t>
            </w:r>
          </w:p>
        </w:tc>
        <w:tc>
          <w:tcPr>
            <w:tcW w:type="dxa" w:w="2520"/>
          </w:tcPr>
          <w:p>
            <w:pPr>
              <w:keepNext/>
              <w:spacing w:after="40"/>
              <w:jc w:val="center"/>
            </w:pPr>
            <w:r/>
            <w:r>
              <w:rPr>
                <w:rFonts w:ascii="Times New Roman" w:hAnsi="Times New Roman" w:cs="Times New Roman"/>
                <w:b/>
                <w:i w:val="0"/>
                <w:sz w:val="17"/>
              </w:rPr>
              <w:t>No coordinated activity present</w:t>
            </w:r>
          </w:p>
        </w:tc>
        <w:tc>
          <w:tcPr>
            <w:tcW w:type="dxa" w:w="2376"/>
          </w:tcPr>
          <w:p>
            <w:pPr>
              <w:keepNext/>
              <w:spacing w:after="40"/>
              <w:jc w:val="center"/>
            </w:pPr>
            <w:r/>
            <w:r>
              <w:rPr>
                <w:rFonts w:ascii="Times New Roman" w:hAnsi="Times New Roman" w:cs="Times New Roman"/>
                <w:b/>
                <w:i w:val="0"/>
                <w:sz w:val="17"/>
              </w:rPr>
              <w:t>Venue-wide event, no rejection</w:t>
            </w:r>
          </w:p>
        </w:tc>
        <w:tc>
          <w:tcPr>
            <w:tcW w:type="dxa" w:w="2376"/>
          </w:tcPr>
          <w:p>
            <w:pPr>
              <w:keepNext/>
              <w:spacing w:after="40"/>
              <w:jc w:val="center"/>
            </w:pPr>
            <w:r/>
            <w:r>
              <w:rPr>
                <w:rFonts w:ascii="Times New Roman" w:hAnsi="Times New Roman" w:cs="Times New Roman"/>
                <w:b/>
                <w:i w:val="0"/>
                <w:sz w:val="17"/>
              </w:rPr>
              <w:t>Venue-wide event, after rejection</w:t>
            </w:r>
          </w:p>
        </w:tc>
      </w:tr>
      <w:tr>
        <w:tc>
          <w:tcPr>
            <w:tcW w:type="dxa" w:w="2088"/>
          </w:tcPr>
          <w:p>
            <w:pPr>
              <w:spacing w:after="40"/>
              <w:jc w:val="left"/>
            </w:pPr>
            <w:r/>
            <w:r>
              <w:rPr>
                <w:rFonts w:ascii="Times New Roman" w:hAnsi="Times New Roman" w:cs="Times New Roman"/>
                <w:b w:val="0"/>
                <w:i w:val="0"/>
                <w:sz w:val="17"/>
              </w:rPr>
              <w:t>model per station</w:t>
            </w:r>
          </w:p>
        </w:tc>
        <w:tc>
          <w:tcPr>
            <w:tcW w:type="dxa" w:w="2520"/>
          </w:tcPr>
          <w:p>
            <w:pPr>
              <w:spacing w:after="40"/>
              <w:jc w:val="center"/>
            </w:pPr>
            <w:r/>
            <w:r>
              <w:rPr>
                <w:rFonts w:ascii="Times New Roman" w:hAnsi="Times New Roman" w:cs="Times New Roman"/>
                <w:b w:val="0"/>
                <w:i w:val="0"/>
                <w:sz w:val="17"/>
              </w:rPr>
              <w:t>0.0607</w:t>
            </w:r>
          </w:p>
        </w:tc>
        <w:tc>
          <w:tcPr>
            <w:tcW w:type="dxa" w:w="2376"/>
          </w:tcPr>
          <w:p>
            <w:pPr>
              <w:spacing w:after="40"/>
              <w:jc w:val="center"/>
            </w:pPr>
            <w:r/>
            <w:r>
              <w:rPr>
                <w:rFonts w:ascii="Times New Roman" w:hAnsi="Times New Roman" w:cs="Times New Roman"/>
                <w:b w:val="0"/>
                <w:i w:val="0"/>
                <w:sz w:val="17"/>
              </w:rPr>
              <w:t>0.3339</w:t>
            </w:r>
          </w:p>
        </w:tc>
        <w:tc>
          <w:tcPr>
            <w:tcW w:type="dxa" w:w="2376"/>
          </w:tcPr>
          <w:p>
            <w:pPr>
              <w:spacing w:after="40"/>
              <w:jc w:val="center"/>
            </w:pPr>
            <w:r/>
            <w:r>
              <w:rPr>
                <w:rFonts w:ascii="Times New Roman" w:hAnsi="Times New Roman" w:cs="Times New Roman"/>
                <w:b w:val="0"/>
                <w:i w:val="0"/>
                <w:sz w:val="17"/>
              </w:rPr>
              <w:t>0.0225</w:t>
            </w:r>
          </w:p>
        </w:tc>
      </w:tr>
      <w:tr>
        <w:tc>
          <w:tcPr>
            <w:tcW w:type="dxa" w:w="2088"/>
          </w:tcPr>
          <w:p>
            <w:pPr>
              <w:keepNext/>
              <w:spacing w:after="40"/>
              <w:jc w:val="left"/>
            </w:pPr>
            <w:r/>
            <w:r>
              <w:rPr>
                <w:rFonts w:ascii="Times New Roman" w:hAnsi="Times New Roman" w:cs="Times New Roman"/>
                <w:b w:val="0"/>
                <w:i w:val="0"/>
                <w:sz w:val="17"/>
              </w:rPr>
              <w:t>one model shared</w:t>
            </w:r>
          </w:p>
        </w:tc>
        <w:tc>
          <w:tcPr>
            <w:tcW w:type="dxa" w:w="2520"/>
          </w:tcPr>
          <w:p>
            <w:pPr>
              <w:keepNext/>
              <w:spacing w:after="40"/>
              <w:jc w:val="center"/>
            </w:pPr>
            <w:r/>
            <w:r>
              <w:rPr>
                <w:rFonts w:ascii="Times New Roman" w:hAnsi="Times New Roman" w:cs="Times New Roman"/>
                <w:b w:val="0"/>
                <w:i w:val="0"/>
                <w:sz w:val="17"/>
              </w:rPr>
              <w:t>0.0738</w:t>
            </w:r>
          </w:p>
        </w:tc>
        <w:tc>
          <w:tcPr>
            <w:tcW w:type="dxa" w:w="2376"/>
          </w:tcPr>
          <w:p>
            <w:pPr>
              <w:keepNext/>
              <w:spacing w:after="40"/>
              <w:jc w:val="center"/>
            </w:pPr>
            <w:r/>
            <w:r>
              <w:rPr>
                <w:rFonts w:ascii="Times New Roman" w:hAnsi="Times New Roman" w:cs="Times New Roman"/>
                <w:b w:val="0"/>
                <w:i w:val="0"/>
                <w:sz w:val="17"/>
              </w:rPr>
              <w:t>0.1609</w:t>
            </w:r>
          </w:p>
        </w:tc>
        <w:tc>
          <w:tcPr>
            <w:tcW w:type="dxa" w:w="2376"/>
          </w:tcPr>
          <w:p>
            <w:pPr>
              <w:keepNext/>
              <w:spacing w:after="40"/>
              <w:jc w:val="center"/>
            </w:pPr>
            <w:r/>
            <w:r>
              <w:rPr>
                <w:rFonts w:ascii="Times New Roman" w:hAnsi="Times New Roman" w:cs="Times New Roman"/>
                <w:b w:val="0"/>
                <w:i w:val="0"/>
                <w:sz w:val="17"/>
              </w:rPr>
              <w:t>0.1321</w:t>
            </w:r>
          </w:p>
        </w:tc>
      </w:tr>
    </w:tbl>
    <w:p>
      <w:pPr>
        <w:spacing w:before="60" w:after="240"/>
        <w:jc w:val="center"/>
      </w:pPr>
      <w:r>
        <w:rPr>
          <w:rFonts w:ascii="Times New Roman" w:hAnsi="Times New Roman" w:cs="Times New Roman"/>
          <w:b/>
          <w:i w:val="0"/>
          <w:sz w:val="21"/>
        </w:rPr>
        <w:t>Table 6: Mean Pairwise Coupling Over All 55 Station Pairs, Before and After Common-Mode Rejection</w:t>
      </w:r>
    </w:p>
    <w:p>
      <w:pPr>
        <w:spacing w:before="160" w:after="40"/>
        <w:jc w:val="center"/>
      </w:pPr>
      <w:r>
        <w:drawing>
          <wp:inline xmlns:a="http://schemas.openxmlformats.org/drawingml/2006/main" xmlns:pic="http://schemas.openxmlformats.org/drawingml/2006/picture">
            <wp:extent cx="5120640" cy="2631166"/>
            <wp:docPr id="9" name="Picture 9"/>
            <wp:cNvGraphicFramePr>
              <a:graphicFrameLocks noChangeAspect="1"/>
            </wp:cNvGraphicFramePr>
            <a:graphic>
              <a:graphicData uri="http://schemas.openxmlformats.org/drawingml/2006/picture">
                <pic:pic>
                  <pic:nvPicPr>
                    <pic:cNvPr id="0" name="fig05.png"/>
                    <pic:cNvPicPr/>
                  </pic:nvPicPr>
                  <pic:blipFill>
                    <a:blip r:embed="rId19"/>
                    <a:stretch>
                      <a:fillRect/>
                    </a:stretch>
                  </pic:blipFill>
                  <pic:spPr>
                    <a:xfrm>
                      <a:off x="0" y="0"/>
                      <a:ext cx="5120640" cy="2631166"/>
                    </a:xfrm>
                    <a:prstGeom prst="rect"/>
                  </pic:spPr>
                </pic:pic>
              </a:graphicData>
            </a:graphic>
          </wp:inline>
        </w:drawing>
      </w:r>
    </w:p>
    <w:p>
      <w:pPr>
        <w:spacing w:before="80" w:after="240"/>
        <w:jc w:val="center"/>
      </w:pPr>
      <w:r>
        <w:rPr>
          <w:rFonts w:ascii="Arial" w:hAnsi="Arial" w:cs="Arial"/>
          <w:b/>
          <w:i w:val="0"/>
          <w:sz w:val="19"/>
        </w:rPr>
        <w:t>Figure 8.</w:t>
      </w:r>
      <w:r>
        <w:rPr>
          <w:rFonts w:ascii="Arial" w:hAnsi="Arial" w:cs="Arial"/>
          <w:b w:val="0"/>
          <w:i w:val="0"/>
          <w:sz w:val="19"/>
        </w:rPr>
        <w:t xml:space="preserve"> Suppression of a venue-wide event. With station-local models the event is removed to below the uninjected floor; with one shared model the reference cannot remove a component the shared model itself contributes to every station.</w:t>
      </w:r>
    </w:p>
    <w:p>
      <w:pPr>
        <w:spacing w:after="140" w:line="274" w:lineRule="auto"/>
        <w:jc w:val="both"/>
      </w:pPr>
      <w:r>
        <w:rPr>
          <w:rFonts w:ascii="Times New Roman" w:hAnsi="Times New Roman" w:cs="Times New Roman"/>
          <w:b w:val="0"/>
          <w:i w:val="0"/>
          <w:sz w:val="22"/>
        </w:rPr>
        <w:t>The last row of Table 6 explains why the shared model poisons the channel, and the explanation is mechanical rather than statistical. The prediction errors of one model applied to many stations are correlated across those stations because they are the errors of one and the same model. The shared model manufactures a cross-station common component out of its own deficiencies, and a reference formed from the stations carrying that component cannot remove it. With no injection at all, applying median rejection under the shared model raises mean pairwise coupling from 0.0738 to 0.1321 — it adds coupling where there was none.</w:t>
      </w:r>
    </w:p>
    <w:p>
      <w:pPr>
        <w:spacing w:after="140" w:line="274" w:lineRule="auto"/>
        <w:jc w:val="both"/>
      </w:pPr>
      <w:r>
        <w:rPr>
          <w:rFonts w:ascii="Times New Roman" w:hAnsi="Times New Roman" w:cs="Times New Roman"/>
          <w:b/>
          <w:i w:val="0"/>
          <w:sz w:val="22"/>
        </w:rPr>
        <w:t xml:space="preserve">Tolerance to inter-station timing error. </w:t>
      </w:r>
      <w:r>
        <w:rPr>
          <w:rFonts w:ascii="Times New Roman" w:hAnsi="Times New Roman" w:cs="Times New Roman"/>
          <w:b w:val="0"/>
          <w:i w:val="0"/>
          <w:sz w:val="22"/>
        </w:rPr>
        <w:t>The tolerance recited in the claims is measured, not asserted. Station clocks were deliberately skewed and the identification repeated, twenty trials per point, at a coupling lag of two reporting intervals.</w:t>
      </w:r>
    </w:p>
    <w:tbl>
      <w:tblPr>
        <w:tblStyle w:val="TableGrid"/>
        <w:tblW w:type="auto" w:w="0"/>
        <w:jc w:val="center"/>
        <w:tblLayout w:type="fixed"/>
        <w:tblLook w:firstColumn="1" w:firstRow="1" w:lastColumn="0" w:lastRow="0" w:noHBand="0" w:noVBand="1" w:val="04A0"/>
      </w:tblPr>
      <w:tblGrid>
        <w:gridCol w:w="1930"/>
        <w:gridCol w:w="1930"/>
        <w:gridCol w:w="1930"/>
        <w:gridCol w:w="1930"/>
        <w:gridCol w:w="1930"/>
      </w:tblGrid>
      <w:tr>
        <w:trPr>
          <w:tblHeader/>
        </w:trPr>
        <w:tc>
          <w:tcPr>
            <w:tcW w:type="dxa" w:w="2088"/>
          </w:tcPr>
          <w:p>
            <w:pPr>
              <w:keepNext/>
              <w:spacing w:after="40"/>
              <w:jc w:val="center"/>
            </w:pPr>
            <w:r/>
            <w:r>
              <w:rPr>
                <w:rFonts w:ascii="Times New Roman" w:hAnsi="Times New Roman" w:cs="Times New Roman"/>
                <w:b/>
                <w:i w:val="0"/>
                <w:sz w:val="17"/>
              </w:rPr>
              <w:t>Timing error (reporting intervals)</w:t>
            </w:r>
          </w:p>
        </w:tc>
        <w:tc>
          <w:tcPr>
            <w:tcW w:type="dxa" w:w="2160"/>
          </w:tcPr>
          <w:p>
            <w:pPr>
              <w:keepNext/>
              <w:spacing w:after="40"/>
              <w:jc w:val="center"/>
            </w:pPr>
            <w:r/>
            <w:r>
              <w:rPr>
                <w:rFonts w:ascii="Times New Roman" w:hAnsi="Times New Roman" w:cs="Times New Roman"/>
                <w:b/>
                <w:i w:val="0"/>
                <w:sz w:val="17"/>
              </w:rPr>
              <w:t>As a multiple of the coupling lag</w:t>
            </w:r>
          </w:p>
        </w:tc>
        <w:tc>
          <w:tcPr>
            <w:tcW w:type="dxa" w:w="2016"/>
          </w:tcPr>
          <w:p>
            <w:pPr>
              <w:keepNext/>
              <w:spacing w:after="40"/>
              <w:jc w:val="center"/>
            </w:pPr>
            <w:r/>
            <w:r>
              <w:rPr>
                <w:rFonts w:ascii="Times New Roman" w:hAnsi="Times New Roman" w:cs="Times New Roman"/>
                <w:b/>
                <w:i w:val="0"/>
                <w:sz w:val="17"/>
              </w:rPr>
              <w:t>Coupled pair ranked first of 55</w:t>
            </w:r>
          </w:p>
        </w:tc>
        <w:tc>
          <w:tcPr>
            <w:tcW w:type="dxa" w:w="1512"/>
          </w:tcPr>
          <w:p>
            <w:pPr>
              <w:keepNext/>
              <w:spacing w:after="40"/>
              <w:jc w:val="center"/>
            </w:pPr>
            <w:r/>
            <w:r>
              <w:rPr>
                <w:rFonts w:ascii="Times New Roman" w:hAnsi="Times New Roman" w:cs="Times New Roman"/>
                <w:b/>
                <w:i w:val="0"/>
                <w:sz w:val="17"/>
              </w:rPr>
              <w:t>AUROC over pairs</w:t>
            </w:r>
          </w:p>
        </w:tc>
        <w:tc>
          <w:tcPr>
            <w:tcW w:type="dxa" w:w="1368"/>
          </w:tcPr>
          <w:p>
            <w:pPr>
              <w:keepNext/>
              <w:spacing w:after="40"/>
              <w:jc w:val="center"/>
            </w:pPr>
            <w:r/>
            <w:r>
              <w:rPr>
                <w:rFonts w:ascii="Times New Roman" w:hAnsi="Times New Roman" w:cs="Times New Roman"/>
                <w:b/>
                <w:i w:val="0"/>
                <w:sz w:val="17"/>
              </w:rPr>
              <w:t>Median z</w:t>
            </w:r>
          </w:p>
        </w:tc>
      </w:tr>
      <w:tr>
        <w:tc>
          <w:tcPr>
            <w:tcW w:type="dxa" w:w="2088"/>
          </w:tcPr>
          <w:p>
            <w:pPr>
              <w:spacing w:after="40"/>
              <w:jc w:val="center"/>
            </w:pPr>
            <w:r/>
            <w:r>
              <w:rPr>
                <w:rFonts w:ascii="Times New Roman" w:hAnsi="Times New Roman" w:cs="Times New Roman"/>
                <w:b w:val="0"/>
                <w:i w:val="0"/>
                <w:sz w:val="17"/>
              </w:rPr>
              <w:t>0</w:t>
            </w:r>
          </w:p>
        </w:tc>
        <w:tc>
          <w:tcPr>
            <w:tcW w:type="dxa" w:w="2160"/>
          </w:tcPr>
          <w:p>
            <w:pPr>
              <w:spacing w:after="40"/>
              <w:jc w:val="center"/>
            </w:pPr>
            <w:r/>
            <w:r>
              <w:rPr>
                <w:rFonts w:ascii="Times New Roman" w:hAnsi="Times New Roman" w:cs="Times New Roman"/>
                <w:b w:val="0"/>
                <w:i w:val="0"/>
                <w:sz w:val="17"/>
              </w:rPr>
              <w:t>0.0x</w:t>
            </w:r>
          </w:p>
        </w:tc>
        <w:tc>
          <w:tcPr>
            <w:tcW w:type="dxa" w:w="2016"/>
          </w:tcPr>
          <w:p>
            <w:pPr>
              <w:spacing w:after="40"/>
              <w:jc w:val="center"/>
            </w:pPr>
            <w:r/>
            <w:r>
              <w:rPr>
                <w:rFonts w:ascii="Times New Roman" w:hAnsi="Times New Roman" w:cs="Times New Roman"/>
                <w:b w:val="0"/>
                <w:i w:val="0"/>
                <w:sz w:val="17"/>
              </w:rPr>
              <w:t>0.75</w:t>
            </w:r>
          </w:p>
        </w:tc>
        <w:tc>
          <w:tcPr>
            <w:tcW w:type="dxa" w:w="1512"/>
          </w:tcPr>
          <w:p>
            <w:pPr>
              <w:spacing w:after="40"/>
              <w:jc w:val="center"/>
            </w:pPr>
            <w:r/>
            <w:r>
              <w:rPr>
                <w:rFonts w:ascii="Times New Roman" w:hAnsi="Times New Roman" w:cs="Times New Roman"/>
                <w:b w:val="0"/>
                <w:i w:val="0"/>
                <w:sz w:val="17"/>
              </w:rPr>
              <w:t>0.992</w:t>
            </w:r>
          </w:p>
        </w:tc>
        <w:tc>
          <w:tcPr>
            <w:tcW w:type="dxa" w:w="1368"/>
          </w:tcPr>
          <w:p>
            <w:pPr>
              <w:spacing w:after="40"/>
              <w:jc w:val="center"/>
            </w:pPr>
            <w:r/>
            <w:r>
              <w:rPr>
                <w:rFonts w:ascii="Times New Roman" w:hAnsi="Times New Roman" w:cs="Times New Roman"/>
                <w:b w:val="0"/>
                <w:i w:val="0"/>
                <w:sz w:val="17"/>
              </w:rPr>
              <w:t>3.93</w:t>
            </w:r>
          </w:p>
        </w:tc>
      </w:tr>
      <w:tr>
        <w:tc>
          <w:tcPr>
            <w:tcW w:type="dxa" w:w="2088"/>
          </w:tcPr>
          <w:p>
            <w:pPr>
              <w:spacing w:after="40"/>
              <w:jc w:val="center"/>
            </w:pPr>
            <w:r/>
            <w:r>
              <w:rPr>
                <w:rFonts w:ascii="Times New Roman" w:hAnsi="Times New Roman" w:cs="Times New Roman"/>
                <w:b w:val="0"/>
                <w:i w:val="0"/>
                <w:sz w:val="17"/>
              </w:rPr>
              <w:t>1</w:t>
            </w:r>
          </w:p>
        </w:tc>
        <w:tc>
          <w:tcPr>
            <w:tcW w:type="dxa" w:w="2160"/>
          </w:tcPr>
          <w:p>
            <w:pPr>
              <w:spacing w:after="40"/>
              <w:jc w:val="center"/>
            </w:pPr>
            <w:r/>
            <w:r>
              <w:rPr>
                <w:rFonts w:ascii="Times New Roman" w:hAnsi="Times New Roman" w:cs="Times New Roman"/>
                <w:b w:val="0"/>
                <w:i w:val="0"/>
                <w:sz w:val="17"/>
              </w:rPr>
              <w:t>0.5x</w:t>
            </w:r>
          </w:p>
        </w:tc>
        <w:tc>
          <w:tcPr>
            <w:tcW w:type="dxa" w:w="2016"/>
          </w:tcPr>
          <w:p>
            <w:pPr>
              <w:spacing w:after="40"/>
              <w:jc w:val="center"/>
            </w:pPr>
            <w:r/>
            <w:r>
              <w:rPr>
                <w:rFonts w:ascii="Times New Roman" w:hAnsi="Times New Roman" w:cs="Times New Roman"/>
                <w:b w:val="0"/>
                <w:i w:val="0"/>
                <w:sz w:val="17"/>
              </w:rPr>
              <w:t>0.65</w:t>
            </w:r>
          </w:p>
        </w:tc>
        <w:tc>
          <w:tcPr>
            <w:tcW w:type="dxa" w:w="1512"/>
          </w:tcPr>
          <w:p>
            <w:pPr>
              <w:spacing w:after="40"/>
              <w:jc w:val="center"/>
            </w:pPr>
            <w:r/>
            <w:r>
              <w:rPr>
                <w:rFonts w:ascii="Times New Roman" w:hAnsi="Times New Roman" w:cs="Times New Roman"/>
                <w:b w:val="0"/>
                <w:i w:val="0"/>
                <w:sz w:val="17"/>
              </w:rPr>
              <w:t>0.987</w:t>
            </w:r>
          </w:p>
        </w:tc>
        <w:tc>
          <w:tcPr>
            <w:tcW w:type="dxa" w:w="1368"/>
          </w:tcPr>
          <w:p>
            <w:pPr>
              <w:spacing w:after="40"/>
              <w:jc w:val="center"/>
            </w:pPr>
            <w:r/>
            <w:r>
              <w:rPr>
                <w:rFonts w:ascii="Times New Roman" w:hAnsi="Times New Roman" w:cs="Times New Roman"/>
                <w:b w:val="0"/>
                <w:i w:val="0"/>
                <w:sz w:val="17"/>
              </w:rPr>
              <w:t>3.49</w:t>
            </w:r>
          </w:p>
        </w:tc>
      </w:tr>
      <w:tr>
        <w:tc>
          <w:tcPr>
            <w:tcW w:type="dxa" w:w="2088"/>
          </w:tcPr>
          <w:p>
            <w:pPr>
              <w:spacing w:after="40"/>
              <w:jc w:val="center"/>
            </w:pPr>
            <w:r/>
            <w:r>
              <w:rPr>
                <w:rFonts w:ascii="Times New Roman" w:hAnsi="Times New Roman" w:cs="Times New Roman"/>
                <w:b w:val="0"/>
                <w:i w:val="0"/>
                <w:sz w:val="17"/>
              </w:rPr>
              <w:t>2</w:t>
            </w:r>
          </w:p>
        </w:tc>
        <w:tc>
          <w:tcPr>
            <w:tcW w:type="dxa" w:w="2160"/>
          </w:tcPr>
          <w:p>
            <w:pPr>
              <w:spacing w:after="40"/>
              <w:jc w:val="center"/>
            </w:pPr>
            <w:r/>
            <w:r>
              <w:rPr>
                <w:rFonts w:ascii="Times New Roman" w:hAnsi="Times New Roman" w:cs="Times New Roman"/>
                <w:b w:val="0"/>
                <w:i w:val="0"/>
                <w:sz w:val="17"/>
              </w:rPr>
              <w:t>1.0x</w:t>
            </w:r>
          </w:p>
        </w:tc>
        <w:tc>
          <w:tcPr>
            <w:tcW w:type="dxa" w:w="2016"/>
          </w:tcPr>
          <w:p>
            <w:pPr>
              <w:spacing w:after="40"/>
              <w:jc w:val="center"/>
            </w:pPr>
            <w:r/>
            <w:r>
              <w:rPr>
                <w:rFonts w:ascii="Times New Roman" w:hAnsi="Times New Roman" w:cs="Times New Roman"/>
                <w:b w:val="0"/>
                <w:i w:val="0"/>
                <w:sz w:val="17"/>
              </w:rPr>
              <w:t>0.60</w:t>
            </w:r>
          </w:p>
        </w:tc>
        <w:tc>
          <w:tcPr>
            <w:tcW w:type="dxa" w:w="1512"/>
          </w:tcPr>
          <w:p>
            <w:pPr>
              <w:spacing w:after="40"/>
              <w:jc w:val="center"/>
            </w:pPr>
            <w:r/>
            <w:r>
              <w:rPr>
                <w:rFonts w:ascii="Times New Roman" w:hAnsi="Times New Roman" w:cs="Times New Roman"/>
                <w:b w:val="0"/>
                <w:i w:val="0"/>
                <w:sz w:val="17"/>
              </w:rPr>
              <w:t>0.981</w:t>
            </w:r>
          </w:p>
        </w:tc>
        <w:tc>
          <w:tcPr>
            <w:tcW w:type="dxa" w:w="1368"/>
          </w:tcPr>
          <w:p>
            <w:pPr>
              <w:spacing w:after="40"/>
              <w:jc w:val="center"/>
            </w:pPr>
            <w:r/>
            <w:r>
              <w:rPr>
                <w:rFonts w:ascii="Times New Roman" w:hAnsi="Times New Roman" w:cs="Times New Roman"/>
                <w:b w:val="0"/>
                <w:i w:val="0"/>
                <w:sz w:val="17"/>
              </w:rPr>
              <w:t>3.37</w:t>
            </w:r>
          </w:p>
        </w:tc>
      </w:tr>
      <w:tr>
        <w:tc>
          <w:tcPr>
            <w:tcW w:type="dxa" w:w="2088"/>
          </w:tcPr>
          <w:p>
            <w:pPr>
              <w:spacing w:after="40"/>
              <w:jc w:val="center"/>
            </w:pPr>
            <w:r/>
            <w:r>
              <w:rPr>
                <w:rFonts w:ascii="Times New Roman" w:hAnsi="Times New Roman" w:cs="Times New Roman"/>
                <w:b w:val="0"/>
                <w:i w:val="0"/>
                <w:sz w:val="17"/>
              </w:rPr>
              <w:t>3</w:t>
            </w:r>
          </w:p>
        </w:tc>
        <w:tc>
          <w:tcPr>
            <w:tcW w:type="dxa" w:w="2160"/>
          </w:tcPr>
          <w:p>
            <w:pPr>
              <w:spacing w:after="40"/>
              <w:jc w:val="center"/>
            </w:pPr>
            <w:r/>
            <w:r>
              <w:rPr>
                <w:rFonts w:ascii="Times New Roman" w:hAnsi="Times New Roman" w:cs="Times New Roman"/>
                <w:b w:val="0"/>
                <w:i w:val="0"/>
                <w:sz w:val="17"/>
              </w:rPr>
              <w:t>1.5x</w:t>
            </w:r>
          </w:p>
        </w:tc>
        <w:tc>
          <w:tcPr>
            <w:tcW w:type="dxa" w:w="2016"/>
          </w:tcPr>
          <w:p>
            <w:pPr>
              <w:spacing w:after="40"/>
              <w:jc w:val="center"/>
            </w:pPr>
            <w:r/>
            <w:r>
              <w:rPr>
                <w:rFonts w:ascii="Times New Roman" w:hAnsi="Times New Roman" w:cs="Times New Roman"/>
                <w:b w:val="0"/>
                <w:i w:val="0"/>
                <w:sz w:val="17"/>
              </w:rPr>
              <w:t>0.35</w:t>
            </w:r>
          </w:p>
        </w:tc>
        <w:tc>
          <w:tcPr>
            <w:tcW w:type="dxa" w:w="1512"/>
          </w:tcPr>
          <w:p>
            <w:pPr>
              <w:spacing w:after="40"/>
              <w:jc w:val="center"/>
            </w:pPr>
            <w:r/>
            <w:r>
              <w:rPr>
                <w:rFonts w:ascii="Times New Roman" w:hAnsi="Times New Roman" w:cs="Times New Roman"/>
                <w:b w:val="0"/>
                <w:i w:val="0"/>
                <w:sz w:val="17"/>
              </w:rPr>
              <w:t>0.954</w:t>
            </w:r>
          </w:p>
        </w:tc>
        <w:tc>
          <w:tcPr>
            <w:tcW w:type="dxa" w:w="1368"/>
          </w:tcPr>
          <w:p>
            <w:pPr>
              <w:spacing w:after="40"/>
              <w:jc w:val="center"/>
            </w:pPr>
            <w:r/>
            <w:r>
              <w:rPr>
                <w:rFonts w:ascii="Times New Roman" w:hAnsi="Times New Roman" w:cs="Times New Roman"/>
                <w:b w:val="0"/>
                <w:i w:val="0"/>
                <w:sz w:val="17"/>
              </w:rPr>
              <w:t>2.69</w:t>
            </w:r>
          </w:p>
        </w:tc>
      </w:tr>
      <w:tr>
        <w:tc>
          <w:tcPr>
            <w:tcW w:type="dxa" w:w="2088"/>
          </w:tcPr>
          <w:p>
            <w:pPr>
              <w:spacing w:after="40"/>
              <w:jc w:val="center"/>
            </w:pPr>
            <w:r/>
            <w:r>
              <w:rPr>
                <w:rFonts w:ascii="Times New Roman" w:hAnsi="Times New Roman" w:cs="Times New Roman"/>
                <w:b w:val="0"/>
                <w:i w:val="0"/>
                <w:sz w:val="17"/>
              </w:rPr>
              <w:t>4</w:t>
            </w:r>
          </w:p>
        </w:tc>
        <w:tc>
          <w:tcPr>
            <w:tcW w:type="dxa" w:w="2160"/>
          </w:tcPr>
          <w:p>
            <w:pPr>
              <w:spacing w:after="40"/>
              <w:jc w:val="center"/>
            </w:pPr>
            <w:r/>
            <w:r>
              <w:rPr>
                <w:rFonts w:ascii="Times New Roman" w:hAnsi="Times New Roman" w:cs="Times New Roman"/>
                <w:b w:val="0"/>
                <w:i w:val="0"/>
                <w:sz w:val="17"/>
              </w:rPr>
              <w:t>2.0x</w:t>
            </w:r>
          </w:p>
        </w:tc>
        <w:tc>
          <w:tcPr>
            <w:tcW w:type="dxa" w:w="2016"/>
          </w:tcPr>
          <w:p>
            <w:pPr>
              <w:spacing w:after="40"/>
              <w:jc w:val="center"/>
            </w:pPr>
            <w:r/>
            <w:r>
              <w:rPr>
                <w:rFonts w:ascii="Times New Roman" w:hAnsi="Times New Roman" w:cs="Times New Roman"/>
                <w:b w:val="0"/>
                <w:i w:val="0"/>
                <w:sz w:val="17"/>
              </w:rPr>
              <w:t>0.30</w:t>
            </w:r>
          </w:p>
        </w:tc>
        <w:tc>
          <w:tcPr>
            <w:tcW w:type="dxa" w:w="1512"/>
          </w:tcPr>
          <w:p>
            <w:pPr>
              <w:spacing w:after="40"/>
              <w:jc w:val="center"/>
            </w:pPr>
            <w:r/>
            <w:r>
              <w:rPr>
                <w:rFonts w:ascii="Times New Roman" w:hAnsi="Times New Roman" w:cs="Times New Roman"/>
                <w:b w:val="0"/>
                <w:i w:val="0"/>
                <w:sz w:val="17"/>
              </w:rPr>
              <w:t>0.939</w:t>
            </w:r>
          </w:p>
        </w:tc>
        <w:tc>
          <w:tcPr>
            <w:tcW w:type="dxa" w:w="1368"/>
          </w:tcPr>
          <w:p>
            <w:pPr>
              <w:spacing w:after="40"/>
              <w:jc w:val="center"/>
            </w:pPr>
            <w:r/>
            <w:r>
              <w:rPr>
                <w:rFonts w:ascii="Times New Roman" w:hAnsi="Times New Roman" w:cs="Times New Roman"/>
                <w:b w:val="0"/>
                <w:i w:val="0"/>
                <w:sz w:val="17"/>
              </w:rPr>
              <w:t>1.88</w:t>
            </w:r>
          </w:p>
        </w:tc>
      </w:tr>
      <w:tr>
        <w:tc>
          <w:tcPr>
            <w:tcW w:type="dxa" w:w="2088"/>
          </w:tcPr>
          <w:p>
            <w:pPr>
              <w:spacing w:after="40"/>
              <w:jc w:val="center"/>
            </w:pPr>
            <w:r/>
            <w:r>
              <w:rPr>
                <w:rFonts w:ascii="Times New Roman" w:hAnsi="Times New Roman" w:cs="Times New Roman"/>
                <w:b w:val="0"/>
                <w:i w:val="0"/>
                <w:sz w:val="17"/>
              </w:rPr>
              <w:t>6</w:t>
            </w:r>
          </w:p>
        </w:tc>
        <w:tc>
          <w:tcPr>
            <w:tcW w:type="dxa" w:w="2160"/>
          </w:tcPr>
          <w:p>
            <w:pPr>
              <w:spacing w:after="40"/>
              <w:jc w:val="center"/>
            </w:pPr>
            <w:r/>
            <w:r>
              <w:rPr>
                <w:rFonts w:ascii="Times New Roman" w:hAnsi="Times New Roman" w:cs="Times New Roman"/>
                <w:b w:val="0"/>
                <w:i w:val="0"/>
                <w:sz w:val="17"/>
              </w:rPr>
              <w:t>3.0x</w:t>
            </w:r>
          </w:p>
        </w:tc>
        <w:tc>
          <w:tcPr>
            <w:tcW w:type="dxa" w:w="2016"/>
          </w:tcPr>
          <w:p>
            <w:pPr>
              <w:spacing w:after="40"/>
              <w:jc w:val="center"/>
            </w:pPr>
            <w:r/>
            <w:r>
              <w:rPr>
                <w:rFonts w:ascii="Times New Roman" w:hAnsi="Times New Roman" w:cs="Times New Roman"/>
                <w:b w:val="0"/>
                <w:i w:val="0"/>
                <w:sz w:val="17"/>
              </w:rPr>
              <w:t>0.15</w:t>
            </w:r>
          </w:p>
        </w:tc>
        <w:tc>
          <w:tcPr>
            <w:tcW w:type="dxa" w:w="1512"/>
          </w:tcPr>
          <w:p>
            <w:pPr>
              <w:spacing w:after="40"/>
              <w:jc w:val="center"/>
            </w:pPr>
            <w:r/>
            <w:r>
              <w:rPr>
                <w:rFonts w:ascii="Times New Roman" w:hAnsi="Times New Roman" w:cs="Times New Roman"/>
                <w:b w:val="0"/>
                <w:i w:val="0"/>
                <w:sz w:val="17"/>
              </w:rPr>
              <w:t>0.828</w:t>
            </w:r>
          </w:p>
        </w:tc>
        <w:tc>
          <w:tcPr>
            <w:tcW w:type="dxa" w:w="1368"/>
          </w:tcPr>
          <w:p>
            <w:pPr>
              <w:spacing w:after="40"/>
              <w:jc w:val="center"/>
            </w:pPr>
            <w:r/>
            <w:r>
              <w:rPr>
                <w:rFonts w:ascii="Times New Roman" w:hAnsi="Times New Roman" w:cs="Times New Roman"/>
                <w:b w:val="0"/>
                <w:i w:val="0"/>
                <w:sz w:val="17"/>
              </w:rPr>
              <w:t>1.25</w:t>
            </w:r>
          </w:p>
        </w:tc>
      </w:tr>
      <w:tr>
        <w:tc>
          <w:tcPr>
            <w:tcW w:type="dxa" w:w="2088"/>
          </w:tcPr>
          <w:p>
            <w:pPr>
              <w:keepNext/>
              <w:spacing w:after="40"/>
              <w:jc w:val="center"/>
            </w:pPr>
            <w:r/>
            <w:r>
              <w:rPr>
                <w:rFonts w:ascii="Times New Roman" w:hAnsi="Times New Roman" w:cs="Times New Roman"/>
                <w:b w:val="0"/>
                <w:i w:val="0"/>
                <w:sz w:val="17"/>
              </w:rPr>
              <w:t>8</w:t>
            </w:r>
          </w:p>
        </w:tc>
        <w:tc>
          <w:tcPr>
            <w:tcW w:type="dxa" w:w="2160"/>
          </w:tcPr>
          <w:p>
            <w:pPr>
              <w:keepNext/>
              <w:spacing w:after="40"/>
              <w:jc w:val="center"/>
            </w:pPr>
            <w:r/>
            <w:r>
              <w:rPr>
                <w:rFonts w:ascii="Times New Roman" w:hAnsi="Times New Roman" w:cs="Times New Roman"/>
                <w:b w:val="0"/>
                <w:i w:val="0"/>
                <w:sz w:val="17"/>
              </w:rPr>
              <w:t>4.0x</w:t>
            </w:r>
          </w:p>
        </w:tc>
        <w:tc>
          <w:tcPr>
            <w:tcW w:type="dxa" w:w="2016"/>
          </w:tcPr>
          <w:p>
            <w:pPr>
              <w:keepNext/>
              <w:spacing w:after="40"/>
              <w:jc w:val="center"/>
            </w:pPr>
            <w:r/>
            <w:r>
              <w:rPr>
                <w:rFonts w:ascii="Times New Roman" w:hAnsi="Times New Roman" w:cs="Times New Roman"/>
                <w:b w:val="0"/>
                <w:i w:val="0"/>
                <w:sz w:val="17"/>
              </w:rPr>
              <w:t>0.15</w:t>
            </w:r>
          </w:p>
        </w:tc>
        <w:tc>
          <w:tcPr>
            <w:tcW w:type="dxa" w:w="1512"/>
          </w:tcPr>
          <w:p>
            <w:pPr>
              <w:keepNext/>
              <w:spacing w:after="40"/>
              <w:jc w:val="center"/>
            </w:pPr>
            <w:r/>
            <w:r>
              <w:rPr>
                <w:rFonts w:ascii="Times New Roman" w:hAnsi="Times New Roman" w:cs="Times New Roman"/>
                <w:b w:val="0"/>
                <w:i w:val="0"/>
                <w:sz w:val="17"/>
              </w:rPr>
              <w:t>0.726</w:t>
            </w:r>
          </w:p>
        </w:tc>
        <w:tc>
          <w:tcPr>
            <w:tcW w:type="dxa" w:w="1368"/>
          </w:tcPr>
          <w:p>
            <w:pPr>
              <w:keepNext/>
              <w:spacing w:after="40"/>
              <w:jc w:val="center"/>
            </w:pPr>
            <w:r/>
            <w:r>
              <w:rPr>
                <w:rFonts w:ascii="Times New Roman" w:hAnsi="Times New Roman" w:cs="Times New Roman"/>
                <w:b w:val="0"/>
                <w:i w:val="0"/>
                <w:sz w:val="17"/>
              </w:rPr>
              <w:t>0.80</w:t>
            </w:r>
          </w:p>
        </w:tc>
      </w:tr>
    </w:tbl>
    <w:p>
      <w:pPr>
        <w:spacing w:before="60" w:after="240"/>
        <w:jc w:val="center"/>
      </w:pPr>
      <w:r>
        <w:rPr>
          <w:rFonts w:ascii="Times New Roman" w:hAnsi="Times New Roman" w:cs="Times New Roman"/>
          <w:b/>
          <w:i w:val="0"/>
          <w:sz w:val="21"/>
        </w:rPr>
        <w:t>Table 7: Tolerance to Inter-Station Timing Error</w:t>
      </w:r>
    </w:p>
    <w:p>
      <w:pPr>
        <w:spacing w:before="160" w:after="40"/>
        <w:jc w:val="center"/>
      </w:pPr>
      <w:r>
        <w:drawing>
          <wp:inline xmlns:a="http://schemas.openxmlformats.org/drawingml/2006/main" xmlns:pic="http://schemas.openxmlformats.org/drawingml/2006/picture">
            <wp:extent cx="5120640" cy="2640134"/>
            <wp:docPr id="10" name="Picture 10"/>
            <wp:cNvGraphicFramePr>
              <a:graphicFrameLocks noChangeAspect="1"/>
            </wp:cNvGraphicFramePr>
            <a:graphic>
              <a:graphicData uri="http://schemas.openxmlformats.org/drawingml/2006/picture">
                <pic:pic>
                  <pic:nvPicPr>
                    <pic:cNvPr id="0" name="fig09.png"/>
                    <pic:cNvPicPr/>
                  </pic:nvPicPr>
                  <pic:blipFill>
                    <a:blip r:embed="rId20"/>
                    <a:stretch>
                      <a:fillRect/>
                    </a:stretch>
                  </pic:blipFill>
                  <pic:spPr>
                    <a:xfrm>
                      <a:off x="0" y="0"/>
                      <a:ext cx="5120640" cy="2640134"/>
                    </a:xfrm>
                    <a:prstGeom prst="rect"/>
                  </pic:spPr>
                </pic:pic>
              </a:graphicData>
            </a:graphic>
          </wp:inline>
        </w:drawing>
      </w:r>
    </w:p>
    <w:p>
      <w:pPr>
        <w:spacing w:before="80" w:after="240"/>
        <w:jc w:val="center"/>
      </w:pPr>
      <w:r>
        <w:rPr>
          <w:rFonts w:ascii="Arial" w:hAnsi="Arial" w:cs="Arial"/>
          <w:b/>
          <w:i w:val="0"/>
          <w:sz w:val="19"/>
        </w:rPr>
        <w:t>Figure 9.</w:t>
      </w:r>
      <w:r>
        <w:rPr>
          <w:rFonts w:ascii="Arial" w:hAnsi="Arial" w:cs="Arial"/>
          <w:b w:val="0"/>
          <w:i w:val="0"/>
          <w:sz w:val="19"/>
        </w:rPr>
        <w:t xml:space="preserve"> Tolerance to inter-station timing error, expressed as a multiple of the coupling lag and therefore independent of the station reporting rate. The shaded band is the tolerance recited at Claim 14.</w:t>
      </w:r>
    </w:p>
    <w:p>
      <w:pPr>
        <w:spacing w:after="140" w:line="274" w:lineRule="auto"/>
        <w:jc w:val="both"/>
      </w:pPr>
      <w:r>
        <w:rPr>
          <w:rFonts w:ascii="Times New Roman" w:hAnsi="Times New Roman" w:cs="Times New Roman"/>
          <w:b w:val="0"/>
          <w:i w:val="0"/>
          <w:sz w:val="22"/>
        </w:rPr>
        <w:t>The degradation is monotone and, expressed as a fraction of the coupling lag, rate-agnostic: ranking accuracy holds above 0.95 while the error stays within about one and a half times the lag and collapses beyond three times it. For the one-to-three-second coupling lag of the principal embodiment that places the useful envelope near or below one second, and puts an alignment of fifty milliseconds — which ordinary network time synchronisation over a local area network attains — at roughly two per cent of the lag, comfortably inside it. An earlier skew sweep, run before the factorial of Table 5 had established which cell was detecting, was performed on the shared-model condition and therefore measured the degradation of a non-signal. It is void, is not reported here, and is retained in the working record only so that the error stands on it.</w:t>
      </w:r>
    </w:p>
    <w:p>
      <w:pPr>
        <w:spacing w:after="140" w:line="274" w:lineRule="auto"/>
        <w:jc w:val="both"/>
      </w:pPr>
      <w:r>
        <w:rPr>
          <w:rFonts w:ascii="Times New Roman" w:hAnsi="Times New Roman" w:cs="Times New Roman"/>
          <w:b/>
          <w:i w:val="0"/>
          <w:sz w:val="22"/>
        </w:rPr>
        <w:t xml:space="preserve">Operating envelope of the coupling channel. </w:t>
      </w:r>
      <w:r>
        <w:rPr>
          <w:rFonts w:ascii="Times New Roman" w:hAnsi="Times New Roman" w:cs="Times New Roman"/>
          <w:b w:val="0"/>
          <w:i w:val="0"/>
          <w:sz w:val="22"/>
        </w:rPr>
        <w:t>Ranking accuracy alone does not say when the channel is usable. Two sweeps bound it, both with station-local models, the plain median reference and a venue-wide event present, twenty resampled trials per point.</w:t>
      </w:r>
    </w:p>
    <w:tbl>
      <w:tblPr>
        <w:tblStyle w:val="TableGrid"/>
        <w:tblW w:type="auto" w:w="0"/>
        <w:jc w:val="center"/>
        <w:tblLayout w:type="fixed"/>
        <w:tblLook w:firstColumn="1" w:firstRow="1" w:lastColumn="0" w:lastRow="0" w:noHBand="0" w:noVBand="1" w:val="04A0"/>
      </w:tblPr>
      <w:tblGrid>
        <w:gridCol w:w="1378"/>
        <w:gridCol w:w="1378"/>
        <w:gridCol w:w="1378"/>
        <w:gridCol w:w="1378"/>
        <w:gridCol w:w="1378"/>
        <w:gridCol w:w="1378"/>
        <w:gridCol w:w="1378"/>
      </w:tblGrid>
      <w:tr>
        <w:trPr>
          <w:tblHeader/>
        </w:trPr>
        <w:tc>
          <w:tcPr>
            <w:tcW w:type="dxa" w:w="3312"/>
          </w:tcPr>
          <w:p>
            <w:pPr>
              <w:keepNext/>
              <w:spacing w:after="40"/>
              <w:jc w:val="center"/>
            </w:pPr>
            <w:r/>
            <w:r>
              <w:rPr>
                <w:rFonts w:ascii="Times New Roman" w:hAnsi="Times New Roman" w:cs="Times New Roman"/>
                <w:b/>
                <w:i w:val="0"/>
                <w:sz w:val="16"/>
              </w:rPr>
              <w:t>Amplitude of each exchange, as a fraction of the channel range</w:t>
            </w:r>
          </w:p>
        </w:tc>
        <w:tc>
          <w:tcPr>
            <w:tcW w:type="dxa" w:w="979"/>
          </w:tcPr>
          <w:p>
            <w:pPr>
              <w:keepNext/>
              <w:spacing w:after="40"/>
              <w:jc w:val="center"/>
            </w:pPr>
            <w:r/>
            <w:r>
              <w:rPr>
                <w:rFonts w:ascii="Times New Roman" w:hAnsi="Times New Roman" w:cs="Times New Roman"/>
                <w:b/>
                <w:i w:val="0"/>
                <w:sz w:val="16"/>
              </w:rPr>
              <w:t>0.02</w:t>
            </w:r>
          </w:p>
        </w:tc>
        <w:tc>
          <w:tcPr>
            <w:tcW w:type="dxa" w:w="979"/>
          </w:tcPr>
          <w:p>
            <w:pPr>
              <w:keepNext/>
              <w:spacing w:after="40"/>
              <w:jc w:val="center"/>
            </w:pPr>
            <w:r/>
            <w:r>
              <w:rPr>
                <w:rFonts w:ascii="Times New Roman" w:hAnsi="Times New Roman" w:cs="Times New Roman"/>
                <w:b/>
                <w:i w:val="0"/>
                <w:sz w:val="16"/>
              </w:rPr>
              <w:t>0.04</w:t>
            </w:r>
          </w:p>
        </w:tc>
        <w:tc>
          <w:tcPr>
            <w:tcW w:type="dxa" w:w="979"/>
          </w:tcPr>
          <w:p>
            <w:pPr>
              <w:keepNext/>
              <w:spacing w:after="40"/>
              <w:jc w:val="center"/>
            </w:pPr>
            <w:r/>
            <w:r>
              <w:rPr>
                <w:rFonts w:ascii="Times New Roman" w:hAnsi="Times New Roman" w:cs="Times New Roman"/>
                <w:b/>
                <w:i w:val="0"/>
                <w:sz w:val="16"/>
              </w:rPr>
              <w:t>0.06</w:t>
            </w:r>
          </w:p>
        </w:tc>
        <w:tc>
          <w:tcPr>
            <w:tcW w:type="dxa" w:w="979"/>
          </w:tcPr>
          <w:p>
            <w:pPr>
              <w:keepNext/>
              <w:spacing w:after="40"/>
              <w:jc w:val="center"/>
            </w:pPr>
            <w:r/>
            <w:r>
              <w:rPr>
                <w:rFonts w:ascii="Times New Roman" w:hAnsi="Times New Roman" w:cs="Times New Roman"/>
                <w:b/>
                <w:i w:val="0"/>
                <w:sz w:val="16"/>
              </w:rPr>
              <w:t>0.1</w:t>
            </w:r>
          </w:p>
        </w:tc>
        <w:tc>
          <w:tcPr>
            <w:tcW w:type="dxa" w:w="979"/>
          </w:tcPr>
          <w:p>
            <w:pPr>
              <w:keepNext/>
              <w:spacing w:after="40"/>
              <w:jc w:val="center"/>
            </w:pPr>
            <w:r/>
            <w:r>
              <w:rPr>
                <w:rFonts w:ascii="Times New Roman" w:hAnsi="Times New Roman" w:cs="Times New Roman"/>
                <w:b/>
                <w:i w:val="0"/>
                <w:sz w:val="16"/>
              </w:rPr>
              <w:t>0.15</w:t>
            </w:r>
          </w:p>
        </w:tc>
        <w:tc>
          <w:tcPr>
            <w:tcW w:type="dxa" w:w="979"/>
          </w:tcPr>
          <w:p>
            <w:pPr>
              <w:keepNext/>
              <w:spacing w:after="40"/>
              <w:jc w:val="center"/>
            </w:pPr>
            <w:r/>
            <w:r>
              <w:rPr>
                <w:rFonts w:ascii="Times New Roman" w:hAnsi="Times New Roman" w:cs="Times New Roman"/>
                <w:b/>
                <w:i w:val="0"/>
                <w:sz w:val="16"/>
              </w:rPr>
              <w:t>0.25</w:t>
            </w:r>
          </w:p>
        </w:tc>
      </w:tr>
      <w:tr>
        <w:tc>
          <w:tcPr>
            <w:tcW w:type="dxa" w:w="3312"/>
          </w:tcPr>
          <w:p>
            <w:pPr>
              <w:spacing w:after="40"/>
              <w:jc w:val="left"/>
            </w:pPr>
            <w:r/>
            <w:r>
              <w:rPr>
                <w:rFonts w:ascii="Times New Roman" w:hAnsi="Times New Roman" w:cs="Times New Roman"/>
                <w:b w:val="0"/>
                <w:i w:val="0"/>
                <w:sz w:val="16"/>
              </w:rPr>
              <w:t>coupled pair ranked first of 55</w:t>
            </w:r>
          </w:p>
        </w:tc>
        <w:tc>
          <w:tcPr>
            <w:tcW w:type="dxa" w:w="979"/>
          </w:tcPr>
          <w:p>
            <w:pPr>
              <w:spacing w:after="40"/>
              <w:jc w:val="center"/>
            </w:pPr>
            <w:r/>
            <w:r>
              <w:rPr>
                <w:rFonts w:ascii="Times New Roman" w:hAnsi="Times New Roman" w:cs="Times New Roman"/>
                <w:b w:val="0"/>
                <w:i w:val="0"/>
                <w:sz w:val="16"/>
              </w:rPr>
              <w:t>0.05</w:t>
            </w:r>
          </w:p>
        </w:tc>
        <w:tc>
          <w:tcPr>
            <w:tcW w:type="dxa" w:w="979"/>
          </w:tcPr>
          <w:p>
            <w:pPr>
              <w:spacing w:after="40"/>
              <w:jc w:val="center"/>
            </w:pPr>
            <w:r/>
            <w:r>
              <w:rPr>
                <w:rFonts w:ascii="Times New Roman" w:hAnsi="Times New Roman" w:cs="Times New Roman"/>
                <w:b w:val="0"/>
                <w:i w:val="0"/>
                <w:sz w:val="16"/>
              </w:rPr>
              <w:t>0.05</w:t>
            </w:r>
          </w:p>
        </w:tc>
        <w:tc>
          <w:tcPr>
            <w:tcW w:type="dxa" w:w="979"/>
          </w:tcPr>
          <w:p>
            <w:pPr>
              <w:spacing w:after="40"/>
              <w:jc w:val="center"/>
            </w:pPr>
            <w:r/>
            <w:r>
              <w:rPr>
                <w:rFonts w:ascii="Times New Roman" w:hAnsi="Times New Roman" w:cs="Times New Roman"/>
                <w:b w:val="0"/>
                <w:i w:val="0"/>
                <w:sz w:val="16"/>
              </w:rPr>
              <w:t>0.10</w:t>
            </w:r>
          </w:p>
        </w:tc>
        <w:tc>
          <w:tcPr>
            <w:tcW w:type="dxa" w:w="979"/>
          </w:tcPr>
          <w:p>
            <w:pPr>
              <w:spacing w:after="40"/>
              <w:jc w:val="center"/>
            </w:pPr>
            <w:r/>
            <w:r>
              <w:rPr>
                <w:rFonts w:ascii="Times New Roman" w:hAnsi="Times New Roman" w:cs="Times New Roman"/>
                <w:b w:val="0"/>
                <w:i w:val="0"/>
                <w:sz w:val="16"/>
              </w:rPr>
              <w:t>0.50</w:t>
            </w:r>
          </w:p>
        </w:tc>
        <w:tc>
          <w:tcPr>
            <w:tcW w:type="dxa" w:w="979"/>
          </w:tcPr>
          <w:p>
            <w:pPr>
              <w:spacing w:after="40"/>
              <w:jc w:val="center"/>
            </w:pPr>
            <w:r/>
            <w:r>
              <w:rPr>
                <w:rFonts w:ascii="Times New Roman" w:hAnsi="Times New Roman" w:cs="Times New Roman"/>
                <w:b w:val="0"/>
                <w:i w:val="0"/>
                <w:sz w:val="16"/>
              </w:rPr>
              <w:t>0.75</w:t>
            </w:r>
          </w:p>
        </w:tc>
        <w:tc>
          <w:tcPr>
            <w:tcW w:type="dxa" w:w="979"/>
          </w:tcPr>
          <w:p>
            <w:pPr>
              <w:spacing w:after="40"/>
              <w:jc w:val="center"/>
            </w:pPr>
            <w:r/>
            <w:r>
              <w:rPr>
                <w:rFonts w:ascii="Times New Roman" w:hAnsi="Times New Roman" w:cs="Times New Roman"/>
                <w:b w:val="0"/>
                <w:i w:val="0"/>
                <w:sz w:val="16"/>
              </w:rPr>
              <w:t>0.95</w:t>
            </w:r>
          </w:p>
        </w:tc>
      </w:tr>
      <w:tr>
        <w:tc>
          <w:tcPr>
            <w:tcW w:type="dxa" w:w="3312"/>
          </w:tcPr>
          <w:p>
            <w:pPr>
              <w:keepNext/>
              <w:spacing w:after="40"/>
              <w:jc w:val="left"/>
            </w:pPr>
            <w:r/>
            <w:r>
              <w:rPr>
                <w:rFonts w:ascii="Times New Roman" w:hAnsi="Times New Roman" w:cs="Times New Roman"/>
                <w:b w:val="0"/>
                <w:i w:val="0"/>
                <w:sz w:val="16"/>
              </w:rPr>
              <w:t>AUROC over pairs</w:t>
            </w:r>
          </w:p>
        </w:tc>
        <w:tc>
          <w:tcPr>
            <w:tcW w:type="dxa" w:w="979"/>
          </w:tcPr>
          <w:p>
            <w:pPr>
              <w:keepNext/>
              <w:spacing w:after="40"/>
              <w:jc w:val="center"/>
            </w:pPr>
            <w:r/>
            <w:r>
              <w:rPr>
                <w:rFonts w:ascii="Times New Roman" w:hAnsi="Times New Roman" w:cs="Times New Roman"/>
                <w:b w:val="0"/>
                <w:i w:val="0"/>
                <w:sz w:val="16"/>
              </w:rPr>
              <w:t>0.514</w:t>
            </w:r>
          </w:p>
        </w:tc>
        <w:tc>
          <w:tcPr>
            <w:tcW w:type="dxa" w:w="979"/>
          </w:tcPr>
          <w:p>
            <w:pPr>
              <w:keepNext/>
              <w:spacing w:after="40"/>
              <w:jc w:val="center"/>
            </w:pPr>
            <w:r/>
            <w:r>
              <w:rPr>
                <w:rFonts w:ascii="Times New Roman" w:hAnsi="Times New Roman" w:cs="Times New Roman"/>
                <w:b w:val="0"/>
                <w:i w:val="0"/>
                <w:sz w:val="16"/>
              </w:rPr>
              <w:t>0.574</w:t>
            </w:r>
          </w:p>
        </w:tc>
        <w:tc>
          <w:tcPr>
            <w:tcW w:type="dxa" w:w="979"/>
          </w:tcPr>
          <w:p>
            <w:pPr>
              <w:keepNext/>
              <w:spacing w:after="40"/>
              <w:jc w:val="center"/>
            </w:pPr>
            <w:r/>
            <w:r>
              <w:rPr>
                <w:rFonts w:ascii="Times New Roman" w:hAnsi="Times New Roman" w:cs="Times New Roman"/>
                <w:b w:val="0"/>
                <w:i w:val="0"/>
                <w:sz w:val="16"/>
              </w:rPr>
              <w:t>0.673</w:t>
            </w:r>
          </w:p>
        </w:tc>
        <w:tc>
          <w:tcPr>
            <w:tcW w:type="dxa" w:w="979"/>
          </w:tcPr>
          <w:p>
            <w:pPr>
              <w:keepNext/>
              <w:spacing w:after="40"/>
              <w:jc w:val="center"/>
            </w:pPr>
            <w:r/>
            <w:r>
              <w:rPr>
                <w:rFonts w:ascii="Times New Roman" w:hAnsi="Times New Roman" w:cs="Times New Roman"/>
                <w:b w:val="0"/>
                <w:i w:val="0"/>
                <w:sz w:val="16"/>
              </w:rPr>
              <w:t>0.866</w:t>
            </w:r>
          </w:p>
        </w:tc>
        <w:tc>
          <w:tcPr>
            <w:tcW w:type="dxa" w:w="979"/>
          </w:tcPr>
          <w:p>
            <w:pPr>
              <w:keepNext/>
              <w:spacing w:after="40"/>
              <w:jc w:val="center"/>
            </w:pPr>
            <w:r/>
            <w:r>
              <w:rPr>
                <w:rFonts w:ascii="Times New Roman" w:hAnsi="Times New Roman" w:cs="Times New Roman"/>
                <w:b w:val="0"/>
                <w:i w:val="0"/>
                <w:sz w:val="16"/>
              </w:rPr>
              <w:t>0.953</w:t>
            </w:r>
          </w:p>
        </w:tc>
        <w:tc>
          <w:tcPr>
            <w:tcW w:type="dxa" w:w="979"/>
          </w:tcPr>
          <w:p>
            <w:pPr>
              <w:keepNext/>
              <w:spacing w:after="40"/>
              <w:jc w:val="center"/>
            </w:pPr>
            <w:r/>
            <w:r>
              <w:rPr>
                <w:rFonts w:ascii="Times New Roman" w:hAnsi="Times New Roman" w:cs="Times New Roman"/>
                <w:b w:val="0"/>
                <w:i w:val="0"/>
                <w:sz w:val="16"/>
              </w:rPr>
              <w:t>0.999</w:t>
            </w:r>
          </w:p>
        </w:tc>
      </w:tr>
    </w:tbl>
    <w:p>
      <w:pPr>
        <w:spacing w:before="60" w:after="240"/>
        <w:jc w:val="center"/>
      </w:pPr>
      <w:r>
        <w:rPr>
          <w:rFonts w:ascii="Times New Roman" w:hAnsi="Times New Roman" w:cs="Times New Roman"/>
          <w:b/>
          <w:i w:val="0"/>
          <w:sz w:val="21"/>
        </w:rPr>
        <w:t>Table 8: Operating Envelope Against Exchange Amplitude, at 60 Exchanges</w:t>
      </w:r>
    </w:p>
    <w:tbl>
      <w:tblPr>
        <w:tblStyle w:val="TableGrid"/>
        <w:tblW w:type="auto" w:w="0"/>
        <w:jc w:val="center"/>
        <w:tblLayout w:type="fixed"/>
        <w:tblLook w:firstColumn="1" w:firstRow="1" w:lastColumn="0" w:lastRow="0" w:noHBand="0" w:noVBand="1" w:val="04A0"/>
      </w:tblPr>
      <w:tblGrid>
        <w:gridCol w:w="1608"/>
        <w:gridCol w:w="1608"/>
        <w:gridCol w:w="1608"/>
        <w:gridCol w:w="1608"/>
        <w:gridCol w:w="1608"/>
        <w:gridCol w:w="1608"/>
      </w:tblGrid>
      <w:tr>
        <w:trPr>
          <w:tblHeader/>
        </w:trPr>
        <w:tc>
          <w:tcPr>
            <w:tcW w:type="dxa" w:w="3744"/>
          </w:tcPr>
          <w:p>
            <w:pPr>
              <w:keepNext/>
              <w:spacing w:after="40"/>
              <w:jc w:val="center"/>
            </w:pPr>
            <w:r/>
            <w:r>
              <w:rPr>
                <w:rFonts w:ascii="Times New Roman" w:hAnsi="Times New Roman" w:cs="Times New Roman"/>
                <w:b/>
                <w:i w:val="0"/>
                <w:sz w:val="16"/>
              </w:rPr>
              <w:t>Number of separate coupled exchanges in the observation window</w:t>
            </w:r>
          </w:p>
        </w:tc>
        <w:tc>
          <w:tcPr>
            <w:tcW w:type="dxa" w:w="1123"/>
          </w:tcPr>
          <w:p>
            <w:pPr>
              <w:keepNext/>
              <w:spacing w:after="40"/>
              <w:jc w:val="center"/>
            </w:pPr>
            <w:r/>
            <w:r>
              <w:rPr>
                <w:rFonts w:ascii="Times New Roman" w:hAnsi="Times New Roman" w:cs="Times New Roman"/>
                <w:b/>
                <w:i w:val="0"/>
                <w:sz w:val="16"/>
              </w:rPr>
              <w:t>10</w:t>
            </w:r>
          </w:p>
        </w:tc>
        <w:tc>
          <w:tcPr>
            <w:tcW w:type="dxa" w:w="1123"/>
          </w:tcPr>
          <w:p>
            <w:pPr>
              <w:keepNext/>
              <w:spacing w:after="40"/>
              <w:jc w:val="center"/>
            </w:pPr>
            <w:r/>
            <w:r>
              <w:rPr>
                <w:rFonts w:ascii="Times New Roman" w:hAnsi="Times New Roman" w:cs="Times New Roman"/>
                <w:b/>
                <w:i w:val="0"/>
                <w:sz w:val="16"/>
              </w:rPr>
              <w:t>20</w:t>
            </w:r>
          </w:p>
        </w:tc>
        <w:tc>
          <w:tcPr>
            <w:tcW w:type="dxa" w:w="1123"/>
          </w:tcPr>
          <w:p>
            <w:pPr>
              <w:keepNext/>
              <w:spacing w:after="40"/>
              <w:jc w:val="center"/>
            </w:pPr>
            <w:r/>
            <w:r>
              <w:rPr>
                <w:rFonts w:ascii="Times New Roman" w:hAnsi="Times New Roman" w:cs="Times New Roman"/>
                <w:b/>
                <w:i w:val="0"/>
                <w:sz w:val="16"/>
              </w:rPr>
              <w:t>40</w:t>
            </w:r>
          </w:p>
        </w:tc>
        <w:tc>
          <w:tcPr>
            <w:tcW w:type="dxa" w:w="1123"/>
          </w:tcPr>
          <w:p>
            <w:pPr>
              <w:keepNext/>
              <w:spacing w:after="40"/>
              <w:jc w:val="center"/>
            </w:pPr>
            <w:r/>
            <w:r>
              <w:rPr>
                <w:rFonts w:ascii="Times New Roman" w:hAnsi="Times New Roman" w:cs="Times New Roman"/>
                <w:b/>
                <w:i w:val="0"/>
                <w:sz w:val="16"/>
              </w:rPr>
              <w:t>60</w:t>
            </w:r>
          </w:p>
        </w:tc>
        <w:tc>
          <w:tcPr>
            <w:tcW w:type="dxa" w:w="1123"/>
          </w:tcPr>
          <w:p>
            <w:pPr>
              <w:keepNext/>
              <w:spacing w:after="40"/>
              <w:jc w:val="center"/>
            </w:pPr>
            <w:r/>
            <w:r>
              <w:rPr>
                <w:rFonts w:ascii="Times New Roman" w:hAnsi="Times New Roman" w:cs="Times New Roman"/>
                <w:b/>
                <w:i w:val="0"/>
                <w:sz w:val="16"/>
              </w:rPr>
              <w:t>90</w:t>
            </w:r>
          </w:p>
        </w:tc>
      </w:tr>
      <w:tr>
        <w:tc>
          <w:tcPr>
            <w:tcW w:type="dxa" w:w="3744"/>
          </w:tcPr>
          <w:p>
            <w:pPr>
              <w:spacing w:after="40"/>
              <w:jc w:val="left"/>
            </w:pPr>
            <w:r/>
            <w:r>
              <w:rPr>
                <w:rFonts w:ascii="Times New Roman" w:hAnsi="Times New Roman" w:cs="Times New Roman"/>
                <w:b w:val="0"/>
                <w:i w:val="0"/>
                <w:sz w:val="16"/>
              </w:rPr>
              <w:t>coupled pair ranked first of 55</w:t>
            </w:r>
          </w:p>
        </w:tc>
        <w:tc>
          <w:tcPr>
            <w:tcW w:type="dxa" w:w="1123"/>
          </w:tcPr>
          <w:p>
            <w:pPr>
              <w:spacing w:after="40"/>
              <w:jc w:val="center"/>
            </w:pPr>
            <w:r/>
            <w:r>
              <w:rPr>
                <w:rFonts w:ascii="Times New Roman" w:hAnsi="Times New Roman" w:cs="Times New Roman"/>
                <w:b w:val="0"/>
                <w:i w:val="0"/>
                <w:sz w:val="16"/>
              </w:rPr>
              <w:t>0.10</w:t>
            </w:r>
          </w:p>
        </w:tc>
        <w:tc>
          <w:tcPr>
            <w:tcW w:type="dxa" w:w="1123"/>
          </w:tcPr>
          <w:p>
            <w:pPr>
              <w:spacing w:after="40"/>
              <w:jc w:val="center"/>
            </w:pPr>
            <w:r/>
            <w:r>
              <w:rPr>
                <w:rFonts w:ascii="Times New Roman" w:hAnsi="Times New Roman" w:cs="Times New Roman"/>
                <w:b w:val="0"/>
                <w:i w:val="0"/>
                <w:sz w:val="16"/>
              </w:rPr>
              <w:t>0.45</w:t>
            </w:r>
          </w:p>
        </w:tc>
        <w:tc>
          <w:tcPr>
            <w:tcW w:type="dxa" w:w="1123"/>
          </w:tcPr>
          <w:p>
            <w:pPr>
              <w:spacing w:after="40"/>
              <w:jc w:val="center"/>
            </w:pPr>
            <w:r/>
            <w:r>
              <w:rPr>
                <w:rFonts w:ascii="Times New Roman" w:hAnsi="Times New Roman" w:cs="Times New Roman"/>
                <w:b w:val="0"/>
                <w:i w:val="0"/>
                <w:sz w:val="16"/>
              </w:rPr>
              <w:t>0.70</w:t>
            </w:r>
          </w:p>
        </w:tc>
        <w:tc>
          <w:tcPr>
            <w:tcW w:type="dxa" w:w="1123"/>
          </w:tcPr>
          <w:p>
            <w:pPr>
              <w:spacing w:after="40"/>
              <w:jc w:val="center"/>
            </w:pPr>
            <w:r/>
            <w:r>
              <w:rPr>
                <w:rFonts w:ascii="Times New Roman" w:hAnsi="Times New Roman" w:cs="Times New Roman"/>
                <w:b w:val="0"/>
                <w:i w:val="0"/>
                <w:sz w:val="16"/>
              </w:rPr>
              <w:t>0.75</w:t>
            </w:r>
          </w:p>
        </w:tc>
        <w:tc>
          <w:tcPr>
            <w:tcW w:type="dxa" w:w="1123"/>
          </w:tcPr>
          <w:p>
            <w:pPr>
              <w:spacing w:after="40"/>
              <w:jc w:val="center"/>
            </w:pPr>
            <w:r/>
            <w:r>
              <w:rPr>
                <w:rFonts w:ascii="Times New Roman" w:hAnsi="Times New Roman" w:cs="Times New Roman"/>
                <w:b w:val="0"/>
                <w:i w:val="0"/>
                <w:sz w:val="16"/>
              </w:rPr>
              <w:t>0.90</w:t>
            </w:r>
          </w:p>
        </w:tc>
      </w:tr>
      <w:tr>
        <w:tc>
          <w:tcPr>
            <w:tcW w:type="dxa" w:w="3744"/>
          </w:tcPr>
          <w:p>
            <w:pPr>
              <w:keepNext/>
              <w:spacing w:after="40"/>
              <w:jc w:val="left"/>
            </w:pPr>
            <w:r/>
            <w:r>
              <w:rPr>
                <w:rFonts w:ascii="Times New Roman" w:hAnsi="Times New Roman" w:cs="Times New Roman"/>
                <w:b w:val="0"/>
                <w:i w:val="0"/>
                <w:sz w:val="16"/>
              </w:rPr>
              <w:t>AUROC over pairs</w:t>
            </w:r>
          </w:p>
        </w:tc>
        <w:tc>
          <w:tcPr>
            <w:tcW w:type="dxa" w:w="1123"/>
          </w:tcPr>
          <w:p>
            <w:pPr>
              <w:keepNext/>
              <w:spacing w:after="40"/>
              <w:jc w:val="center"/>
            </w:pPr>
            <w:r/>
            <w:r>
              <w:rPr>
                <w:rFonts w:ascii="Times New Roman" w:hAnsi="Times New Roman" w:cs="Times New Roman"/>
                <w:b w:val="0"/>
                <w:i w:val="0"/>
                <w:sz w:val="16"/>
              </w:rPr>
              <w:t>0.759</w:t>
            </w:r>
          </w:p>
        </w:tc>
        <w:tc>
          <w:tcPr>
            <w:tcW w:type="dxa" w:w="1123"/>
          </w:tcPr>
          <w:p>
            <w:pPr>
              <w:keepNext/>
              <w:spacing w:after="40"/>
              <w:jc w:val="center"/>
            </w:pPr>
            <w:r/>
            <w:r>
              <w:rPr>
                <w:rFonts w:ascii="Times New Roman" w:hAnsi="Times New Roman" w:cs="Times New Roman"/>
                <w:b w:val="0"/>
                <w:i w:val="0"/>
                <w:sz w:val="16"/>
              </w:rPr>
              <w:t>0.852</w:t>
            </w:r>
          </w:p>
        </w:tc>
        <w:tc>
          <w:tcPr>
            <w:tcW w:type="dxa" w:w="1123"/>
          </w:tcPr>
          <w:p>
            <w:pPr>
              <w:keepNext/>
              <w:spacing w:after="40"/>
              <w:jc w:val="center"/>
            </w:pPr>
            <w:r/>
            <w:r>
              <w:rPr>
                <w:rFonts w:ascii="Times New Roman" w:hAnsi="Times New Roman" w:cs="Times New Roman"/>
                <w:b w:val="0"/>
                <w:i w:val="0"/>
                <w:sz w:val="16"/>
              </w:rPr>
              <w:t>0.929</w:t>
            </w:r>
          </w:p>
        </w:tc>
        <w:tc>
          <w:tcPr>
            <w:tcW w:type="dxa" w:w="1123"/>
          </w:tcPr>
          <w:p>
            <w:pPr>
              <w:keepNext/>
              <w:spacing w:after="40"/>
              <w:jc w:val="center"/>
            </w:pPr>
            <w:r/>
            <w:r>
              <w:rPr>
                <w:rFonts w:ascii="Times New Roman" w:hAnsi="Times New Roman" w:cs="Times New Roman"/>
                <w:b w:val="0"/>
                <w:i w:val="0"/>
                <w:sz w:val="16"/>
              </w:rPr>
              <w:t>0.953</w:t>
            </w:r>
          </w:p>
        </w:tc>
        <w:tc>
          <w:tcPr>
            <w:tcW w:type="dxa" w:w="1123"/>
          </w:tcPr>
          <w:p>
            <w:pPr>
              <w:keepNext/>
              <w:spacing w:after="40"/>
              <w:jc w:val="center"/>
            </w:pPr>
            <w:r/>
            <w:r>
              <w:rPr>
                <w:rFonts w:ascii="Times New Roman" w:hAnsi="Times New Roman" w:cs="Times New Roman"/>
                <w:b w:val="0"/>
                <w:i w:val="0"/>
                <w:sz w:val="16"/>
              </w:rPr>
              <w:t>0.992</w:t>
            </w:r>
          </w:p>
        </w:tc>
      </w:tr>
    </w:tbl>
    <w:p>
      <w:pPr>
        <w:spacing w:before="60" w:after="240"/>
        <w:jc w:val="center"/>
      </w:pPr>
      <w:r>
        <w:rPr>
          <w:rFonts w:ascii="Times New Roman" w:hAnsi="Times New Roman" w:cs="Times New Roman"/>
          <w:b/>
          <w:i w:val="0"/>
          <w:sz w:val="21"/>
        </w:rPr>
        <w:t>Table 9: Operating Envelope Against the Number of Coupled Exchanges, at Amplitude 0.15</w:t>
      </w:r>
    </w:p>
    <w:p>
      <w:pPr>
        <w:spacing w:before="160" w:after="40"/>
        <w:jc w:val="center"/>
      </w:pPr>
      <w:r>
        <w:drawing>
          <wp:inline xmlns:a="http://schemas.openxmlformats.org/drawingml/2006/main" xmlns:pic="http://schemas.openxmlformats.org/drawingml/2006/picture">
            <wp:extent cx="5760720" cy="2288697"/>
            <wp:docPr id="11" name="Picture 11"/>
            <wp:cNvGraphicFramePr>
              <a:graphicFrameLocks noChangeAspect="1"/>
            </wp:cNvGraphicFramePr>
            <a:graphic>
              <a:graphicData uri="http://schemas.openxmlformats.org/drawingml/2006/picture">
                <pic:pic>
                  <pic:nvPicPr>
                    <pic:cNvPr id="0" name="fig10.png"/>
                    <pic:cNvPicPr/>
                  </pic:nvPicPr>
                  <pic:blipFill>
                    <a:blip r:embed="rId21"/>
                    <a:stretch>
                      <a:fillRect/>
                    </a:stretch>
                  </pic:blipFill>
                  <pic:spPr>
                    <a:xfrm>
                      <a:off x="0" y="0"/>
                      <a:ext cx="5760720" cy="2288697"/>
                    </a:xfrm>
                    <a:prstGeom prst="rect"/>
                  </pic:spPr>
                </pic:pic>
              </a:graphicData>
            </a:graphic>
          </wp:inline>
        </w:drawing>
      </w:r>
    </w:p>
    <w:p>
      <w:pPr>
        <w:spacing w:before="80" w:after="240"/>
        <w:jc w:val="center"/>
      </w:pPr>
      <w:r>
        <w:rPr>
          <w:rFonts w:ascii="Arial" w:hAnsi="Arial" w:cs="Arial"/>
          <w:b/>
          <w:i w:val="0"/>
          <w:sz w:val="19"/>
        </w:rPr>
        <w:t>Figure 10.</w:t>
      </w:r>
      <w:r>
        <w:rPr>
          <w:rFonts w:ascii="Arial" w:hAnsi="Arial" w:cs="Arial"/>
          <w:b w:val="0"/>
          <w:i w:val="0"/>
          <w:sz w:val="19"/>
        </w:rPr>
        <w:t xml:space="preserve"> Operating envelope of the coupling channel. There is a sharp knee in amplitude between 0.06 and 0.10 of the channel range, and the channel needs repeated exchanges rather than one large exchange.</w:t>
      </w:r>
    </w:p>
    <w:p>
      <w:pPr>
        <w:spacing w:after="140" w:line="274" w:lineRule="auto"/>
        <w:jc w:val="both"/>
      </w:pPr>
      <w:r>
        <w:rPr>
          <w:rFonts w:ascii="Times New Roman" w:hAnsi="Times New Roman" w:cs="Times New Roman"/>
          <w:b w:val="0"/>
          <w:i w:val="0"/>
          <w:sz w:val="22"/>
        </w:rPr>
        <w:t>Both axes are monotone and the second is the more operationally meaningful. The coupling statistic is a correlation estimate, so it requires repeated exchanges rather than one dramatic one: a single exchange is not detectable by this mechanism, and nothing in this disclosure should be read as implying that it is. The channel becomes useful from roughly twenty separate exchanges and is strong beyond forty, which is the measurement behind the recitation of a predetermined number of separate occasions at Claim 17 and of a figure of not fewer than twenty at Claim 18. In amplitude there is a sharp knee: below about six per cent of the channel range the channel is dead, and at and above fifteen per cent identification is close to certain.</w:t>
      </w:r>
    </w:p>
    <w:p>
      <w:pPr>
        <w:keepNext/>
        <w:spacing w:before="220" w:after="80"/>
        <w:outlineLvl w:val="1"/>
      </w:pPr>
      <w:r>
        <w:rPr>
          <w:rFonts w:ascii="Times New Roman" w:hAnsi="Times New Roman" w:cs="Times New Roman"/>
          <w:b/>
          <w:i w:val="0"/>
          <w:sz w:val="23"/>
        </w:rPr>
        <w:t>8.3 What the Measurements Establish, and What They Do Not</w:t>
      </w:r>
    </w:p>
    <w:p>
      <w:pPr>
        <w:spacing w:after="140" w:line="274" w:lineRule="auto"/>
        <w:jc w:val="both"/>
      </w:pPr>
      <w:r>
        <w:rPr>
          <w:rFonts w:ascii="Times New Roman" w:hAnsi="Times New Roman" w:cs="Times New Roman"/>
          <w:b w:val="0"/>
          <w:i w:val="0"/>
          <w:sz w:val="22"/>
        </w:rPr>
        <w:t>Part B is a measurement on real recorded multi-node sensor data under a permissive licence, and it establishes four things about the arrangement claimed: that residuals from one shared model are not comparable across nodes and become less so with capacity; that a venue-wide disturbance defeats pairwise coupling unless a common component is estimated and removed; that removing it restores identification, from 0.10 to 0.60 of trials; and that the tolerance to timing error scales with the coupling lag. Four limitations bound it, and each is stated wherever the numbers are used. The corpus is server telemetry, not desks in a hall, so it is a proxy of the right shape and the wrong physics; no acoustic transducer, no electromagnetic sensor and no candidate was involved. The entities are heterogeneous machines, which makes the proxy pessimistic. The coupled exchange and the venue-wide event are synthetic injections, because no public corpus carries real cross-station coupling. And identification is a strict top-one-of-fifty-five criterion at 55 pairs; a hall of a hundred desks has about five thousand pairs, and the false-alarm rate per pair-hour at that scale has not been measured by anyone, including the inventor.</w:t>
      </w:r>
    </w:p>
    <w:p>
      <w:pPr>
        <w:spacing w:after="140" w:line="274" w:lineRule="auto"/>
        <w:jc w:val="both"/>
      </w:pPr>
      <w:r>
        <w:rPr>
          <w:rFonts w:ascii="Times New Roman" w:hAnsi="Times New Roman" w:cs="Times New Roman"/>
          <w:b/>
          <w:i w:val="0"/>
          <w:sz w:val="22"/>
        </w:rPr>
        <w:t xml:space="preserve">A withdrawn assertion, recorded rather than deleted. </w:t>
      </w:r>
      <w:r>
        <w:rPr>
          <w:rFonts w:ascii="Times New Roman" w:hAnsi="Times New Roman" w:cs="Times New Roman"/>
          <w:b w:val="0"/>
          <w:i w:val="0"/>
          <w:sz w:val="22"/>
        </w:rPr>
        <w:t>An earlier revision of this disclosure argued the opposite of what Part B measures. It asserted that scoring every station with one common normal-only model rendered the residual time-series "numerically comparable by construction", and that this commensurability was what made the cross-station channel available. That assertion is contradicted in direction by Table 4 and Table 5. It has been removed from Section 4.1 and from the claims, and it must not be reinstated. The simulated cross-station figures of Part A were produced under the same assumption and have been withdrawn with it. The correction strengthens the position rather than weakening it: sharing one model across stations is the obvious expedient a skilled person would adopt for economy and for uniformity of scale, and the invention now teaches away from it and gives the measured reason.</w:t>
      </w:r>
    </w:p>
    <w:p>
      <w:pPr>
        <w:keepNext/>
        <w:spacing w:before="220" w:after="80"/>
        <w:outlineLvl w:val="1"/>
      </w:pPr>
      <w:r>
        <w:rPr>
          <w:rFonts w:ascii="Times New Roman" w:hAnsi="Times New Roman" w:cs="Times New Roman"/>
          <w:b/>
          <w:i w:val="0"/>
          <w:sz w:val="23"/>
        </w:rPr>
        <w:t>8.4 Operating Envelope and Alert Burden</w:t>
      </w:r>
    </w:p>
    <w:p>
      <w:pPr>
        <w:spacing w:after="140" w:line="274" w:lineRule="auto"/>
        <w:jc w:val="both"/>
      </w:pPr>
      <w:r>
        <w:rPr>
          <w:rFonts w:ascii="Times New Roman" w:hAnsi="Times New Roman" w:cs="Times New Roman"/>
          <w:b w:val="0"/>
          <w:i w:val="0"/>
          <w:sz w:val="22"/>
        </w:rPr>
        <w:t>Ranking performance does not by itself state how many alerts an invigilator would receive, and Objective 10 undertakes to state the conditions under which detection is reliable. The operating points below are derived from the single-station ranking performance of Table 3 under an equal-variance Gaussian assumption on the score distributions, by which the discriminability index is the square root of two times the inverse normal of the AUROC. They are analytic projections rather than separately measured quantities, and are to be replaced by measured values once score distributions are logged. They are stated for the best single-station configuration, an AUROC of 0.781 with temporal aggregation, at the overt signal strength.</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trPr>
        <w:tc>
          <w:tcPr>
            <w:tcW w:type="dxa" w:w="3024"/>
          </w:tcPr>
          <w:p>
            <w:pPr>
              <w:keepNext/>
              <w:spacing w:after="40"/>
              <w:jc w:val="center"/>
            </w:pPr>
            <w:r/>
            <w:r>
              <w:rPr>
                <w:rFonts w:ascii="Times New Roman" w:hAnsi="Times New Roman" w:cs="Times New Roman"/>
                <w:b/>
                <w:i w:val="0"/>
                <w:sz w:val="18"/>
              </w:rPr>
              <w:t>Stations referred per 300-station hall</w:t>
            </w:r>
          </w:p>
        </w:tc>
        <w:tc>
          <w:tcPr>
            <w:tcW w:type="dxa" w:w="2160"/>
          </w:tcPr>
          <w:p>
            <w:pPr>
              <w:keepNext/>
              <w:spacing w:after="40"/>
              <w:jc w:val="center"/>
            </w:pPr>
            <w:r/>
            <w:r>
              <w:rPr>
                <w:rFonts w:ascii="Times New Roman" w:hAnsi="Times New Roman" w:cs="Times New Roman"/>
                <w:b/>
                <w:i w:val="0"/>
                <w:sz w:val="18"/>
              </w:rPr>
              <w:t>Fraction of the hall</w:t>
            </w:r>
          </w:p>
        </w:tc>
        <w:tc>
          <w:tcPr>
            <w:tcW w:type="dxa" w:w="3744"/>
          </w:tcPr>
          <w:p>
            <w:pPr>
              <w:keepNext/>
              <w:spacing w:after="40"/>
              <w:jc w:val="center"/>
            </w:pPr>
            <w:r/>
            <w:r>
              <w:rPr>
                <w:rFonts w:ascii="Times New Roman" w:hAnsi="Times New Roman" w:cs="Times New Roman"/>
                <w:b/>
                <w:i w:val="0"/>
                <w:sz w:val="18"/>
              </w:rPr>
              <w:t>Expected fraction of violating candidates recovered</w:t>
            </w:r>
          </w:p>
        </w:tc>
      </w:tr>
      <w:tr>
        <w:tc>
          <w:tcPr>
            <w:tcW w:type="dxa" w:w="3024"/>
          </w:tcPr>
          <w:p>
            <w:pPr>
              <w:spacing w:after="40"/>
              <w:jc w:val="center"/>
            </w:pPr>
            <w:r/>
            <w:r>
              <w:rPr>
                <w:rFonts w:ascii="Times New Roman" w:hAnsi="Times New Roman" w:cs="Times New Roman"/>
                <w:b w:val="0"/>
                <w:i w:val="0"/>
                <w:sz w:val="18"/>
              </w:rPr>
              <w:t>1</w:t>
            </w:r>
          </w:p>
        </w:tc>
        <w:tc>
          <w:tcPr>
            <w:tcW w:type="dxa" w:w="2160"/>
          </w:tcPr>
          <w:p>
            <w:pPr>
              <w:spacing w:after="40"/>
              <w:jc w:val="center"/>
            </w:pPr>
            <w:r/>
            <w:r>
              <w:rPr>
                <w:rFonts w:ascii="Times New Roman" w:hAnsi="Times New Roman" w:cs="Times New Roman"/>
                <w:b w:val="0"/>
                <w:i w:val="0"/>
                <w:sz w:val="18"/>
              </w:rPr>
              <w:t>0.3 %</w:t>
            </w:r>
          </w:p>
        </w:tc>
        <w:tc>
          <w:tcPr>
            <w:tcW w:type="dxa" w:w="3744"/>
          </w:tcPr>
          <w:p>
            <w:pPr>
              <w:spacing w:after="40"/>
              <w:jc w:val="center"/>
            </w:pPr>
            <w:r/>
            <w:r>
              <w:rPr>
                <w:rFonts w:ascii="Times New Roman" w:hAnsi="Times New Roman" w:cs="Times New Roman"/>
                <w:b w:val="0"/>
                <w:i w:val="0"/>
                <w:sz w:val="18"/>
              </w:rPr>
              <w:t>approx. 5 %</w:t>
            </w:r>
          </w:p>
        </w:tc>
      </w:tr>
      <w:tr>
        <w:tc>
          <w:tcPr>
            <w:tcW w:type="dxa" w:w="3024"/>
          </w:tcPr>
          <w:p>
            <w:pPr>
              <w:spacing w:after="40"/>
              <w:jc w:val="center"/>
            </w:pPr>
            <w:r/>
            <w:r>
              <w:rPr>
                <w:rFonts w:ascii="Times New Roman" w:hAnsi="Times New Roman" w:cs="Times New Roman"/>
                <w:b w:val="0"/>
                <w:i w:val="0"/>
                <w:sz w:val="18"/>
              </w:rPr>
              <w:t>5</w:t>
            </w:r>
          </w:p>
        </w:tc>
        <w:tc>
          <w:tcPr>
            <w:tcW w:type="dxa" w:w="2160"/>
          </w:tcPr>
          <w:p>
            <w:pPr>
              <w:spacing w:after="40"/>
              <w:jc w:val="center"/>
            </w:pPr>
            <w:r/>
            <w:r>
              <w:rPr>
                <w:rFonts w:ascii="Times New Roman" w:hAnsi="Times New Roman" w:cs="Times New Roman"/>
                <w:b w:val="0"/>
                <w:i w:val="0"/>
                <w:sz w:val="18"/>
              </w:rPr>
              <w:t>1.7 %</w:t>
            </w:r>
          </w:p>
        </w:tc>
        <w:tc>
          <w:tcPr>
            <w:tcW w:type="dxa" w:w="3744"/>
          </w:tcPr>
          <w:p>
            <w:pPr>
              <w:spacing w:after="40"/>
              <w:jc w:val="center"/>
            </w:pPr>
            <w:r/>
            <w:r>
              <w:rPr>
                <w:rFonts w:ascii="Times New Roman" w:hAnsi="Times New Roman" w:cs="Times New Roman"/>
                <w:b w:val="0"/>
                <w:i w:val="0"/>
                <w:sz w:val="18"/>
              </w:rPr>
              <w:t>approx. 15 %</w:t>
            </w:r>
          </w:p>
        </w:tc>
      </w:tr>
      <w:tr>
        <w:tc>
          <w:tcPr>
            <w:tcW w:type="dxa" w:w="3024"/>
          </w:tcPr>
          <w:p>
            <w:pPr>
              <w:spacing w:after="40"/>
              <w:jc w:val="center"/>
            </w:pPr>
            <w:r/>
            <w:r>
              <w:rPr>
                <w:rFonts w:ascii="Times New Roman" w:hAnsi="Times New Roman" w:cs="Times New Roman"/>
                <w:b w:val="0"/>
                <w:i w:val="0"/>
                <w:sz w:val="18"/>
              </w:rPr>
              <w:t>10</w:t>
            </w:r>
          </w:p>
        </w:tc>
        <w:tc>
          <w:tcPr>
            <w:tcW w:type="dxa" w:w="2160"/>
          </w:tcPr>
          <w:p>
            <w:pPr>
              <w:spacing w:after="40"/>
              <w:jc w:val="center"/>
            </w:pPr>
            <w:r/>
            <w:r>
              <w:rPr>
                <w:rFonts w:ascii="Times New Roman" w:hAnsi="Times New Roman" w:cs="Times New Roman"/>
                <w:b w:val="0"/>
                <w:i w:val="0"/>
                <w:sz w:val="18"/>
              </w:rPr>
              <w:t>3.3 %</w:t>
            </w:r>
          </w:p>
        </w:tc>
        <w:tc>
          <w:tcPr>
            <w:tcW w:type="dxa" w:w="3744"/>
          </w:tcPr>
          <w:p>
            <w:pPr>
              <w:spacing w:after="40"/>
              <w:jc w:val="center"/>
            </w:pPr>
            <w:r/>
            <w:r>
              <w:rPr>
                <w:rFonts w:ascii="Times New Roman" w:hAnsi="Times New Roman" w:cs="Times New Roman"/>
                <w:b w:val="0"/>
                <w:i w:val="0"/>
                <w:sz w:val="18"/>
              </w:rPr>
              <w:t>approx. 23 %</w:t>
            </w:r>
          </w:p>
        </w:tc>
      </w:tr>
      <w:tr>
        <w:tc>
          <w:tcPr>
            <w:tcW w:type="dxa" w:w="3024"/>
          </w:tcPr>
          <w:p>
            <w:pPr>
              <w:keepNext/>
              <w:spacing w:after="40"/>
              <w:jc w:val="center"/>
            </w:pPr>
            <w:r/>
            <w:r>
              <w:rPr>
                <w:rFonts w:ascii="Times New Roman" w:hAnsi="Times New Roman" w:cs="Times New Roman"/>
                <w:b w:val="0"/>
                <w:i w:val="0"/>
                <w:sz w:val="18"/>
              </w:rPr>
              <w:t>20</w:t>
            </w:r>
          </w:p>
        </w:tc>
        <w:tc>
          <w:tcPr>
            <w:tcW w:type="dxa" w:w="2160"/>
          </w:tcPr>
          <w:p>
            <w:pPr>
              <w:keepNext/>
              <w:spacing w:after="40"/>
              <w:jc w:val="center"/>
            </w:pPr>
            <w:r/>
            <w:r>
              <w:rPr>
                <w:rFonts w:ascii="Times New Roman" w:hAnsi="Times New Roman" w:cs="Times New Roman"/>
                <w:b w:val="0"/>
                <w:i w:val="0"/>
                <w:sz w:val="18"/>
              </w:rPr>
              <w:t>6.7 %</w:t>
            </w:r>
          </w:p>
        </w:tc>
        <w:tc>
          <w:tcPr>
            <w:tcW w:type="dxa" w:w="3744"/>
          </w:tcPr>
          <w:p>
            <w:pPr>
              <w:keepNext/>
              <w:spacing w:after="40"/>
              <w:jc w:val="center"/>
            </w:pPr>
            <w:r/>
            <w:r>
              <w:rPr>
                <w:rFonts w:ascii="Times New Roman" w:hAnsi="Times New Roman" w:cs="Times New Roman"/>
                <w:b w:val="0"/>
                <w:i w:val="0"/>
                <w:sz w:val="18"/>
              </w:rPr>
              <w:t>approx. 34 %</w:t>
            </w:r>
          </w:p>
        </w:tc>
      </w:tr>
    </w:tbl>
    <w:p>
      <w:pPr>
        <w:spacing w:before="60" w:after="240"/>
        <w:jc w:val="center"/>
      </w:pPr>
      <w:r>
        <w:rPr>
          <w:rFonts w:ascii="Times New Roman" w:hAnsi="Times New Roman" w:cs="Times New Roman"/>
          <w:b/>
          <w:i w:val="0"/>
          <w:sz w:val="21"/>
        </w:rPr>
        <w:t>Table 10: Session-Level Alert Budget at the Simulated Single-Station Operating Point</w:t>
      </w:r>
    </w:p>
    <w:p>
      <w:pPr>
        <w:spacing w:after="140" w:line="274" w:lineRule="auto"/>
        <w:jc w:val="both"/>
      </w:pPr>
      <w:r>
        <w:rPr>
          <w:rFonts w:ascii="Times New Roman" w:hAnsi="Times New Roman" w:cs="Times New Roman"/>
          <w:b w:val="0"/>
          <w:i w:val="0"/>
          <w:sz w:val="22"/>
        </w:rPr>
        <w:t>The system is intended to operate at session level as a prioritisation aid, not at window level as an adjudicator. Residuals are aggregated over the whole of a candidate session, candidates are ranked by aggregated score, and a fixed alert budget of the highest-ranked stations is referred for human attention, per Claims 7, 10 and 26. Within a realistic invigilation budget the installation concentrates finite human attention on the stations most likely to warrant it, at a recovery rate materially above the uniform-random baseline that unaided invigilation approximates, and it does so without any labelled malpractice data. It is not asserted, and no claim should be construed to assert, that an indication generated by the installation constitutes proof of malpractice. The output is an ordering of stations for human inspection, and, where the coordination condition is satisfied, a bounded change in the acquisition state of two of them.</w:t>
      </w:r>
    </w:p>
    <w:p>
      <w:pPr>
        <w:keepNext/>
        <w:spacing w:before="320" w:after="120"/>
        <w:outlineLvl w:val="0"/>
      </w:pPr>
      <w:r>
        <w:rPr>
          <w:rFonts w:ascii="Times New Roman" w:hAnsi="Times New Roman" w:cs="Times New Roman"/>
          <w:b/>
          <w:i w:val="0"/>
          <w:sz w:val="26"/>
        </w:rPr>
        <w:t>9. Contemplated Prototype and Planned Physical Validation</w:t>
      </w:r>
    </w:p>
    <w:p>
      <w:pPr>
        <w:spacing w:after="140" w:line="274" w:lineRule="auto"/>
        <w:jc w:val="both"/>
      </w:pPr>
      <w:r>
        <w:rPr>
          <w:rFonts w:ascii="Times New Roman" w:hAnsi="Times New Roman" w:cs="Times New Roman"/>
          <w:b w:val="0"/>
          <w:i w:val="0"/>
          <w:sz w:val="22"/>
        </w:rPr>
        <w:t>No physical prototype has been constructed as at the date of this disclosure, and no measurement on the transducers of this invention is reported anywhere in this document. This section is prospective. It is included to satisfy sufficiency by describing, in terms an ordinarily skilled person could follow, a specific hardware embodiment by which the invention may be reduced to practice, and to define in advance the experiment that would move it from its present readiness level to TRL 4. Nothing here is to be read as a report of results obtained.</w:t>
      </w:r>
    </w:p>
    <w:p>
      <w:pPr>
        <w:spacing w:after="140" w:line="274" w:lineRule="auto"/>
        <w:jc w:val="both"/>
      </w:pPr>
      <w:r>
        <w:rPr>
          <w:rFonts w:ascii="Times New Roman" w:hAnsi="Times New Roman" w:cs="Times New Roman"/>
          <w:b/>
          <w:i w:val="0"/>
          <w:sz w:val="22"/>
        </w:rPr>
        <w:t xml:space="preserve">Minimum configuration. </w:t>
      </w:r>
      <w:r>
        <w:rPr>
          <w:rFonts w:ascii="Times New Roman" w:hAnsi="Times New Roman" w:cs="Times New Roman"/>
          <w:b w:val="0"/>
          <w:i w:val="0"/>
          <w:sz w:val="22"/>
        </w:rPr>
        <w:t>Five nodes exercise every claimed mechanism: four candidate stations, two of which form the coupled pair while a third carries an isolated individual anomaly as a distractor, and one node instrumented identically and held unoccupied. The unoccupied node is not an optional extra in this build; it is the element on which Claims 11, 19 and 24 turn. One venue-local aggregator serves all five.</w:t>
      </w:r>
    </w:p>
    <w:tbl>
      <w:tblPr>
        <w:tblStyle w:val="TableGrid"/>
        <w:tblW w:type="auto" w:w="0"/>
        <w:jc w:val="center"/>
        <w:tblLayout w:type="fixed"/>
        <w:tblLook w:firstColumn="1" w:firstRow="1" w:lastColumn="0" w:lastRow="0" w:noHBand="0" w:noVBand="1" w:val="04A0"/>
      </w:tblPr>
      <w:tblGrid>
        <w:gridCol w:w="3216"/>
        <w:gridCol w:w="3216"/>
        <w:gridCol w:w="3216"/>
      </w:tblGrid>
      <w:tr>
        <w:trPr>
          <w:tblHeader/>
        </w:trPr>
        <w:tc>
          <w:tcPr>
            <w:tcW w:type="dxa" w:w="2160"/>
          </w:tcPr>
          <w:p>
            <w:pPr>
              <w:keepNext/>
              <w:spacing w:after="40"/>
              <w:jc w:val="center"/>
            </w:pPr>
            <w:r/>
            <w:r>
              <w:rPr>
                <w:rFonts w:ascii="Times New Roman" w:hAnsi="Times New Roman" w:cs="Times New Roman"/>
                <w:b/>
                <w:i w:val="0"/>
                <w:sz w:val="16"/>
              </w:rPr>
              <w:t>Function</w:t>
            </w:r>
          </w:p>
        </w:tc>
        <w:tc>
          <w:tcPr>
            <w:tcW w:type="dxa" w:w="3096"/>
          </w:tcPr>
          <w:p>
            <w:pPr>
              <w:keepNext/>
              <w:spacing w:after="40"/>
              <w:jc w:val="center"/>
            </w:pPr>
            <w:r/>
            <w:r>
              <w:rPr>
                <w:rFonts w:ascii="Times New Roman" w:hAnsi="Times New Roman" w:cs="Times New Roman"/>
                <w:b/>
                <w:i w:val="0"/>
                <w:sz w:val="16"/>
              </w:rPr>
              <w:t>Representative component</w:t>
            </w:r>
          </w:p>
        </w:tc>
        <w:tc>
          <w:tcPr>
            <w:tcW w:type="dxa" w:w="3672"/>
          </w:tcPr>
          <w:p>
            <w:pPr>
              <w:keepNext/>
              <w:spacing w:after="40"/>
              <w:jc w:val="center"/>
            </w:pPr>
            <w:r/>
            <w:r>
              <w:rPr>
                <w:rFonts w:ascii="Times New Roman" w:hAnsi="Times New Roman" w:cs="Times New Roman"/>
                <w:b/>
                <w:i w:val="0"/>
                <w:sz w:val="16"/>
              </w:rPr>
              <w:t>Rationale</w:t>
            </w:r>
          </w:p>
        </w:tc>
      </w:tr>
      <w:tr>
        <w:tc>
          <w:tcPr>
            <w:tcW w:type="dxa" w:w="2160"/>
          </w:tcPr>
          <w:p>
            <w:pPr>
              <w:spacing w:after="40"/>
              <w:jc w:val="left"/>
            </w:pPr>
            <w:r/>
            <w:r>
              <w:rPr>
                <w:rFonts w:ascii="Times New Roman" w:hAnsi="Times New Roman" w:cs="Times New Roman"/>
                <w:b w:val="0"/>
                <w:i w:val="0"/>
                <w:sz w:val="16"/>
              </w:rPr>
              <w:t>Acoustic sensing, audible and near-ultrasonic</w:t>
            </w:r>
          </w:p>
        </w:tc>
        <w:tc>
          <w:tcPr>
            <w:tcW w:type="dxa" w:w="3096"/>
          </w:tcPr>
          <w:p>
            <w:pPr>
              <w:spacing w:after="40"/>
              <w:jc w:val="left"/>
            </w:pPr>
            <w:r/>
            <w:r>
              <w:rPr>
                <w:rFonts w:ascii="Times New Roman" w:hAnsi="Times New Roman" w:cs="Times New Roman"/>
                <w:b w:val="0"/>
                <w:i w:val="0"/>
                <w:sz w:val="16"/>
              </w:rPr>
              <w:t>Knowles SPH0641LU4H-1 PDM MEMS microphone, rated 100 Hz to 80 kHz, on a breakout such as the RAK18032 module</w:t>
            </w:r>
          </w:p>
        </w:tc>
        <w:tc>
          <w:tcPr>
            <w:tcW w:type="dxa" w:w="3672"/>
          </w:tcPr>
          <w:p>
            <w:pPr>
              <w:spacing w:after="40"/>
              <w:jc w:val="left"/>
            </w:pPr>
            <w:r/>
            <w:r>
              <w:rPr>
                <w:rFonts w:ascii="Times New Roman" w:hAnsi="Times New Roman" w:cs="Times New Roman"/>
                <w:b w:val="0"/>
                <w:i w:val="0"/>
                <w:sz w:val="16"/>
              </w:rPr>
              <w:t>Operated in ultrasonic mode with a PDM clock of 3.072 MHz or above, this part reaches the 18 to 45 kHz band in which covert audio links operate. Ordinary voice microphones roll off near 20 kHz and would not capture that band at all.</w:t>
            </w:r>
          </w:p>
        </w:tc>
      </w:tr>
      <w:tr>
        <w:tc>
          <w:tcPr>
            <w:tcW w:type="dxa" w:w="2160"/>
          </w:tcPr>
          <w:p>
            <w:pPr>
              <w:spacing w:after="40"/>
              <w:jc w:val="left"/>
            </w:pPr>
            <w:r/>
            <w:r>
              <w:rPr>
                <w:rFonts w:ascii="Times New Roman" w:hAnsi="Times New Roman" w:cs="Times New Roman"/>
                <w:b w:val="0"/>
                <w:i w:val="0"/>
                <w:sz w:val="16"/>
              </w:rPr>
              <w:t>Acoustic analogue front end (24)</w:t>
            </w:r>
          </w:p>
        </w:tc>
        <w:tc>
          <w:tcPr>
            <w:tcW w:type="dxa" w:w="3096"/>
          </w:tcPr>
          <w:p>
            <w:pPr>
              <w:spacing w:after="40"/>
              <w:jc w:val="left"/>
            </w:pPr>
            <w:r/>
            <w:r>
              <w:rPr>
                <w:rFonts w:ascii="Times New Roman" w:hAnsi="Times New Roman" w:cs="Times New Roman"/>
                <w:b w:val="0"/>
                <w:i w:val="0"/>
                <w:sz w:val="16"/>
              </w:rPr>
              <w:t>Band-pass 80 Hz to 1 kHz for the voice band and a second path for the near-ultrasonic band, precision rectifier, low-pass at approximately 50 Hz</w:t>
            </w:r>
          </w:p>
        </w:tc>
        <w:tc>
          <w:tcPr>
            <w:tcW w:type="dxa" w:w="3672"/>
          </w:tcPr>
          <w:p>
            <w:pPr>
              <w:spacing w:after="40"/>
              <w:jc w:val="left"/>
            </w:pPr>
            <w:r/>
            <w:r>
              <w:rPr>
                <w:rFonts w:ascii="Times New Roman" w:hAnsi="Times New Roman" w:cs="Times New Roman"/>
                <w:b w:val="0"/>
                <w:i w:val="0"/>
                <w:sz w:val="16"/>
              </w:rPr>
              <w:t>Digitising the envelope rather than the waveform is what makes the retained representation non-invertible, and it removes the Nyquist requirement that waveform capture in a 45 kHz band would otherwise impose on every station.</w:t>
            </w:r>
          </w:p>
        </w:tc>
      </w:tr>
      <w:tr>
        <w:tc>
          <w:tcPr>
            <w:tcW w:type="dxa" w:w="2160"/>
          </w:tcPr>
          <w:p>
            <w:pPr>
              <w:spacing w:after="40"/>
              <w:jc w:val="left"/>
            </w:pPr>
            <w:r/>
            <w:r>
              <w:rPr>
                <w:rFonts w:ascii="Times New Roman" w:hAnsi="Times New Roman" w:cs="Times New Roman"/>
                <w:b w:val="0"/>
                <w:i w:val="0"/>
                <w:sz w:val="16"/>
              </w:rPr>
              <w:t>Electromagnetic sensing, 2.4 GHz ISM band</w:t>
            </w:r>
          </w:p>
        </w:tc>
        <w:tc>
          <w:tcPr>
            <w:tcW w:type="dxa" w:w="3096"/>
          </w:tcPr>
          <w:p>
            <w:pPr>
              <w:spacing w:after="40"/>
              <w:jc w:val="left"/>
            </w:pPr>
            <w:r/>
            <w:r>
              <w:rPr>
                <w:rFonts w:ascii="Times New Roman" w:hAnsi="Times New Roman" w:cs="Times New Roman"/>
                <w:b w:val="0"/>
                <w:i w:val="0"/>
                <w:sz w:val="16"/>
              </w:rPr>
              <w:t>ESP32-S3 module in IEEE 802.11 promiscuous mode with concurrent BLE scanning</w:t>
            </w:r>
          </w:p>
        </w:tc>
        <w:tc>
          <w:tcPr>
            <w:tcW w:type="dxa" w:w="3672"/>
          </w:tcPr>
          <w:p>
            <w:pPr>
              <w:spacing w:after="40"/>
              <w:jc w:val="left"/>
            </w:pPr>
            <w:r/>
            <w:r>
              <w:rPr>
                <w:rFonts w:ascii="Times New Roman" w:hAnsi="Times New Roman" w:cs="Times New Roman"/>
                <w:b w:val="0"/>
                <w:i w:val="0"/>
                <w:sz w:val="16"/>
              </w:rPr>
              <w:t>Captures management-frame rate, advertisement rate and per-frame received-signal-strength without decrypting payloads, which preserves the property recited at Section 7.1(d).</w:t>
            </w:r>
          </w:p>
        </w:tc>
      </w:tr>
      <w:tr>
        <w:tc>
          <w:tcPr>
            <w:tcW w:type="dxa" w:w="2160"/>
          </w:tcPr>
          <w:p>
            <w:pPr>
              <w:spacing w:after="40"/>
              <w:jc w:val="left"/>
            </w:pPr>
            <w:r/>
            <w:r>
              <w:rPr>
                <w:rFonts w:ascii="Times New Roman" w:hAnsi="Times New Roman" w:cs="Times New Roman"/>
                <w:b w:val="0"/>
                <w:i w:val="0"/>
                <w:sz w:val="16"/>
              </w:rPr>
              <w:t>Broadband radio-frequency energy (optional)</w:t>
            </w:r>
          </w:p>
        </w:tc>
        <w:tc>
          <w:tcPr>
            <w:tcW w:type="dxa" w:w="3096"/>
          </w:tcPr>
          <w:p>
            <w:pPr>
              <w:spacing w:after="40"/>
              <w:jc w:val="left"/>
            </w:pPr>
            <w:r/>
            <w:r>
              <w:rPr>
                <w:rFonts w:ascii="Times New Roman" w:hAnsi="Times New Roman" w:cs="Times New Roman"/>
                <w:b w:val="0"/>
                <w:i w:val="0"/>
                <w:sz w:val="16"/>
              </w:rPr>
              <w:t>RTL-SDR receiver (RTL2832U with R820T2 tuner), or an nRF24L01+ operated as a carrier-detect channel scanner</w:t>
            </w:r>
          </w:p>
        </w:tc>
        <w:tc>
          <w:tcPr>
            <w:tcW w:type="dxa" w:w="3672"/>
          </w:tcPr>
          <w:p>
            <w:pPr>
              <w:spacing w:after="40"/>
              <w:jc w:val="left"/>
            </w:pPr>
            <w:r/>
            <w:r>
              <w:rPr>
                <w:rFonts w:ascii="Times New Roman" w:hAnsi="Times New Roman" w:cs="Times New Roman"/>
                <w:b w:val="0"/>
                <w:i w:val="0"/>
                <w:sz w:val="16"/>
              </w:rPr>
              <w:t>Extends coverage beyond the ISM band to cellular uplink and to emitters that do not advertise.</w:t>
            </w:r>
          </w:p>
        </w:tc>
      </w:tr>
      <w:tr>
        <w:tc>
          <w:tcPr>
            <w:tcW w:type="dxa" w:w="2160"/>
          </w:tcPr>
          <w:p>
            <w:pPr>
              <w:spacing w:after="40"/>
              <w:jc w:val="left"/>
            </w:pPr>
            <w:r/>
            <w:r>
              <w:rPr>
                <w:rFonts w:ascii="Times New Roman" w:hAnsi="Times New Roman" w:cs="Times New Roman"/>
                <w:b w:val="0"/>
                <w:i w:val="0"/>
                <w:sz w:val="16"/>
              </w:rPr>
              <w:t>Behavioural sensing (optional)</w:t>
            </w:r>
          </w:p>
        </w:tc>
        <w:tc>
          <w:tcPr>
            <w:tcW w:type="dxa" w:w="3096"/>
          </w:tcPr>
          <w:p>
            <w:pPr>
              <w:spacing w:after="40"/>
              <w:jc w:val="left"/>
            </w:pPr>
            <w:r/>
            <w:r>
              <w:rPr>
                <w:rFonts w:ascii="Times New Roman" w:hAnsi="Times New Roman" w:cs="Times New Roman"/>
                <w:b w:val="0"/>
                <w:i w:val="0"/>
                <w:sz w:val="16"/>
              </w:rPr>
              <w:t>Camera module such as a Raspberry Pi Camera Module 3 or an ESP32-CAM, features extracted at the aggregator</w:t>
            </w:r>
          </w:p>
        </w:tc>
        <w:tc>
          <w:tcPr>
            <w:tcW w:type="dxa" w:w="3672"/>
          </w:tcPr>
          <w:p>
            <w:pPr>
              <w:spacing w:after="40"/>
              <w:jc w:val="left"/>
            </w:pPr>
            <w:r/>
            <w:r>
              <w:rPr>
                <w:rFonts w:ascii="Times New Roman" w:hAnsi="Times New Roman" w:cs="Times New Roman"/>
                <w:b w:val="0"/>
                <w:i w:val="0"/>
                <w:sz w:val="16"/>
              </w:rPr>
              <w:t>Supplies the optional third modality of Claim 8. Raw frames are discarded after feature extraction.</w:t>
            </w:r>
          </w:p>
        </w:tc>
      </w:tr>
      <w:tr>
        <w:tc>
          <w:tcPr>
            <w:tcW w:type="dxa" w:w="2160"/>
          </w:tcPr>
          <w:p>
            <w:pPr>
              <w:spacing w:after="40"/>
              <w:jc w:val="left"/>
            </w:pPr>
            <w:r/>
            <w:r>
              <w:rPr>
                <w:rFonts w:ascii="Times New Roman" w:hAnsi="Times New Roman" w:cs="Times New Roman"/>
                <w:b w:val="0"/>
                <w:i w:val="0"/>
                <w:sz w:val="16"/>
              </w:rPr>
              <w:t>Second acquisition state (84)</w:t>
            </w:r>
          </w:p>
        </w:tc>
        <w:tc>
          <w:tcPr>
            <w:tcW w:type="dxa" w:w="3096"/>
          </w:tcPr>
          <w:p>
            <w:pPr>
              <w:spacing w:after="40"/>
              <w:jc w:val="left"/>
            </w:pPr>
            <w:r/>
            <w:r>
              <w:rPr>
                <w:rFonts w:ascii="Times New Roman" w:hAnsi="Times New Roman" w:cs="Times New Roman"/>
                <w:b w:val="0"/>
                <w:i w:val="0"/>
                <w:sz w:val="16"/>
              </w:rPr>
              <w:t>Firmware-selectable PDM clock and reporting rate; a second microphone enabled only in the second state; optionally a two-element endfire array per station</w:t>
            </w:r>
          </w:p>
        </w:tc>
        <w:tc>
          <w:tcPr>
            <w:tcW w:type="dxa" w:w="3672"/>
          </w:tcPr>
          <w:p>
            <w:pPr>
              <w:spacing w:after="40"/>
              <w:jc w:val="left"/>
            </w:pPr>
            <w:r/>
            <w:r>
              <w:rPr>
                <w:rFonts w:ascii="Times New Roman" w:hAnsi="Times New Roman" w:cs="Times New Roman"/>
                <w:b w:val="0"/>
                <w:i w:val="0"/>
                <w:sz w:val="16"/>
              </w:rPr>
              <w:t>Provides the physical state change of Claim 19 without additional apparatus beyond a second transducer per station.</w:t>
            </w:r>
          </w:p>
        </w:tc>
      </w:tr>
      <w:tr>
        <w:tc>
          <w:tcPr>
            <w:tcW w:type="dxa" w:w="2160"/>
          </w:tcPr>
          <w:p>
            <w:pPr>
              <w:spacing w:after="40"/>
              <w:jc w:val="left"/>
            </w:pPr>
            <w:r/>
            <w:r>
              <w:rPr>
                <w:rFonts w:ascii="Times New Roman" w:hAnsi="Times New Roman" w:cs="Times New Roman"/>
                <w:b w:val="0"/>
                <w:i w:val="0"/>
                <w:sz w:val="16"/>
              </w:rPr>
              <w:t>Inter-station time synchronisation (70)</w:t>
            </w:r>
          </w:p>
        </w:tc>
        <w:tc>
          <w:tcPr>
            <w:tcW w:type="dxa" w:w="3096"/>
          </w:tcPr>
          <w:p>
            <w:pPr>
              <w:spacing w:after="40"/>
              <w:jc w:val="left"/>
            </w:pPr>
            <w:r/>
            <w:r>
              <w:rPr>
                <w:rFonts w:ascii="Times New Roman" w:hAnsi="Times New Roman" w:cs="Times New Roman"/>
                <w:b w:val="0"/>
                <w:i w:val="0"/>
                <w:sz w:val="16"/>
              </w:rPr>
              <w:t>SNTP discipline over the venue local area network</w:t>
            </w:r>
          </w:p>
        </w:tc>
        <w:tc>
          <w:tcPr>
            <w:tcW w:type="dxa" w:w="3672"/>
          </w:tcPr>
          <w:p>
            <w:pPr>
              <w:spacing w:after="40"/>
              <w:jc w:val="left"/>
            </w:pPr>
            <w:r/>
            <w:r>
              <w:rPr>
                <w:rFonts w:ascii="Times New Roman" w:hAnsi="Times New Roman" w:cs="Times New Roman"/>
                <w:b w:val="0"/>
                <w:i w:val="0"/>
                <w:sz w:val="16"/>
              </w:rPr>
              <w:t>Table 7 puts the required alignment at a fraction of the coupling lag, which for a one-to-three-second lag is hundreds of milliseconds. Ordinary network time synchronisation meets that with margin; no pulse-per-second distribution and no satellite discipline are required.</w:t>
            </w:r>
          </w:p>
        </w:tc>
      </w:tr>
      <w:tr>
        <w:tc>
          <w:tcPr>
            <w:tcW w:type="dxa" w:w="2160"/>
          </w:tcPr>
          <w:p>
            <w:pPr>
              <w:spacing w:after="40"/>
              <w:jc w:val="left"/>
            </w:pPr>
            <w:r/>
            <w:r>
              <w:rPr>
                <w:rFonts w:ascii="Times New Roman" w:hAnsi="Times New Roman" w:cs="Times New Roman"/>
                <w:b w:val="0"/>
                <w:i w:val="0"/>
                <w:sz w:val="16"/>
              </w:rPr>
              <w:t>Common-mode reference (90)</w:t>
            </w:r>
          </w:p>
        </w:tc>
        <w:tc>
          <w:tcPr>
            <w:tcW w:type="dxa" w:w="3096"/>
          </w:tcPr>
          <w:p>
            <w:pPr>
              <w:spacing w:after="40"/>
              <w:jc w:val="left"/>
            </w:pPr>
            <w:r/>
            <w:r>
              <w:rPr>
                <w:rFonts w:ascii="Times New Roman" w:hAnsi="Times New Roman" w:cs="Times New Roman"/>
                <w:b w:val="0"/>
                <w:i w:val="0"/>
                <w:sz w:val="16"/>
              </w:rPr>
              <w:t>At least one node of identical construction per hall or per zone, held unoccupied</w:t>
            </w:r>
          </w:p>
        </w:tc>
        <w:tc>
          <w:tcPr>
            <w:tcW w:type="dxa" w:w="3672"/>
          </w:tcPr>
          <w:p>
            <w:pPr>
              <w:spacing w:after="40"/>
              <w:jc w:val="left"/>
            </w:pPr>
            <w:r/>
            <w:r>
              <w:rPr>
                <w:rFonts w:ascii="Times New Roman" w:hAnsi="Times New Roman" w:cs="Times New Roman"/>
                <w:b w:val="0"/>
                <w:i w:val="0"/>
                <w:sz w:val="16"/>
              </w:rPr>
              <w:t>Supplies the part of the venue-common estimate that carries no candidate. Claims 11, 19 and 24 recite it as a structural element.</w:t>
            </w:r>
          </w:p>
        </w:tc>
      </w:tr>
      <w:tr>
        <w:tc>
          <w:tcPr>
            <w:tcW w:type="dxa" w:w="2160"/>
          </w:tcPr>
          <w:p>
            <w:pPr>
              <w:spacing w:after="40"/>
              <w:jc w:val="left"/>
            </w:pPr>
            <w:r/>
            <w:r>
              <w:rPr>
                <w:rFonts w:ascii="Times New Roman" w:hAnsi="Times New Roman" w:cs="Times New Roman"/>
                <w:b w:val="0"/>
                <w:i w:val="0"/>
                <w:sz w:val="16"/>
              </w:rPr>
              <w:t>Aggregation and inference</w:t>
            </w:r>
          </w:p>
        </w:tc>
        <w:tc>
          <w:tcPr>
            <w:tcW w:type="dxa" w:w="3096"/>
          </w:tcPr>
          <w:p>
            <w:pPr>
              <w:spacing w:after="40"/>
              <w:jc w:val="left"/>
            </w:pPr>
            <w:r/>
            <w:r>
              <w:rPr>
                <w:rFonts w:ascii="Times New Roman" w:hAnsi="Times New Roman" w:cs="Times New Roman"/>
                <w:b w:val="0"/>
                <w:i w:val="0"/>
                <w:sz w:val="16"/>
              </w:rPr>
              <w:t>Single-board computer such as a Raspberry Pi 5 (8 GB), or a laptop host</w:t>
            </w:r>
          </w:p>
        </w:tc>
        <w:tc>
          <w:tcPr>
            <w:tcW w:type="dxa" w:w="3672"/>
          </w:tcPr>
          <w:p>
            <w:pPr>
              <w:spacing w:after="40"/>
              <w:jc w:val="left"/>
            </w:pPr>
            <w:r/>
            <w:r>
              <w:rPr>
                <w:rFonts w:ascii="Times New Roman" w:hAnsi="Times New Roman" w:cs="Times New Roman"/>
                <w:b w:val="0"/>
                <w:i w:val="0"/>
                <w:sz w:val="16"/>
              </w:rPr>
              <w:t>Executes the per-station encoders and predictors, residual scoring, standardisation, fusion, common-mode estimation, coupling and the coordination condition.</w:t>
            </w:r>
          </w:p>
        </w:tc>
      </w:tr>
      <w:tr>
        <w:tc>
          <w:tcPr>
            <w:tcW w:type="dxa" w:w="2160"/>
          </w:tcPr>
          <w:p>
            <w:pPr>
              <w:keepNext/>
              <w:spacing w:after="40"/>
              <w:jc w:val="left"/>
            </w:pPr>
            <w:r/>
            <w:r>
              <w:rPr>
                <w:rFonts w:ascii="Times New Roman" w:hAnsi="Times New Roman" w:cs="Times New Roman"/>
                <w:b w:val="0"/>
                <w:i w:val="0"/>
                <w:sz w:val="16"/>
              </w:rPr>
              <w:t>Staged-violation instruments (evaluation only)</w:t>
            </w:r>
          </w:p>
        </w:tc>
        <w:tc>
          <w:tcPr>
            <w:tcW w:type="dxa" w:w="3096"/>
          </w:tcPr>
          <w:p>
            <w:pPr>
              <w:keepNext/>
              <w:spacing w:after="40"/>
              <w:jc w:val="left"/>
            </w:pPr>
            <w:r/>
            <w:r>
              <w:rPr>
                <w:rFonts w:ascii="Times New Roman" w:hAnsi="Times New Roman" w:cs="Times New Roman"/>
                <w:b w:val="0"/>
                <w:i w:val="0"/>
                <w:sz w:val="16"/>
              </w:rPr>
              <w:t>A spare smartphone at reduced transmit power; a Bluetooth earpiece; a paired phone and speaker generating a near-ultrasonic link</w:t>
            </w:r>
          </w:p>
        </w:tc>
        <w:tc>
          <w:tcPr>
            <w:tcW w:type="dxa" w:w="3672"/>
          </w:tcPr>
          <w:p>
            <w:pPr>
              <w:keepNext/>
              <w:spacing w:after="40"/>
              <w:jc w:val="left"/>
            </w:pPr>
            <w:r/>
            <w:r>
              <w:rPr>
                <w:rFonts w:ascii="Times New Roman" w:hAnsi="Times New Roman" w:cs="Times New Roman"/>
                <w:b w:val="0"/>
                <w:i w:val="0"/>
                <w:sz w:val="16"/>
              </w:rPr>
              <w:t>Used only to generate ground-truth episodes for evaluation. These devices are never used in training, which preserves the label-free property of the method under test.</w:t>
            </w:r>
          </w:p>
        </w:tc>
      </w:tr>
    </w:tbl>
    <w:p>
      <w:pPr>
        <w:spacing w:before="60" w:after="240"/>
        <w:jc w:val="center"/>
      </w:pPr>
      <w:r>
        <w:rPr>
          <w:rFonts w:ascii="Times New Roman" w:hAnsi="Times New Roman" w:cs="Times New Roman"/>
          <w:b/>
          <w:i w:val="0"/>
          <w:sz w:val="21"/>
        </w:rPr>
        <w:t>Table 11: Contemplated Station Hardware</w:t>
      </w:r>
    </w:p>
    <w:p>
      <w:pPr>
        <w:spacing w:after="140" w:line="274" w:lineRule="auto"/>
        <w:jc w:val="both"/>
      </w:pPr>
      <w:r>
        <w:rPr>
          <w:rFonts w:ascii="Times New Roman" w:hAnsi="Times New Roman" w:cs="Times New Roman"/>
          <w:b/>
          <w:i w:val="0"/>
          <w:sz w:val="22"/>
        </w:rPr>
        <w:t xml:space="preserve">Planned protocol. </w:t>
      </w:r>
      <w:r>
        <w:rPr>
          <w:rFonts w:ascii="Times New Roman" w:hAnsi="Times New Roman" w:cs="Times New Roman"/>
          <w:b w:val="0"/>
          <w:i w:val="0"/>
          <w:sz w:val="22"/>
        </w:rPr>
        <w:t>Sanctioned-session data would first be recorded from consenting volunteers performing written work under ordinary conditions, that data alone forming the training corpus and the calibration set at each node. Violation episodes would then be staged with independently logged ground-truth timestamps. Ground truth would be used for evaluation only and never for training. The bench programme below is ordered so that the tests carrying the most claim weight run first.</w:t>
      </w:r>
    </w:p>
    <w:tbl>
      <w:tblPr>
        <w:tblStyle w:val="TableGrid"/>
        <w:tblW w:type="auto" w:w="0"/>
        <w:jc w:val="center"/>
        <w:tblLayout w:type="fixed"/>
        <w:tblLook w:firstColumn="1" w:firstRow="1" w:lastColumn="0" w:lastRow="0" w:noHBand="0" w:noVBand="1" w:val="04A0"/>
      </w:tblPr>
      <w:tblGrid>
        <w:gridCol w:w="2412"/>
        <w:gridCol w:w="2412"/>
        <w:gridCol w:w="2412"/>
        <w:gridCol w:w="2412"/>
      </w:tblGrid>
      <w:tr>
        <w:trPr>
          <w:tblHeader/>
        </w:trPr>
        <w:tc>
          <w:tcPr>
            <w:tcW w:type="dxa" w:w="504"/>
          </w:tcPr>
          <w:p>
            <w:pPr>
              <w:keepNext/>
              <w:spacing w:after="40"/>
              <w:jc w:val="center"/>
            </w:pPr>
            <w:r/>
            <w:r>
              <w:rPr>
                <w:rFonts w:ascii="Times New Roman" w:hAnsi="Times New Roman" w:cs="Times New Roman"/>
                <w:b/>
                <w:i w:val="0"/>
                <w:sz w:val="16"/>
              </w:rPr>
            </w:r>
          </w:p>
        </w:tc>
        <w:tc>
          <w:tcPr>
            <w:tcW w:type="dxa" w:w="2880"/>
          </w:tcPr>
          <w:p>
            <w:pPr>
              <w:keepNext/>
              <w:spacing w:after="40"/>
              <w:jc w:val="center"/>
            </w:pPr>
            <w:r/>
            <w:r>
              <w:rPr>
                <w:rFonts w:ascii="Times New Roman" w:hAnsi="Times New Roman" w:cs="Times New Roman"/>
                <w:b/>
                <w:i w:val="0"/>
                <w:sz w:val="16"/>
              </w:rPr>
              <w:t>Test</w:t>
            </w:r>
          </w:p>
        </w:tc>
        <w:tc>
          <w:tcPr>
            <w:tcW w:type="dxa" w:w="2232"/>
          </w:tcPr>
          <w:p>
            <w:pPr>
              <w:keepNext/>
              <w:spacing w:after="40"/>
              <w:jc w:val="center"/>
            </w:pPr>
            <w:r/>
            <w:r>
              <w:rPr>
                <w:rFonts w:ascii="Times New Roman" w:hAnsi="Times New Roman" w:cs="Times New Roman"/>
                <w:b/>
                <w:i w:val="0"/>
                <w:sz w:val="16"/>
              </w:rPr>
              <w:t>What it validates</w:t>
            </w:r>
          </w:p>
        </w:tc>
        <w:tc>
          <w:tcPr>
            <w:tcW w:type="dxa" w:w="3312"/>
          </w:tcPr>
          <w:p>
            <w:pPr>
              <w:keepNext/>
              <w:spacing w:after="40"/>
              <w:jc w:val="center"/>
            </w:pPr>
            <w:r/>
            <w:r>
              <w:rPr>
                <w:rFonts w:ascii="Times New Roman" w:hAnsi="Times New Roman" w:cs="Times New Roman"/>
                <w:b/>
                <w:i w:val="0"/>
                <w:sz w:val="16"/>
              </w:rPr>
              <w:t>Why it is needed</w:t>
            </w:r>
          </w:p>
        </w:tc>
      </w:tr>
      <w:tr>
        <w:tc>
          <w:tcPr>
            <w:tcW w:type="dxa" w:w="504"/>
          </w:tcPr>
          <w:p>
            <w:pPr>
              <w:spacing w:after="40"/>
              <w:jc w:val="center"/>
            </w:pPr>
            <w:r/>
            <w:r>
              <w:rPr>
                <w:rFonts w:ascii="Times New Roman" w:hAnsi="Times New Roman" w:cs="Times New Roman"/>
                <w:b w:val="0"/>
                <w:i w:val="0"/>
                <w:sz w:val="16"/>
              </w:rPr>
              <w:t>B1</w:t>
            </w:r>
          </w:p>
        </w:tc>
        <w:tc>
          <w:tcPr>
            <w:tcW w:type="dxa" w:w="2880"/>
          </w:tcPr>
          <w:p>
            <w:pPr>
              <w:spacing w:after="40"/>
              <w:jc w:val="left"/>
            </w:pPr>
            <w:r/>
            <w:r>
              <w:rPr>
                <w:rFonts w:ascii="Times New Roman" w:hAnsi="Times New Roman" w:cs="Times New Roman"/>
                <w:b w:val="0"/>
                <w:i w:val="0"/>
                <w:sz w:val="16"/>
              </w:rPr>
              <w:t>Residual series generated from real node audio and accelerometry, normal-only training at each node</w:t>
            </w:r>
          </w:p>
        </w:tc>
        <w:tc>
          <w:tcPr>
            <w:tcW w:type="dxa" w:w="2232"/>
          </w:tcPr>
          <w:p>
            <w:pPr>
              <w:spacing w:after="40"/>
              <w:jc w:val="left"/>
            </w:pPr>
            <w:r/>
            <w:r>
              <w:rPr>
                <w:rFonts w:ascii="Times New Roman" w:hAnsi="Times New Roman" w:cs="Times New Roman"/>
                <w:b w:val="0"/>
                <w:i w:val="0"/>
                <w:sz w:val="16"/>
              </w:rPr>
              <w:t>The residual chain on real transducers</w:t>
            </w:r>
          </w:p>
        </w:tc>
        <w:tc>
          <w:tcPr>
            <w:tcW w:type="dxa" w:w="3312"/>
          </w:tcPr>
          <w:p>
            <w:pPr>
              <w:spacing w:after="40"/>
              <w:jc w:val="left"/>
            </w:pPr>
            <w:r/>
            <w:r>
              <w:rPr>
                <w:rFonts w:ascii="Times New Roman" w:hAnsi="Times New Roman" w:cs="Times New Roman"/>
                <w:b w:val="0"/>
                <w:i w:val="0"/>
                <w:sz w:val="16"/>
              </w:rPr>
              <w:t>Nothing in Section 8 Part B used a microphone.</w:t>
            </w:r>
          </w:p>
        </w:tc>
      </w:tr>
      <w:tr>
        <w:tc>
          <w:tcPr>
            <w:tcW w:type="dxa" w:w="504"/>
          </w:tcPr>
          <w:p>
            <w:pPr>
              <w:spacing w:after="40"/>
              <w:jc w:val="center"/>
            </w:pPr>
            <w:r/>
            <w:r>
              <w:rPr>
                <w:rFonts w:ascii="Times New Roman" w:hAnsi="Times New Roman" w:cs="Times New Roman"/>
                <w:b w:val="0"/>
                <w:i w:val="0"/>
                <w:sz w:val="16"/>
              </w:rPr>
              <w:t>B2</w:t>
            </w:r>
          </w:p>
        </w:tc>
        <w:tc>
          <w:tcPr>
            <w:tcW w:type="dxa" w:w="2880"/>
          </w:tcPr>
          <w:p>
            <w:pPr>
              <w:spacing w:after="40"/>
              <w:jc w:val="left"/>
            </w:pPr>
            <w:r/>
            <w:r>
              <w:rPr>
                <w:rFonts w:ascii="Times New Roman" w:hAnsi="Times New Roman" w:cs="Times New Roman"/>
                <w:b w:val="0"/>
                <w:i w:val="0"/>
                <w:sz w:val="16"/>
              </w:rPr>
              <w:t>Station-local against shared model on the five real nodes</w:t>
            </w:r>
          </w:p>
        </w:tc>
        <w:tc>
          <w:tcPr>
            <w:tcW w:type="dxa" w:w="2232"/>
          </w:tcPr>
          <w:p>
            <w:pPr>
              <w:spacing w:after="40"/>
              <w:jc w:val="left"/>
            </w:pPr>
            <w:r/>
            <w:r>
              <w:rPr>
                <w:rFonts w:ascii="Times New Roman" w:hAnsi="Times New Roman" w:cs="Times New Roman"/>
                <w:b w:val="0"/>
                <w:i w:val="0"/>
                <w:sz w:val="16"/>
              </w:rPr>
              <w:t>The Table 4 and Table 5 findings, on hardware</w:t>
            </w:r>
          </w:p>
        </w:tc>
        <w:tc>
          <w:tcPr>
            <w:tcW w:type="dxa" w:w="3312"/>
          </w:tcPr>
          <w:p>
            <w:pPr>
              <w:spacing w:after="40"/>
              <w:jc w:val="left"/>
            </w:pPr>
            <w:r/>
            <w:r>
              <w:rPr>
                <w:rFonts w:ascii="Times New Roman" w:hAnsi="Times New Roman" w:cs="Times New Roman"/>
                <w:b w:val="0"/>
                <w:i w:val="0"/>
                <w:sz w:val="16"/>
              </w:rPr>
              <w:t>Turns a proxy result into a component result.</w:t>
            </w:r>
          </w:p>
        </w:tc>
      </w:tr>
      <w:tr>
        <w:tc>
          <w:tcPr>
            <w:tcW w:type="dxa" w:w="504"/>
          </w:tcPr>
          <w:p>
            <w:pPr>
              <w:spacing w:after="40"/>
              <w:jc w:val="center"/>
            </w:pPr>
            <w:r/>
            <w:r>
              <w:rPr>
                <w:rFonts w:ascii="Times New Roman" w:hAnsi="Times New Roman" w:cs="Times New Roman"/>
                <w:b w:val="0"/>
                <w:i w:val="0"/>
                <w:sz w:val="16"/>
              </w:rPr>
              <w:t>B3</w:t>
            </w:r>
          </w:p>
        </w:tc>
        <w:tc>
          <w:tcPr>
            <w:tcW w:type="dxa" w:w="2880"/>
          </w:tcPr>
          <w:p>
            <w:pPr>
              <w:spacing w:after="40"/>
              <w:jc w:val="left"/>
            </w:pPr>
            <w:r/>
            <w:r>
              <w:rPr>
                <w:rFonts w:ascii="Times New Roman" w:hAnsi="Times New Roman" w:cs="Times New Roman"/>
                <w:b w:val="0"/>
                <w:i w:val="0"/>
                <w:sz w:val="16"/>
              </w:rPr>
              <w:t>Staged venue-wide event (door, announcement, chair scrape) across all five nodes; suppression measured with and without the unoccupied node in the reference</w:t>
            </w:r>
          </w:p>
        </w:tc>
        <w:tc>
          <w:tcPr>
            <w:tcW w:type="dxa" w:w="2232"/>
          </w:tcPr>
          <w:p>
            <w:pPr>
              <w:spacing w:after="40"/>
              <w:jc w:val="left"/>
            </w:pPr>
            <w:r/>
            <w:r>
              <w:rPr>
                <w:rFonts w:ascii="Times New Roman" w:hAnsi="Times New Roman" w:cs="Times New Roman"/>
                <w:b w:val="0"/>
                <w:i w:val="0"/>
                <w:sz w:val="16"/>
              </w:rPr>
              <w:t>Claim 11 and Claim 19 reference element</w:t>
            </w:r>
          </w:p>
        </w:tc>
        <w:tc>
          <w:tcPr>
            <w:tcW w:type="dxa" w:w="3312"/>
          </w:tcPr>
          <w:p>
            <w:pPr>
              <w:spacing w:after="40"/>
              <w:jc w:val="left"/>
            </w:pPr>
            <w:r/>
            <w:r>
              <w:rPr>
                <w:rFonts w:ascii="Times New Roman" w:hAnsi="Times New Roman" w:cs="Times New Roman"/>
                <w:b w:val="0"/>
                <w:i w:val="0"/>
                <w:sz w:val="16"/>
              </w:rPr>
              <w:t>The only test that shows the unoccupied station earns its place as a structural limitation.</w:t>
            </w:r>
          </w:p>
        </w:tc>
      </w:tr>
      <w:tr>
        <w:tc>
          <w:tcPr>
            <w:tcW w:type="dxa" w:w="504"/>
          </w:tcPr>
          <w:p>
            <w:pPr>
              <w:spacing w:after="40"/>
              <w:jc w:val="center"/>
            </w:pPr>
            <w:r/>
            <w:r>
              <w:rPr>
                <w:rFonts w:ascii="Times New Roman" w:hAnsi="Times New Roman" w:cs="Times New Roman"/>
                <w:b w:val="0"/>
                <w:i w:val="0"/>
                <w:sz w:val="16"/>
              </w:rPr>
              <w:t>B4</w:t>
            </w:r>
          </w:p>
        </w:tc>
        <w:tc>
          <w:tcPr>
            <w:tcW w:type="dxa" w:w="2880"/>
          </w:tcPr>
          <w:p>
            <w:pPr>
              <w:spacing w:after="40"/>
              <w:jc w:val="left"/>
            </w:pPr>
            <w:r/>
            <w:r>
              <w:rPr>
                <w:rFonts w:ascii="Times New Roman" w:hAnsi="Times New Roman" w:cs="Times New Roman"/>
                <w:b w:val="0"/>
                <w:i w:val="0"/>
                <w:sz w:val="16"/>
              </w:rPr>
              <w:t>Two confederates exchanging whispers or taps at a controlled lag; the coupled pair against the other five pairs</w:t>
            </w:r>
          </w:p>
        </w:tc>
        <w:tc>
          <w:tcPr>
            <w:tcW w:type="dxa" w:w="2232"/>
          </w:tcPr>
          <w:p>
            <w:pPr>
              <w:spacing w:after="40"/>
              <w:jc w:val="left"/>
            </w:pPr>
            <w:r/>
            <w:r>
              <w:rPr>
                <w:rFonts w:ascii="Times New Roman" w:hAnsi="Times New Roman" w:cs="Times New Roman"/>
                <w:b w:val="0"/>
                <w:i w:val="0"/>
                <w:sz w:val="16"/>
              </w:rPr>
              <w:t>Claims 11, 17 and 24</w:t>
            </w:r>
          </w:p>
        </w:tc>
        <w:tc>
          <w:tcPr>
            <w:tcW w:type="dxa" w:w="3312"/>
          </w:tcPr>
          <w:p>
            <w:pPr>
              <w:spacing w:after="40"/>
              <w:jc w:val="left"/>
            </w:pPr>
            <w:r/>
            <w:r>
              <w:rPr>
                <w:rFonts w:ascii="Times New Roman" w:hAnsi="Times New Roman" w:cs="Times New Roman"/>
                <w:b w:val="0"/>
                <w:i w:val="0"/>
                <w:sz w:val="16"/>
              </w:rPr>
              <w:t>First real coupling, replacing synthetic injection.</w:t>
            </w:r>
          </w:p>
        </w:tc>
      </w:tr>
      <w:tr>
        <w:tc>
          <w:tcPr>
            <w:tcW w:type="dxa" w:w="504"/>
          </w:tcPr>
          <w:p>
            <w:pPr>
              <w:spacing w:after="40"/>
              <w:jc w:val="center"/>
            </w:pPr>
            <w:r/>
            <w:r>
              <w:rPr>
                <w:rFonts w:ascii="Times New Roman" w:hAnsi="Times New Roman" w:cs="Times New Roman"/>
                <w:b w:val="0"/>
                <w:i w:val="0"/>
                <w:sz w:val="16"/>
              </w:rPr>
              <w:t>B5</w:t>
            </w:r>
          </w:p>
        </w:tc>
        <w:tc>
          <w:tcPr>
            <w:tcW w:type="dxa" w:w="2880"/>
          </w:tcPr>
          <w:p>
            <w:pPr>
              <w:spacing w:after="40"/>
              <w:jc w:val="left"/>
            </w:pPr>
            <w:r/>
            <w:r>
              <w:rPr>
                <w:rFonts w:ascii="Times New Roman" w:hAnsi="Times New Roman" w:cs="Times New Roman"/>
                <w:b w:val="0"/>
                <w:i w:val="0"/>
                <w:sz w:val="16"/>
              </w:rPr>
              <w:t>Per-pair sanctioned-activity baseline measured, and its stability across a session</w:t>
            </w:r>
          </w:p>
        </w:tc>
        <w:tc>
          <w:tcPr>
            <w:tcW w:type="dxa" w:w="2232"/>
          </w:tcPr>
          <w:p>
            <w:pPr>
              <w:spacing w:after="40"/>
              <w:jc w:val="left"/>
            </w:pPr>
            <w:r/>
            <w:r>
              <w:rPr>
                <w:rFonts w:ascii="Times New Roman" w:hAnsi="Times New Roman" w:cs="Times New Roman"/>
                <w:b w:val="0"/>
                <w:i w:val="0"/>
                <w:sz w:val="16"/>
              </w:rPr>
              <w:t>The inverted null of Claim 17</w:t>
            </w:r>
          </w:p>
        </w:tc>
        <w:tc>
          <w:tcPr>
            <w:tcW w:type="dxa" w:w="3312"/>
          </w:tcPr>
          <w:p>
            <w:pPr>
              <w:spacing w:after="40"/>
              <w:jc w:val="left"/>
            </w:pPr>
            <w:r/>
            <w:r>
              <w:rPr>
                <w:rFonts w:ascii="Times New Roman" w:hAnsi="Times New Roman" w:cs="Times New Roman"/>
                <w:b w:val="0"/>
                <w:i w:val="0"/>
                <w:sz w:val="16"/>
              </w:rPr>
              <w:t>The baseline must be stable within a session or the claim fails.</w:t>
            </w:r>
          </w:p>
        </w:tc>
      </w:tr>
      <w:tr>
        <w:tc>
          <w:tcPr>
            <w:tcW w:type="dxa" w:w="504"/>
          </w:tcPr>
          <w:p>
            <w:pPr>
              <w:spacing w:after="40"/>
              <w:jc w:val="center"/>
            </w:pPr>
            <w:r/>
            <w:r>
              <w:rPr>
                <w:rFonts w:ascii="Times New Roman" w:hAnsi="Times New Roman" w:cs="Times New Roman"/>
                <w:b w:val="0"/>
                <w:i w:val="0"/>
                <w:sz w:val="16"/>
              </w:rPr>
              <w:t>B6</w:t>
            </w:r>
          </w:p>
        </w:tc>
        <w:tc>
          <w:tcPr>
            <w:tcW w:type="dxa" w:w="2880"/>
          </w:tcPr>
          <w:p>
            <w:pPr>
              <w:spacing w:after="40"/>
              <w:jc w:val="left"/>
            </w:pPr>
            <w:r/>
            <w:r>
              <w:rPr>
                <w:rFonts w:ascii="Times New Roman" w:hAnsi="Times New Roman" w:cs="Times New Roman"/>
                <w:b w:val="0"/>
                <w:i w:val="0"/>
                <w:sz w:val="16"/>
              </w:rPr>
              <w:t>Node clocks deliberately skewed; the degradation curve of Table 7 reproduced</w:t>
            </w:r>
          </w:p>
        </w:tc>
        <w:tc>
          <w:tcPr>
            <w:tcW w:type="dxa" w:w="2232"/>
          </w:tcPr>
          <w:p>
            <w:pPr>
              <w:spacing w:after="40"/>
              <w:jc w:val="left"/>
            </w:pPr>
            <w:r/>
            <w:r>
              <w:rPr>
                <w:rFonts w:ascii="Times New Roman" w:hAnsi="Times New Roman" w:cs="Times New Roman"/>
                <w:b w:val="0"/>
                <w:i w:val="0"/>
                <w:sz w:val="16"/>
              </w:rPr>
              <w:t>Claim 14</w:t>
            </w:r>
          </w:p>
        </w:tc>
        <w:tc>
          <w:tcPr>
            <w:tcW w:type="dxa" w:w="3312"/>
          </w:tcPr>
          <w:p>
            <w:pPr>
              <w:spacing w:after="40"/>
              <w:jc w:val="left"/>
            </w:pPr>
            <w:r/>
            <w:r>
              <w:rPr>
                <w:rFonts w:ascii="Times New Roman" w:hAnsi="Times New Roman" w:cs="Times New Roman"/>
                <w:b w:val="0"/>
                <w:i w:val="0"/>
                <w:sz w:val="16"/>
              </w:rPr>
              <w:t>Confirms the measured tolerance envelope on hardware.</w:t>
            </w:r>
          </w:p>
        </w:tc>
      </w:tr>
      <w:tr>
        <w:tc>
          <w:tcPr>
            <w:tcW w:type="dxa" w:w="504"/>
          </w:tcPr>
          <w:p>
            <w:pPr>
              <w:spacing w:after="40"/>
              <w:jc w:val="center"/>
            </w:pPr>
            <w:r/>
            <w:r>
              <w:rPr>
                <w:rFonts w:ascii="Times New Roman" w:hAnsi="Times New Roman" w:cs="Times New Roman"/>
                <w:b w:val="0"/>
                <w:i w:val="0"/>
                <w:sz w:val="16"/>
              </w:rPr>
              <w:t>B7</w:t>
            </w:r>
          </w:p>
        </w:tc>
        <w:tc>
          <w:tcPr>
            <w:tcW w:type="dxa" w:w="2880"/>
          </w:tcPr>
          <w:p>
            <w:pPr>
              <w:spacing w:after="40"/>
              <w:jc w:val="left"/>
            </w:pPr>
            <w:r/>
            <w:r>
              <w:rPr>
                <w:rFonts w:ascii="Times New Roman" w:hAnsi="Times New Roman" w:cs="Times New Roman"/>
                <w:b w:val="0"/>
                <w:i w:val="0"/>
                <w:sz w:val="16"/>
              </w:rPr>
              <w:t>A two-to-three-hour sanctioned session with no coordination; false-alarm rate per pair-hour</w:t>
            </w:r>
          </w:p>
        </w:tc>
        <w:tc>
          <w:tcPr>
            <w:tcW w:type="dxa" w:w="2232"/>
          </w:tcPr>
          <w:p>
            <w:pPr>
              <w:spacing w:after="40"/>
              <w:jc w:val="left"/>
            </w:pPr>
            <w:r/>
            <w:r>
              <w:rPr>
                <w:rFonts w:ascii="Times New Roman" w:hAnsi="Times New Roman" w:cs="Times New Roman"/>
                <w:b w:val="0"/>
                <w:i w:val="0"/>
                <w:sz w:val="16"/>
              </w:rPr>
              <w:t>Every cross-station claim</w:t>
            </w:r>
          </w:p>
        </w:tc>
        <w:tc>
          <w:tcPr>
            <w:tcW w:type="dxa" w:w="3312"/>
          </w:tcPr>
          <w:p>
            <w:pPr>
              <w:spacing w:after="40"/>
              <w:jc w:val="left"/>
            </w:pPr>
            <w:r/>
            <w:r>
              <w:rPr>
                <w:rFonts w:ascii="Times New Roman" w:hAnsi="Times New Roman" w:cs="Times New Roman"/>
                <w:b w:val="0"/>
                <w:i w:val="0"/>
                <w:sz w:val="16"/>
              </w:rPr>
              <w:t>The number that does not yet exist, and the first thing a sceptical reader asks. A hall of a hundred desks is about five thousand pairs.</w:t>
            </w:r>
          </w:p>
        </w:tc>
      </w:tr>
      <w:tr>
        <w:tc>
          <w:tcPr>
            <w:tcW w:type="dxa" w:w="504"/>
          </w:tcPr>
          <w:p>
            <w:pPr>
              <w:keepNext/>
              <w:spacing w:after="40"/>
              <w:jc w:val="center"/>
            </w:pPr>
            <w:r/>
            <w:r>
              <w:rPr>
                <w:rFonts w:ascii="Times New Roman" w:hAnsi="Times New Roman" w:cs="Times New Roman"/>
                <w:b w:val="0"/>
                <w:i w:val="0"/>
                <w:sz w:val="16"/>
              </w:rPr>
              <w:t>B8</w:t>
            </w:r>
          </w:p>
        </w:tc>
        <w:tc>
          <w:tcPr>
            <w:tcW w:type="dxa" w:w="2880"/>
          </w:tcPr>
          <w:p>
            <w:pPr>
              <w:keepNext/>
              <w:spacing w:after="40"/>
              <w:jc w:val="left"/>
            </w:pPr>
            <w:r/>
            <w:r>
              <w:rPr>
                <w:rFonts w:ascii="Times New Roman" w:hAnsi="Times New Roman" w:cs="Times New Roman"/>
                <w:b w:val="0"/>
                <w:i w:val="0"/>
                <w:sz w:val="16"/>
              </w:rPr>
              <w:t>Acquisition-state switch exercised end to end; latency from condition satisfied to state changed, and confinement to the implicated pair</w:t>
            </w:r>
          </w:p>
        </w:tc>
        <w:tc>
          <w:tcPr>
            <w:tcW w:type="dxa" w:w="2232"/>
          </w:tcPr>
          <w:p>
            <w:pPr>
              <w:keepNext/>
              <w:spacing w:after="40"/>
              <w:jc w:val="left"/>
            </w:pPr>
            <w:r/>
            <w:r>
              <w:rPr>
                <w:rFonts w:ascii="Times New Roman" w:hAnsi="Times New Roman" w:cs="Times New Roman"/>
                <w:b w:val="0"/>
                <w:i w:val="0"/>
                <w:sz w:val="16"/>
              </w:rPr>
              <w:t>Claims 19 to 21</w:t>
            </w:r>
          </w:p>
        </w:tc>
        <w:tc>
          <w:tcPr>
            <w:tcW w:type="dxa" w:w="3312"/>
          </w:tcPr>
          <w:p>
            <w:pPr>
              <w:keepNext/>
              <w:spacing w:after="40"/>
              <w:jc w:val="left"/>
            </w:pPr>
            <w:r/>
            <w:r>
              <w:rPr>
                <w:rFonts w:ascii="Times New Roman" w:hAnsi="Times New Roman" w:cs="Times New Roman"/>
                <w:b w:val="0"/>
                <w:i w:val="0"/>
                <w:sz w:val="16"/>
              </w:rPr>
              <w:t>Confirms that the physical response occurs, is bounded, and reaches no other station.</w:t>
            </w:r>
          </w:p>
        </w:tc>
      </w:tr>
    </w:tbl>
    <w:p>
      <w:pPr>
        <w:spacing w:before="60" w:after="240"/>
        <w:jc w:val="center"/>
      </w:pPr>
      <w:r>
        <w:rPr>
          <w:rFonts w:ascii="Times New Roman" w:hAnsi="Times New Roman" w:cs="Times New Roman"/>
          <w:b/>
          <w:i w:val="0"/>
          <w:sz w:val="21"/>
        </w:rPr>
        <w:t>Table 12: Bench Programme for the Contemplated Prototype</w:t>
      </w:r>
    </w:p>
    <w:p>
      <w:pPr>
        <w:spacing w:after="140" w:line="274" w:lineRule="auto"/>
        <w:jc w:val="both"/>
      </w:pPr>
      <w:r>
        <w:rPr>
          <w:rFonts w:ascii="Times New Roman" w:hAnsi="Times New Roman" w:cs="Times New Roman"/>
          <w:b/>
          <w:i w:val="0"/>
          <w:sz w:val="22"/>
        </w:rPr>
        <w:t xml:space="preserve">Predictions the trial would test. </w:t>
      </w:r>
      <w:r>
        <w:rPr>
          <w:rFonts w:ascii="Times New Roman" w:hAnsi="Times New Roman" w:cs="Times New Roman"/>
          <w:b w:val="0"/>
          <w:i w:val="0"/>
          <w:sz w:val="22"/>
        </w:rPr>
        <w:t>The trial is specified so that it can fail. Residuals should rise during staged violation episodes and return to baseline during sanctioned activity, without the model having been shown any violation example; if they do not separate on real signals, the single-station claim is not supported outside simulation. Residual elevations at two colluding proximate stations should be time-locked after common-mode subtraction, while an isolated staged anomaly should produce no corresponding elevation at its neighbour; if coupling is observed equally for innocent adjacent pairs after subtraction and after each pair’s own baseline is applied, the cross-station claims fail. Removing the unoccupied node from the reference should measurably degrade suppression in B3; if it does not, the reference station is not earning its place as a claim element and should be demoted to a dependent. And per-station, per-session calibration from an initial sanctioned interval should suffice to bring the residual distribution to a usable operating point; if the distribution drifts materially within a session, the held-fixed variant of Claim 2 is insufficient and its re-established variant is required.</w:t>
      </w:r>
    </w:p>
    <w:p>
      <w:pPr>
        <w:spacing w:after="140" w:line="274" w:lineRule="auto"/>
        <w:jc w:val="both"/>
      </w:pPr>
      <w:r>
        <w:rPr>
          <w:rFonts w:ascii="Times New Roman" w:hAnsi="Times New Roman" w:cs="Times New Roman"/>
          <w:b/>
          <w:i w:val="0"/>
          <w:sz w:val="22"/>
        </w:rPr>
        <w:t xml:space="preserve">Limits of what such a trial would establish. </w:t>
      </w:r>
      <w:r>
        <w:rPr>
          <w:rFonts w:ascii="Times New Roman" w:hAnsi="Times New Roman" w:cs="Times New Roman"/>
          <w:b w:val="0"/>
          <w:i w:val="0"/>
          <w:sz w:val="22"/>
        </w:rPr>
        <w:t>Even if every prediction were confirmed, such a trial would establish only that the arrangement operates on physically acquired sensor data and that the coupling channel is observable in practice. The environment would be a controlled room rather than a populated examination hall, lacking the dense ambient radio population, crowd acoustics and invigilator movement of operational conditions. The number of stations and participants would be small, and five nodes give ten pairs where a hall gives thousands. Violation episodes would be staged by informed volunteers rather than performed adversarially by candidates with an incentive to evade detection. Performance in an operational hall should be expected to fall below both the simulated figures of Part A and any figures such a trial produced, and this disclosure does not assert otherwise.</w:t>
      </w:r>
    </w:p>
    <w:p>
      <w:pPr>
        <w:keepNext/>
        <w:spacing w:before="320" w:after="120"/>
        <w:outlineLvl w:val="0"/>
      </w:pPr>
      <w:r>
        <w:rPr>
          <w:rFonts w:ascii="Times New Roman" w:hAnsi="Times New Roman" w:cs="Times New Roman"/>
          <w:b/>
          <w:i w:val="0"/>
          <w:sz w:val="26"/>
        </w:rPr>
        <w:t>10. Aspects of the Invention Requiring Protection (Claims)</w:t>
      </w:r>
    </w:p>
    <w:p>
      <w:pPr>
        <w:spacing w:after="140" w:line="274" w:lineRule="auto"/>
        <w:jc w:val="both"/>
      </w:pPr>
      <w:r>
        <w:rPr>
          <w:rFonts w:ascii="Times New Roman" w:hAnsi="Times New Roman" w:cs="Times New Roman"/>
          <w:b w:val="0"/>
          <w:i w:val="0"/>
          <w:sz w:val="22"/>
        </w:rPr>
        <w:t>The following elements are considered novel and inventive and are proposed for protection. Claims 1, 11, 17, 19, 23 and 24 are independent. The set is drafted on three principles.</w:t>
      </w:r>
    </w:p>
    <w:p>
      <w:pPr>
        <w:spacing w:after="140" w:line="274" w:lineRule="auto"/>
        <w:jc w:val="both"/>
      </w:pPr>
      <w:r>
        <w:rPr>
          <w:rFonts w:ascii="Times New Roman" w:hAnsi="Times New Roman" w:cs="Times New Roman"/>
          <w:b/>
          <w:i w:val="0"/>
          <w:sz w:val="22"/>
        </w:rPr>
        <w:t xml:space="preserve">First. </w:t>
      </w:r>
      <w:r>
        <w:rPr>
          <w:rFonts w:ascii="Times New Roman" w:hAnsi="Times New Roman" w:cs="Times New Roman"/>
          <w:b w:val="0"/>
          <w:i w:val="0"/>
          <w:sz w:val="22"/>
        </w:rPr>
        <w:t>The label-free training of the model is a process characteristic, and process characteristics carry their full weight in method claims but are not inspectable in a deployed system. The method claims of Part C therefore recite it as an active limitation, while the system and installation claims are distinguished instead by runtime properties of the working apparatus — per-station and per-session calibration, an instrumented station held unoccupied, a bounded timing tolerance, a per-pair baseline, and a change of acquisition state — each of which can be observed in the installation as it runs.</w:t>
      </w:r>
    </w:p>
    <w:p>
      <w:pPr>
        <w:spacing w:after="140" w:line="274" w:lineRule="auto"/>
        <w:jc w:val="both"/>
      </w:pPr>
      <w:r>
        <w:rPr>
          <w:rFonts w:ascii="Times New Roman" w:hAnsi="Times New Roman" w:cs="Times New Roman"/>
          <w:b/>
          <w:i w:val="0"/>
          <w:sz w:val="22"/>
        </w:rPr>
        <w:t xml:space="preserve">Second. </w:t>
      </w:r>
      <w:r>
        <w:rPr>
          <w:rFonts w:ascii="Times New Roman" w:hAnsi="Times New Roman" w:cs="Times New Roman"/>
          <w:b w:val="0"/>
          <w:i w:val="0"/>
          <w:sz w:val="22"/>
        </w:rPr>
        <w:t>Common-mode rejection, the unoccupied reference station and the bound on timing tolerance are recited as positive elements of the independent installation claims rather than as optional refinements. Section 8 measures a coordination condition evaluated without them at chance or near it; a claim that made them optional would extend to an arrangement that the measurements of Section 8 place at chance.</w:t>
      </w:r>
    </w:p>
    <w:p>
      <w:pPr>
        <w:spacing w:after="140" w:line="274" w:lineRule="auto"/>
        <w:jc w:val="both"/>
      </w:pPr>
      <w:r>
        <w:rPr>
          <w:rFonts w:ascii="Times New Roman" w:hAnsi="Times New Roman" w:cs="Times New Roman"/>
          <w:b/>
          <w:i w:val="0"/>
          <w:sz w:val="22"/>
        </w:rPr>
        <w:t xml:space="preserve">Third. </w:t>
      </w:r>
      <w:r>
        <w:rPr>
          <w:rFonts w:ascii="Times New Roman" w:hAnsi="Times New Roman" w:cs="Times New Roman"/>
          <w:b w:val="0"/>
          <w:i w:val="0"/>
          <w:sz w:val="22"/>
        </w:rPr>
        <w:t>No claim to a computer-readable medium is included. Such a claim is routinely refused in Indian practice, and it would contradict the framing of the entire set, which is directed to an installation of physical transducers at fixed positions in a room and to the physical acts performed upon them. This omission is deliberate and should not be reversed at drafting.</w:t>
      </w:r>
    </w:p>
    <w:p>
      <w:pPr>
        <w:keepNext/>
        <w:spacing w:before="220" w:after="80"/>
        <w:outlineLvl w:val="1"/>
      </w:pPr>
      <w:r>
        <w:rPr>
          <w:rFonts w:ascii="Times New Roman" w:hAnsi="Times New Roman" w:cs="Times New Roman"/>
          <w:b/>
          <w:i w:val="0"/>
          <w:sz w:val="23"/>
        </w:rPr>
        <w:t>A. System claims — single-station label-free detection</w:t>
      </w:r>
    </w:p>
    <w:p>
      <w:pPr>
        <w:spacing w:after="140" w:line="274" w:lineRule="auto"/>
        <w:jc w:val="both"/>
      </w:pPr>
      <w:r>
        <w:rPr>
          <w:rFonts w:ascii="Times New Roman" w:hAnsi="Times New Roman" w:cs="Times New Roman"/>
          <w:b/>
          <w:i w:val="0"/>
          <w:sz w:val="22"/>
        </w:rPr>
        <w:t xml:space="preserve">Claim 1 (independent). </w:t>
      </w:r>
      <w:r>
        <w:rPr>
          <w:rFonts w:ascii="Times New Roman" w:hAnsi="Times New Roman" w:cs="Times New Roman"/>
          <w:b w:val="0"/>
          <w:i w:val="0"/>
          <w:sz w:val="22"/>
        </w:rPr>
        <w:t>An integrity-monitoring system for a monitored assessment station, comprising: a sensing assembly mechanically carried by a station body and comprising at least one acoustic transducer and at least one further transducer of a different physical modality, arranged to produce respective signal streams; a processing unit coupled to the sensing assembly; and a communication module; wherein the processing unit is configured to: form, from each said signal stream, context windows of predetermined duration; compute for each context window, by a predictive model established from signal streams recorded during sanctioned activity at that station, a predicted change of the stream over a prediction horizon of predetermined duration and a prediction residual between the predicted change and the observed change; establish, at that station and during an initial interval of each monitored session, standardisation statistics for the said residual, and standardise the residual against those statistics for the remainder of that session; derive an integrity-violation score from the standardised residuals of the said streams; and cause the communication module to transmit an alert identifying the station when the said score satisfies a predetermined alert condition.</w:t>
      </w:r>
    </w:p>
    <w:p>
      <w:pPr>
        <w:spacing w:after="140" w:line="274" w:lineRule="auto"/>
        <w:jc w:val="both"/>
      </w:pPr>
      <w:r>
        <w:rPr>
          <w:rFonts w:ascii="Times New Roman" w:hAnsi="Times New Roman" w:cs="Times New Roman"/>
          <w:b/>
          <w:i w:val="0"/>
          <w:sz w:val="22"/>
        </w:rPr>
        <w:t xml:space="preserve">Claim 2. </w:t>
      </w:r>
      <w:r>
        <w:rPr>
          <w:rFonts w:ascii="Times New Roman" w:hAnsi="Times New Roman" w:cs="Times New Roman"/>
          <w:b w:val="0"/>
          <w:i w:val="0"/>
          <w:sz w:val="22"/>
        </w:rPr>
        <w:t>The system of Claim 1, wherein the standardisation statistics are held fixed for the remainder of the monitored session after the initial interval, or are re-established at predetermined intervals during the session.</w:t>
      </w:r>
    </w:p>
    <w:p>
      <w:pPr>
        <w:spacing w:after="140" w:line="274" w:lineRule="auto"/>
        <w:jc w:val="both"/>
      </w:pPr>
      <w:r>
        <w:rPr>
          <w:rFonts w:ascii="Times New Roman" w:hAnsi="Times New Roman" w:cs="Times New Roman"/>
          <w:b/>
          <w:i w:val="0"/>
          <w:sz w:val="22"/>
        </w:rPr>
        <w:t xml:space="preserve">Claim 3. </w:t>
      </w:r>
      <w:r>
        <w:rPr>
          <w:rFonts w:ascii="Times New Roman" w:hAnsi="Times New Roman" w:cs="Times New Roman"/>
          <w:b w:val="0"/>
          <w:i w:val="0"/>
          <w:sz w:val="22"/>
        </w:rPr>
        <w:t>The system of Claim 1, wherein the acoustic transducer is arranged to capture acoustic energy including a near-ultrasonic band above 15 kHz.</w:t>
      </w:r>
    </w:p>
    <w:p>
      <w:pPr>
        <w:spacing w:after="140" w:line="274" w:lineRule="auto"/>
        <w:jc w:val="both"/>
      </w:pPr>
      <w:r>
        <w:rPr>
          <w:rFonts w:ascii="Times New Roman" w:hAnsi="Times New Roman" w:cs="Times New Roman"/>
          <w:b/>
          <w:i w:val="0"/>
          <w:sz w:val="22"/>
        </w:rPr>
        <w:t xml:space="preserve">Claim 4. </w:t>
      </w:r>
      <w:r>
        <w:rPr>
          <w:rFonts w:ascii="Times New Roman" w:hAnsi="Times New Roman" w:cs="Times New Roman"/>
          <w:b w:val="0"/>
          <w:i w:val="0"/>
          <w:sz w:val="22"/>
        </w:rPr>
        <w:t>The system of Claim 3, wherein the said further transducer is an electromagnetic sensor capturing at least device-advertisement activity and received-signal-strength dynamics, the acoustic and electromagnetic sensors being disposed within or upon a desk body constituting the station.</w:t>
      </w:r>
    </w:p>
    <w:p>
      <w:pPr>
        <w:spacing w:after="140" w:line="274" w:lineRule="auto"/>
        <w:jc w:val="both"/>
      </w:pPr>
      <w:r>
        <w:rPr>
          <w:rFonts w:ascii="Times New Roman" w:hAnsi="Times New Roman" w:cs="Times New Roman"/>
          <w:b/>
          <w:i w:val="0"/>
          <w:sz w:val="22"/>
        </w:rPr>
        <w:t xml:space="preserve">Claim 5. </w:t>
      </w:r>
      <w:r>
        <w:rPr>
          <w:rFonts w:ascii="Times New Roman" w:hAnsi="Times New Roman" w:cs="Times New Roman"/>
          <w:b w:val="0"/>
          <w:i w:val="0"/>
          <w:sz w:val="22"/>
        </w:rPr>
        <w:t>The system of Claim 1, wherein the said further transducer comprises one or more of: a mechanical vibration or accelerometric sensor; a magnetic-field sensor; a pressure, strain, or load sensor; a thermal or infrared sensor; a millimetre-wave or radar-based micro-motion sensor; a capacitive proximity sensor; and an optical sensor of candidate behaviour.</w:t>
      </w:r>
    </w:p>
    <w:p>
      <w:pPr>
        <w:spacing w:after="140" w:line="274" w:lineRule="auto"/>
        <w:jc w:val="both"/>
      </w:pPr>
      <w:r>
        <w:rPr>
          <w:rFonts w:ascii="Times New Roman" w:hAnsi="Times New Roman" w:cs="Times New Roman"/>
          <w:b/>
          <w:i w:val="0"/>
          <w:sz w:val="22"/>
        </w:rPr>
        <w:t xml:space="preserve">Claim 6. </w:t>
      </w:r>
      <w:r>
        <w:rPr>
          <w:rFonts w:ascii="Times New Roman" w:hAnsi="Times New Roman" w:cs="Times New Roman"/>
          <w:b w:val="0"/>
          <w:i w:val="0"/>
          <w:sz w:val="22"/>
        </w:rPr>
        <w:t>The system of Claim 1, wherein a prediction residual is computed and standardised for each of a plurality of sensing modalities and the standardised residuals are fused into a combined integrity-violation score by a weighted combination, the weights being determined, without any labelled data, from statistics of those residuals over the sanctioned calibration interval at that station.</w:t>
      </w:r>
    </w:p>
    <w:p>
      <w:pPr>
        <w:spacing w:after="140" w:line="274" w:lineRule="auto"/>
        <w:jc w:val="both"/>
      </w:pPr>
      <w:r>
        <w:rPr>
          <w:rFonts w:ascii="Times New Roman" w:hAnsi="Times New Roman" w:cs="Times New Roman"/>
          <w:b/>
          <w:i w:val="0"/>
          <w:sz w:val="22"/>
        </w:rPr>
        <w:t xml:space="preserve">Claim 7. </w:t>
      </w:r>
      <w:r>
        <w:rPr>
          <w:rFonts w:ascii="Times New Roman" w:hAnsi="Times New Roman" w:cs="Times New Roman"/>
          <w:b w:val="0"/>
          <w:i w:val="0"/>
          <w:sz w:val="22"/>
        </w:rPr>
        <w:t>The system of Claim 1, wherein the integrity-violation score is further aggregated by a causal rolling statistic over an extended interval within the monitored session, the aggregated score being used in place of the instantaneous score for evaluation of the alert condition.</w:t>
      </w:r>
    </w:p>
    <w:p>
      <w:pPr>
        <w:spacing w:after="140" w:line="274" w:lineRule="auto"/>
        <w:jc w:val="both"/>
      </w:pPr>
      <w:r>
        <w:rPr>
          <w:rFonts w:ascii="Times New Roman" w:hAnsi="Times New Roman" w:cs="Times New Roman"/>
          <w:b/>
          <w:i w:val="0"/>
          <w:sz w:val="22"/>
        </w:rPr>
        <w:t xml:space="preserve">Claim 8. </w:t>
      </w:r>
      <w:r>
        <w:rPr>
          <w:rFonts w:ascii="Times New Roman" w:hAnsi="Times New Roman" w:cs="Times New Roman"/>
          <w:b w:val="0"/>
          <w:i w:val="0"/>
          <w:sz w:val="22"/>
        </w:rPr>
        <w:t>The system of Claim 6, further comprising an optical behavioural sensing module deriving gaze direction, blink rate, head pose and fixation features, a prediction residual of which is included in the said weighted combination.</w:t>
      </w:r>
    </w:p>
    <w:p>
      <w:pPr>
        <w:spacing w:after="140" w:line="274" w:lineRule="auto"/>
        <w:jc w:val="both"/>
      </w:pPr>
      <w:r>
        <w:rPr>
          <w:rFonts w:ascii="Times New Roman" w:hAnsi="Times New Roman" w:cs="Times New Roman"/>
          <w:b/>
          <w:i w:val="0"/>
          <w:sz w:val="22"/>
        </w:rPr>
        <w:t xml:space="preserve">Claim 9. </w:t>
      </w:r>
      <w:r>
        <w:rPr>
          <w:rFonts w:ascii="Times New Roman" w:hAnsi="Times New Roman" w:cs="Times New Roman"/>
          <w:b w:val="0"/>
          <w:i w:val="0"/>
          <w:sz w:val="22"/>
        </w:rPr>
        <w:t>The system of Claim 1, wherein the predictive model comprises, for each sensing modality, an encoder producing an embedding of the context window and a predictor operating upon that embedding, the encoder and predictor having been trained jointly under an objective comprising a prediction-error term and a variance-and-covariance regularisation term applied to the embedding, the said regularisation term preventing collapse of the embedding to a constant.</w:t>
      </w:r>
    </w:p>
    <w:p>
      <w:pPr>
        <w:spacing w:after="140" w:line="274" w:lineRule="auto"/>
        <w:jc w:val="both"/>
      </w:pPr>
      <w:r>
        <w:rPr>
          <w:rFonts w:ascii="Times New Roman" w:hAnsi="Times New Roman" w:cs="Times New Roman"/>
          <w:b/>
          <w:i w:val="0"/>
          <w:sz w:val="22"/>
        </w:rPr>
        <w:t xml:space="preserve">Claim 10. </w:t>
      </w:r>
      <w:r>
        <w:rPr>
          <w:rFonts w:ascii="Times New Roman" w:hAnsi="Times New Roman" w:cs="Times New Roman"/>
          <w:b w:val="0"/>
          <w:i w:val="0"/>
          <w:sz w:val="22"/>
        </w:rPr>
        <w:t>The system of Claim 1, wherein the processing unit aggregates the integrity-violation score over the whole of the monitored session for each of a plurality of stations, ranks the stations by aggregated score, and causes the communication module to identify to an invigilator a predetermined number of highest-ranked stations for human inspection.</w:t>
      </w:r>
    </w:p>
    <w:p>
      <w:pPr>
        <w:keepNext/>
        <w:spacing w:before="220" w:after="80"/>
        <w:outlineLvl w:val="1"/>
      </w:pPr>
      <w:r>
        <w:rPr>
          <w:rFonts w:ascii="Times New Roman" w:hAnsi="Times New Roman" w:cs="Times New Roman"/>
          <w:b/>
          <w:i w:val="0"/>
          <w:sz w:val="23"/>
        </w:rPr>
        <w:t>B. System claims — venue installation and cross-station coordination</w:t>
      </w:r>
    </w:p>
    <w:p>
      <w:pPr>
        <w:spacing w:after="140" w:line="274" w:lineRule="auto"/>
        <w:jc w:val="both"/>
      </w:pPr>
      <w:r>
        <w:rPr>
          <w:rFonts w:ascii="Times New Roman" w:hAnsi="Times New Roman" w:cs="Times New Roman"/>
          <w:b/>
          <w:i w:val="0"/>
          <w:sz w:val="22"/>
        </w:rPr>
        <w:t xml:space="preserve">Claim 11 (independent). </w:t>
      </w:r>
      <w:r>
        <w:rPr>
          <w:rFonts w:ascii="Times New Roman" w:hAnsi="Times New Roman" w:cs="Times New Roman"/>
          <w:b w:val="0"/>
          <w:i w:val="0"/>
          <w:sz w:val="22"/>
        </w:rPr>
        <w:t>An examination-venue integrity installation, comprising: a plurality of candidate stations, each comprising a station body and a sensing assembly mechanically carried by that station body, the sensing assembly of each candidate station comprising at least one acoustic transducer and at least one further transducer of a different physical modality; at least one reference station comprising a station body and a sensing assembly of like construction to that of the candidate stations, disposed among the candidate stations within the venue and configured to remain unoccupied throughout a monitored session; a time-synchronisation arrangement establishing a common time base across the sensing assemblies of the candidate stations and of the reference station to within a predetermined timing tolerance; and a processing arrangement configured to: derive, for each said station, a prediction-residual time-series from the signals of the sensing assembly of that station by means of a predictive model and standardisation statistics established at that station from an interval of sanctioned activity at that station; form, from the residual time-series of the candidate stations and from the residual time-series of the said reference station, a venue-common component representing residual variation shared across the venue, and subtract that component from the residual time-series of each candidate station; evaluate a time-lagged coupling statistic between the corrected residual time-series of pairs of candidate stations, over a set of lags the shortest of which is not less than twice the said timing tolerance; indicate coordinated malpractice in respect of a pair when the said statistic satisfies a predetermined coordination condition; and indicate an isolated individual anomaly when an elevated residual at one candidate station is unaccompanied by a coupling, satisfying that condition, to any other candidate station.</w:t>
      </w:r>
    </w:p>
    <w:p>
      <w:pPr>
        <w:spacing w:after="140" w:line="274" w:lineRule="auto"/>
        <w:jc w:val="both"/>
      </w:pPr>
      <w:r>
        <w:rPr>
          <w:rFonts w:ascii="Times New Roman" w:hAnsi="Times New Roman" w:cs="Times New Roman"/>
          <w:b/>
          <w:i w:val="0"/>
          <w:sz w:val="22"/>
        </w:rPr>
        <w:t xml:space="preserve">Claim 12. </w:t>
      </w:r>
      <w:r>
        <w:rPr>
          <w:rFonts w:ascii="Times New Roman" w:hAnsi="Times New Roman" w:cs="Times New Roman"/>
          <w:b w:val="0"/>
          <w:i w:val="0"/>
          <w:sz w:val="22"/>
        </w:rPr>
        <w:t>The installation of Claim 11, wherein the venue-common component is a median taken across the residual time-series of the said candidate stations and of the said reference station at each sampling instant.</w:t>
      </w:r>
    </w:p>
    <w:p>
      <w:pPr>
        <w:spacing w:after="140" w:line="274" w:lineRule="auto"/>
        <w:jc w:val="both"/>
      </w:pPr>
      <w:r>
        <w:rPr>
          <w:rFonts w:ascii="Times New Roman" w:hAnsi="Times New Roman" w:cs="Times New Roman"/>
          <w:b/>
          <w:i w:val="0"/>
          <w:sz w:val="22"/>
        </w:rPr>
        <w:t xml:space="preserve">Claim 13. </w:t>
      </w:r>
      <w:r>
        <w:rPr>
          <w:rFonts w:ascii="Times New Roman" w:hAnsi="Times New Roman" w:cs="Times New Roman"/>
          <w:b w:val="0"/>
          <w:i w:val="0"/>
          <w:sz w:val="22"/>
        </w:rPr>
        <w:t>The installation of Claim 11, wherein the sensing assembly of the reference station is identical in construction and configuration to that of the candidate stations, and wherein two or more such reference stations are disposed at spaced positions within the venue.</w:t>
      </w:r>
    </w:p>
    <w:p>
      <w:pPr>
        <w:spacing w:after="140" w:line="274" w:lineRule="auto"/>
        <w:jc w:val="both"/>
      </w:pPr>
      <w:r>
        <w:rPr>
          <w:rFonts w:ascii="Times New Roman" w:hAnsi="Times New Roman" w:cs="Times New Roman"/>
          <w:b/>
          <w:i w:val="0"/>
          <w:sz w:val="22"/>
        </w:rPr>
        <w:t xml:space="preserve">Claim 14. </w:t>
      </w:r>
      <w:r>
        <w:rPr>
          <w:rFonts w:ascii="Times New Roman" w:hAnsi="Times New Roman" w:cs="Times New Roman"/>
          <w:b w:val="0"/>
          <w:i w:val="0"/>
          <w:sz w:val="22"/>
        </w:rPr>
        <w:t>The installation of Claim 11, wherein the said timing tolerance does not exceed one half of the shortest lag at which the coupling statistic is evaluated.</w:t>
      </w:r>
    </w:p>
    <w:p>
      <w:pPr>
        <w:spacing w:after="140" w:line="274" w:lineRule="auto"/>
        <w:jc w:val="both"/>
      </w:pPr>
      <w:r>
        <w:rPr>
          <w:rFonts w:ascii="Times New Roman" w:hAnsi="Times New Roman" w:cs="Times New Roman"/>
          <w:b/>
          <w:i w:val="0"/>
          <w:sz w:val="22"/>
        </w:rPr>
        <w:t xml:space="preserve">Claim 15. </w:t>
      </w:r>
      <w:r>
        <w:rPr>
          <w:rFonts w:ascii="Times New Roman" w:hAnsi="Times New Roman" w:cs="Times New Roman"/>
          <w:b w:val="0"/>
          <w:i w:val="0"/>
          <w:sz w:val="22"/>
        </w:rPr>
        <w:t>The installation of Claim 11, wherein the coupling statistic is computed separately for each of a plurality of sensing modalities and thereafter combined, the contribution of each modality being weighted according to statistics of its residual over the sanctioned calibration interval.</w:t>
      </w:r>
    </w:p>
    <w:p>
      <w:pPr>
        <w:spacing w:after="140" w:line="274" w:lineRule="auto"/>
        <w:jc w:val="both"/>
      </w:pPr>
      <w:r>
        <w:rPr>
          <w:rFonts w:ascii="Times New Roman" w:hAnsi="Times New Roman" w:cs="Times New Roman"/>
          <w:b/>
          <w:i w:val="0"/>
          <w:sz w:val="22"/>
        </w:rPr>
        <w:t xml:space="preserve">Claim 16. </w:t>
      </w:r>
      <w:r>
        <w:rPr>
          <w:rFonts w:ascii="Times New Roman" w:hAnsi="Times New Roman" w:cs="Times New Roman"/>
          <w:b w:val="0"/>
          <w:i w:val="0"/>
          <w:sz w:val="22"/>
        </w:rPr>
        <w:t>The installation of Claim 11, wherein coupling statistics computed across the plurality of candidate stations are assembled into a graph in which candidate stations constitute nodes and station pairs satisfying the coordination condition constitute edges, and wherein connected components of that graph identify collusion groups comprising more than two candidates.</w:t>
      </w:r>
    </w:p>
    <w:p>
      <w:pPr>
        <w:spacing w:after="140" w:line="274" w:lineRule="auto"/>
        <w:jc w:val="both"/>
      </w:pPr>
      <w:r>
        <w:rPr>
          <w:rFonts w:ascii="Times New Roman" w:hAnsi="Times New Roman" w:cs="Times New Roman"/>
          <w:b/>
          <w:i w:val="0"/>
          <w:sz w:val="22"/>
        </w:rPr>
        <w:t xml:space="preserve">Claim 17 (independent). </w:t>
      </w:r>
      <w:r>
        <w:rPr>
          <w:rFonts w:ascii="Times New Roman" w:hAnsi="Times New Roman" w:cs="Times New Roman"/>
          <w:b w:val="0"/>
          <w:i w:val="0"/>
          <w:sz w:val="22"/>
        </w:rPr>
        <w:t>A system for distinguishing coordinated malpractice from coincidental anomaly at a monitored venue, comprising a plurality of monitored stations each associated with a sensing assembly comprising at least two transducers of different physical modality, and a processing arrangement configured to: generate, for each station, a prediction-residual time-series by means of a predictive model and standardisation statistics established separately for that station from an interval of sanctioned activity at that station; subtract from the residual time-series of each station a venue-common component derived from the residual time-series of a plurality of the said stations; establish, for each pair of stations and during an interval of the session in which activity is sanctioned, a baseline value of a time-lagged coupling statistic between the corrected residual time-series of that pair; evaluate the said coupling statistic for that pair during a subsequent interval of the session; and indicate coordinated malpractice in respect of a pair only when the coupling statistic for that pair exceeds the baseline value established for that same pair by a predetermined margin, on each of at least a predetermined number of separate occasions within the session.</w:t>
      </w:r>
    </w:p>
    <w:p>
      <w:pPr>
        <w:spacing w:after="140" w:line="274" w:lineRule="auto"/>
        <w:jc w:val="both"/>
      </w:pPr>
      <w:r>
        <w:rPr>
          <w:rFonts w:ascii="Times New Roman" w:hAnsi="Times New Roman" w:cs="Times New Roman"/>
          <w:b/>
          <w:i w:val="0"/>
          <w:sz w:val="22"/>
        </w:rPr>
        <w:t xml:space="preserve">Claim 18. </w:t>
      </w:r>
      <w:r>
        <w:rPr>
          <w:rFonts w:ascii="Times New Roman" w:hAnsi="Times New Roman" w:cs="Times New Roman"/>
          <w:b w:val="0"/>
          <w:i w:val="0"/>
          <w:sz w:val="22"/>
        </w:rPr>
        <w:t>The system of Claim 17, wherein the said predetermined number of separate occasions is not fewer than twenty.</w:t>
      </w:r>
    </w:p>
    <w:p>
      <w:pPr>
        <w:spacing w:after="140" w:line="274" w:lineRule="auto"/>
        <w:jc w:val="both"/>
      </w:pPr>
      <w:r>
        <w:rPr>
          <w:rFonts w:ascii="Times New Roman" w:hAnsi="Times New Roman" w:cs="Times New Roman"/>
          <w:b/>
          <w:i w:val="0"/>
          <w:sz w:val="22"/>
        </w:rPr>
        <w:t xml:space="preserve">Claim 19 (independent). </w:t>
      </w:r>
      <w:r>
        <w:rPr>
          <w:rFonts w:ascii="Times New Roman" w:hAnsi="Times New Roman" w:cs="Times New Roman"/>
          <w:b w:val="0"/>
          <w:i w:val="0"/>
          <w:sz w:val="22"/>
        </w:rPr>
        <w:t>An examination-venue integrity installation, comprising: a plurality of candidate stations, each carrying a sensing assembly comprising at least one acoustic transducer and at least one further transducer of a different physical modality, the said sensing assembly being operable in a first acquisition state and in a second acquisition state; at least one reference station carrying a sensing assembly of like construction and held unoccupied within the venue throughout a monitored session; and a processing arrangement configured to derive, for each said station, a prediction-residual time-series by means of a predictive model and standardisation statistics established at that station; to subtract from the residual time-series of each candidate station a venue-common component formed using at least the residual time-series of the said reference station; to evaluate a time-lagged coupling statistic between the corrected residual time-series of pairs of candidate stations; and, upon the coupling statistic for a pair satisfying a predetermined coordination condition, to switch the sensing assemblies of the two candidate stations of that pair, and of no other candidate station, from the first acquisition state into the second acquisition state for a bounded interval.</w:t>
      </w:r>
    </w:p>
    <w:p>
      <w:pPr>
        <w:spacing w:after="140" w:line="274" w:lineRule="auto"/>
        <w:jc w:val="both"/>
      </w:pPr>
      <w:r>
        <w:rPr>
          <w:rFonts w:ascii="Times New Roman" w:hAnsi="Times New Roman" w:cs="Times New Roman"/>
          <w:b/>
          <w:i w:val="0"/>
          <w:sz w:val="22"/>
        </w:rPr>
        <w:t xml:space="preserve">Claim 20. </w:t>
      </w:r>
      <w:r>
        <w:rPr>
          <w:rFonts w:ascii="Times New Roman" w:hAnsi="Times New Roman" w:cs="Times New Roman"/>
          <w:b w:val="0"/>
          <w:i w:val="0"/>
          <w:sz w:val="22"/>
        </w:rPr>
        <w:t>The installation of Claim 19, wherein the second acquisition state differs from the first in at least one of: the sampling rate of at least one transducer; the number of transducers enabled; and the directional selectivity of acquisition.</w:t>
      </w:r>
    </w:p>
    <w:p>
      <w:pPr>
        <w:spacing w:after="140" w:line="274" w:lineRule="auto"/>
        <w:jc w:val="both"/>
      </w:pPr>
      <w:r>
        <w:rPr>
          <w:rFonts w:ascii="Times New Roman" w:hAnsi="Times New Roman" w:cs="Times New Roman"/>
          <w:b/>
          <w:i w:val="0"/>
          <w:sz w:val="22"/>
        </w:rPr>
        <w:t xml:space="preserve">Claim 21. </w:t>
      </w:r>
      <w:r>
        <w:rPr>
          <w:rFonts w:ascii="Times New Roman" w:hAnsi="Times New Roman" w:cs="Times New Roman"/>
          <w:b w:val="0"/>
          <w:i w:val="0"/>
          <w:sz w:val="22"/>
        </w:rPr>
        <w:t>The installation of Claim 19, wherein the said bounded interval does not exceed a predetermined maximum, and wherein upon its expiry the sensing assemblies of the said two candidate stations revert to the first acquisition state unless the coordination condition is again satisfied in respect of that pair.</w:t>
      </w:r>
    </w:p>
    <w:p>
      <w:pPr>
        <w:spacing w:after="140" w:line="274" w:lineRule="auto"/>
        <w:jc w:val="both"/>
      </w:pPr>
      <w:r>
        <w:rPr>
          <w:rFonts w:ascii="Times New Roman" w:hAnsi="Times New Roman" w:cs="Times New Roman"/>
          <w:b/>
          <w:i w:val="0"/>
          <w:sz w:val="22"/>
        </w:rPr>
        <w:t xml:space="preserve">Claim 22. </w:t>
      </w:r>
      <w:r>
        <w:rPr>
          <w:rFonts w:ascii="Times New Roman" w:hAnsi="Times New Roman" w:cs="Times New Roman"/>
          <w:b w:val="0"/>
          <w:i w:val="0"/>
          <w:sz w:val="22"/>
        </w:rPr>
        <w:t>The installation of Claim 19, wherein the output of the acoustic transducer of each sensing assembly is band-limited and rectified to an envelope prior to digitisation, and wherein only order statistics of that envelope over each reporting window are retained and transmitted, whereby the retained representation is not invertible to the acoustic waveform from which it was derived.</w:t>
      </w:r>
    </w:p>
    <w:p>
      <w:pPr>
        <w:keepNext/>
        <w:spacing w:before="220" w:after="80"/>
        <w:outlineLvl w:val="1"/>
      </w:pPr>
      <w:r>
        <w:rPr>
          <w:rFonts w:ascii="Times New Roman" w:hAnsi="Times New Roman" w:cs="Times New Roman"/>
          <w:b/>
          <w:i w:val="0"/>
          <w:sz w:val="23"/>
        </w:rPr>
        <w:t>C. Method claims</w:t>
      </w:r>
    </w:p>
    <w:p>
      <w:pPr>
        <w:spacing w:after="140" w:line="274" w:lineRule="auto"/>
        <w:jc w:val="both"/>
      </w:pPr>
      <w:r>
        <w:rPr>
          <w:rFonts w:ascii="Times New Roman" w:hAnsi="Times New Roman" w:cs="Times New Roman"/>
          <w:b/>
          <w:i w:val="0"/>
          <w:sz w:val="22"/>
        </w:rPr>
        <w:t xml:space="preserve">Claim 23 (independent). </w:t>
      </w:r>
      <w:r>
        <w:rPr>
          <w:rFonts w:ascii="Times New Roman" w:hAnsi="Times New Roman" w:cs="Times New Roman"/>
          <w:b w:val="0"/>
          <w:i w:val="0"/>
          <w:sz w:val="22"/>
        </w:rPr>
        <w:t>A method for label-free detection of malpractice at a monitored assessment station, comprising: acquiring one or more sensor signal streams from a sensing assembly mechanically carried by that station; forming, from each said stream, context windows of predetermined duration; generating, by a predictive model trained exclusively on signal streams recorded during sanctioned activity at that station and containing no labelled instance of malpractice, a predicted change of the stream over a prediction horizon of predetermined duration for each context window; computing a prediction residual between the predicted change and the observed change; establishing standardisation statistics at that station from an initial sanctioned interval of the monitored session and standardising the residual against them; deriving an integrity-violation score from the standardised residual; and issuing an alert when the said score satisfies a predetermined alert condition; wherein no labelled example of malpractice is employed at any stage of the method, including the training of the said model.</w:t>
      </w:r>
    </w:p>
    <w:p>
      <w:pPr>
        <w:spacing w:after="140" w:line="274" w:lineRule="auto"/>
        <w:jc w:val="both"/>
      </w:pPr>
      <w:r>
        <w:rPr>
          <w:rFonts w:ascii="Times New Roman" w:hAnsi="Times New Roman" w:cs="Times New Roman"/>
          <w:b/>
          <w:i w:val="0"/>
          <w:sz w:val="22"/>
        </w:rPr>
        <w:t xml:space="preserve">Claim 24 (independent). </w:t>
      </w:r>
      <w:r>
        <w:rPr>
          <w:rFonts w:ascii="Times New Roman" w:hAnsi="Times New Roman" w:cs="Times New Roman"/>
          <w:b w:val="0"/>
          <w:i w:val="0"/>
          <w:sz w:val="22"/>
        </w:rPr>
        <w:t>A method of distinguishing coordinated malpractice from coincidental anomaly at a monitored venue having a plurality of instrumented candidate stations and at least one station instrumented in like manner and held unoccupied, the method comprising: establishing at each said station, from an interval of sanctioned activity at that station, a predictive model and standardisation statistics for that station; generating at each said station a standardised prediction-residual time-series; forming a venue-common component from the residual time-series of a plurality of the candidate stations and of the said unoccupied station, and subtracting it from the residual time-series of each candidate station; evaluating a time-lagged coupling statistic between the corrected residual time-series of pairs of candidate stations, over lags exceeding the timing tolerance to which the said stations are synchronised; attributing an elevated residual at a single candidate station, unaccompanied by coupling to any other candidate station, to an individual anomaly; and attributing coupling between a pair of candidate stations, persisting over a plurality of separate occasions and exceeding a baseline value of the same statistic measured on that same pair during sanctioned activity, to coordination between the candidates at those stations.</w:t>
      </w:r>
    </w:p>
    <w:p>
      <w:pPr>
        <w:spacing w:after="140" w:line="274" w:lineRule="auto"/>
        <w:jc w:val="both"/>
      </w:pPr>
      <w:r>
        <w:rPr>
          <w:rFonts w:ascii="Times New Roman" w:hAnsi="Times New Roman" w:cs="Times New Roman"/>
          <w:b/>
          <w:i w:val="0"/>
          <w:sz w:val="22"/>
        </w:rPr>
        <w:t xml:space="preserve">Claim 25. </w:t>
      </w:r>
      <w:r>
        <w:rPr>
          <w:rFonts w:ascii="Times New Roman" w:hAnsi="Times New Roman" w:cs="Times New Roman"/>
          <w:b w:val="0"/>
          <w:i w:val="0"/>
          <w:sz w:val="22"/>
        </w:rPr>
        <w:t>The method of Claim 23, wherein the predictive model comprises an encoder and a predictor trained jointly under an objective comprising a prediction-error term and a variance-and-covariance regularisation term applied to the embedding.</w:t>
      </w:r>
    </w:p>
    <w:p>
      <w:pPr>
        <w:spacing w:after="140" w:line="274" w:lineRule="auto"/>
        <w:jc w:val="both"/>
      </w:pPr>
      <w:r>
        <w:rPr>
          <w:rFonts w:ascii="Times New Roman" w:hAnsi="Times New Roman" w:cs="Times New Roman"/>
          <w:b/>
          <w:i w:val="0"/>
          <w:sz w:val="22"/>
        </w:rPr>
        <w:t xml:space="preserve">Claim 26. </w:t>
      </w:r>
      <w:r>
        <w:rPr>
          <w:rFonts w:ascii="Times New Roman" w:hAnsi="Times New Roman" w:cs="Times New Roman"/>
          <w:b w:val="0"/>
          <w:i w:val="0"/>
          <w:sz w:val="22"/>
        </w:rPr>
        <w:t>The method of Claim 23, further comprising aggregating the integrity-violation score over the whole of the monitored session for each of a plurality of stations, ranking the stations by aggregated score, and referring a predetermined number of highest-ranked stations for human inspection.</w:t>
      </w:r>
    </w:p>
    <w:p>
      <w:pPr>
        <w:keepNext/>
        <w:spacing w:before="220" w:after="80"/>
        <w:outlineLvl w:val="1"/>
      </w:pPr>
      <w:r>
        <w:rPr>
          <w:rFonts w:ascii="Times New Roman" w:hAnsi="Times New Roman" w:cs="Times New Roman"/>
          <w:b/>
          <w:i w:val="0"/>
          <w:sz w:val="23"/>
        </w:rPr>
        <w:t>D. Deployment and application claims</w:t>
      </w:r>
    </w:p>
    <w:p>
      <w:pPr>
        <w:spacing w:after="140" w:line="274" w:lineRule="auto"/>
        <w:jc w:val="both"/>
      </w:pPr>
      <w:r>
        <w:rPr>
          <w:rFonts w:ascii="Times New Roman" w:hAnsi="Times New Roman" w:cs="Times New Roman"/>
          <w:b/>
          <w:i w:val="0"/>
          <w:sz w:val="22"/>
        </w:rPr>
        <w:t xml:space="preserve">Claim 27. </w:t>
      </w:r>
      <w:r>
        <w:rPr>
          <w:rFonts w:ascii="Times New Roman" w:hAnsi="Times New Roman" w:cs="Times New Roman"/>
          <w:b w:val="0"/>
          <w:i w:val="0"/>
          <w:sz w:val="22"/>
        </w:rPr>
        <w:t>The installation of Claim 11, wherein the said processing arrangement is embodied at an edge processing unit located at each station, at a venue-local aggregation server receiving derived features from a plurality of stations, at a remote server, or in any combination thereof; and wherein raw acoustic, optical and radio signals are reduced to derived features at the point of acquisition such that only derived features or residual values are transmitted beyond the venue.</w:t>
      </w:r>
    </w:p>
    <w:p>
      <w:pPr>
        <w:spacing w:after="140" w:line="274" w:lineRule="auto"/>
        <w:jc w:val="both"/>
      </w:pPr>
      <w:r>
        <w:rPr>
          <w:rFonts w:ascii="Times New Roman" w:hAnsi="Times New Roman" w:cs="Times New Roman"/>
          <w:b/>
          <w:i w:val="0"/>
          <w:sz w:val="22"/>
        </w:rPr>
        <w:t xml:space="preserve">Claim 28. </w:t>
      </w:r>
      <w:r>
        <w:rPr>
          <w:rFonts w:ascii="Times New Roman" w:hAnsi="Times New Roman" w:cs="Times New Roman"/>
          <w:b w:val="0"/>
          <w:i w:val="0"/>
          <w:sz w:val="22"/>
        </w:rPr>
        <w:t>The installation of Claim 11, deployed in an examination hall, a professional certification or licensing test centre, a secure interview or vetting room, a recruitment or aptitude testing facility, a defence or public-service selection examination, a controlled-access screening area, or a multi-seat remote-proctoring installation.</w:t>
      </w:r>
    </w:p>
    <w:p>
      <w:pPr>
        <w:spacing w:after="140" w:line="274" w:lineRule="auto"/>
        <w:jc w:val="both"/>
      </w:pPr>
      <w:r>
        <w:rPr>
          <w:rFonts w:ascii="Times New Roman" w:hAnsi="Times New Roman" w:cs="Times New Roman"/>
          <w:b/>
          <w:i w:val="0"/>
          <w:sz w:val="22"/>
        </w:rPr>
        <w:t xml:space="preserve">Claim 29. </w:t>
      </w:r>
      <w:r>
        <w:rPr>
          <w:rFonts w:ascii="Times New Roman" w:hAnsi="Times New Roman" w:cs="Times New Roman"/>
          <w:b w:val="0"/>
          <w:i w:val="0"/>
          <w:sz w:val="22"/>
        </w:rPr>
        <w:t>The method of Claim 24, performed in any environment recited in Claim 28.</w:t>
      </w:r>
    </w:p>
    <w:p>
      <w:pPr>
        <w:spacing w:before="160" w:after="40"/>
        <w:jc w:val="center"/>
      </w:pPr>
      <w:r>
        <w:drawing>
          <wp:inline xmlns:a="http://schemas.openxmlformats.org/drawingml/2006/main" xmlns:pic="http://schemas.openxmlformats.org/drawingml/2006/picture">
            <wp:extent cx="5943600" cy="3223076"/>
            <wp:docPr id="12" name="Picture 12"/>
            <wp:cNvGraphicFramePr>
              <a:graphicFrameLocks noChangeAspect="1"/>
            </wp:cNvGraphicFramePr>
            <a:graphic>
              <a:graphicData uri="http://schemas.openxmlformats.org/drawingml/2006/picture">
                <pic:pic>
                  <pic:nvPicPr>
                    <pic:cNvPr id="0" name="fig11.png"/>
                    <pic:cNvPicPr/>
                  </pic:nvPicPr>
                  <pic:blipFill>
                    <a:blip r:embed="rId22"/>
                    <a:stretch>
                      <a:fillRect/>
                    </a:stretch>
                  </pic:blipFill>
                  <pic:spPr>
                    <a:xfrm>
                      <a:off x="0" y="0"/>
                      <a:ext cx="5943600" cy="3223076"/>
                    </a:xfrm>
                    <a:prstGeom prst="rect"/>
                  </pic:spPr>
                </pic:pic>
              </a:graphicData>
            </a:graphic>
          </wp:inline>
        </w:drawing>
      </w:r>
    </w:p>
    <w:p>
      <w:pPr>
        <w:spacing w:before="80" w:after="240"/>
        <w:jc w:val="center"/>
      </w:pPr>
      <w:r>
        <w:rPr>
          <w:rFonts w:ascii="Arial" w:hAnsi="Arial" w:cs="Arial"/>
          <w:b/>
          <w:i w:val="0"/>
          <w:sz w:val="19"/>
        </w:rPr>
        <w:t>Figure 11.</w:t>
      </w:r>
      <w:r>
        <w:rPr>
          <w:rFonts w:ascii="Arial" w:hAnsi="Arial" w:cs="Arial"/>
          <w:b w:val="0"/>
          <w:i w:val="0"/>
          <w:sz w:val="19"/>
        </w:rPr>
        <w:t xml:space="preserve"> Claim dependency map. Four groups of apparatus claims with their dependents, together with the method and deployment claims; the annotation beneath each group records how strong the inventor takes that group to be.</w:t>
      </w:r>
    </w:p>
    <w:p>
      <w:pPr>
        <w:spacing w:after="140" w:line="274" w:lineRule="auto"/>
        <w:jc w:val="both"/>
      </w:pPr>
      <w:r>
        <w:rPr>
          <w:rFonts w:ascii="Times New Roman" w:hAnsi="Times New Roman" w:cs="Times New Roman"/>
          <w:b/>
          <w:i w:val="0"/>
          <w:sz w:val="22"/>
        </w:rPr>
        <w:t xml:space="preserve">Note on scope. </w:t>
      </w:r>
      <w:r>
        <w:rPr>
          <w:rFonts w:ascii="Times New Roman" w:hAnsi="Times New Roman" w:cs="Times New Roman"/>
          <w:b w:val="0"/>
          <w:i w:val="0"/>
          <w:sz w:val="22"/>
        </w:rPr>
        <w:t>The embodiment described at Section 7.1(h) — training against corrupted or temporally shuffled futures as explicit negative examples — is deliberately excluded from the claim set above, as it has not been reduced to practice. It is nevertheless disclosed in the specification so that priority is preserved should it be claimed in a later continuation or subsequent application.</w:t>
      </w:r>
    </w:p>
    <w:p>
      <w:pPr>
        <w:keepNext/>
        <w:spacing w:before="320" w:after="120"/>
        <w:outlineLvl w:val="0"/>
      </w:pPr>
      <w:r>
        <w:rPr>
          <w:rFonts w:ascii="Times New Roman" w:hAnsi="Times New Roman" w:cs="Times New Roman"/>
          <w:b/>
          <w:i w:val="0"/>
          <w:sz w:val="26"/>
        </w:rPr>
        <w:t>11. Technology Readiness Level (TRL)</w:t>
      </w:r>
    </w:p>
    <w:p>
      <w:pPr>
        <w:spacing w:after="140" w:line="274" w:lineRule="auto"/>
        <w:jc w:val="both"/>
      </w:pPr>
      <w:r>
        <w:rPr>
          <w:rFonts w:ascii="Times New Roman" w:hAnsi="Times New Roman" w:cs="Times New Roman"/>
          <w:b w:val="0"/>
          <w:i w:val="0"/>
          <w:sz w:val="22"/>
        </w:rPr>
        <w:t>The invention has been formulated as a specific architecture at Sections 6 and 7, validated as a self-supervised method on a parametric simulation of station-level signals at Section 8.1, and validated as a signal-processing arrangement on a public corpus of real multi-node sensor recordings at Section 8.2. No physical prototype has been constructed and no laboratory trial on the transducers of this invention has been performed; the hardware embodiment and the bench programme that would constitute such a trial are specified prospectively at Section 9. Readiness is therefore assessed at TRL 3, experimental proof of concept, as marked below. The measurements of Section 8.2 do not by themselves confer TRL 4: they validated the arrangement on a corpus of the right shape and the wrong physics, with no acoustic transducer, no electromagnetic sensing, no desk and no candidate involved. Successful completion of tests B1 to B8 would support an assessment of TRL 4, and no higher.</w:t>
      </w:r>
    </w:p>
    <w:tbl>
      <w:tblPr>
        <w:tblStyle w:val="TableGrid"/>
        <w:tblW w:type="auto" w:w="0"/>
        <w:jc w:val="center"/>
        <w:tblLayout w:type="fixed"/>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08"/>
          </w:tcPr>
          <w:p>
            <w:pPr>
              <w:spacing w:after="40"/>
              <w:jc w:val="center"/>
            </w:pPr>
            <w:r/>
            <w:r>
              <w:rPr>
                <w:rFonts w:ascii="Times New Roman" w:hAnsi="Times New Roman" w:cs="Times New Roman"/>
                <w:b/>
                <w:i w:val="0"/>
                <w:sz w:val="16"/>
              </w:rPr>
              <w:t>Research</w:t>
            </w:r>
          </w:p>
        </w:tc>
        <w:tc>
          <w:tcPr>
            <w:tcW w:type="dxa" w:w="1008"/>
          </w:tcPr>
          <w:p>
            <w:pPr>
              <w:spacing w:after="40"/>
              <w:jc w:val="center"/>
            </w:pPr>
            <w:r/>
            <w:r>
              <w:rPr>
                <w:rFonts w:ascii="Times New Roman" w:hAnsi="Times New Roman" w:cs="Times New Roman"/>
                <w:b/>
                <w:i w:val="0"/>
                <w:sz w:val="16"/>
              </w:rPr>
              <w:t>Research</w:t>
            </w:r>
          </w:p>
        </w:tc>
        <w:tc>
          <w:tcPr>
            <w:tcW w:type="dxa" w:w="1008"/>
          </w:tcPr>
          <w:p>
            <w:pPr>
              <w:spacing w:after="40"/>
              <w:jc w:val="center"/>
            </w:pPr>
            <w:r/>
            <w:r>
              <w:rPr>
                <w:rFonts w:ascii="Times New Roman" w:hAnsi="Times New Roman" w:cs="Times New Roman"/>
                <w:b/>
                <w:i w:val="0"/>
                <w:sz w:val="16"/>
              </w:rPr>
              <w:t>Research</w:t>
            </w:r>
          </w:p>
        </w:tc>
        <w:tc>
          <w:tcPr>
            <w:tcW w:type="dxa" w:w="1008"/>
          </w:tcPr>
          <w:p>
            <w:pPr>
              <w:spacing w:after="40"/>
              <w:jc w:val="center"/>
            </w:pPr>
            <w:r/>
            <w:r>
              <w:rPr>
                <w:rFonts w:ascii="Times New Roman" w:hAnsi="Times New Roman" w:cs="Times New Roman"/>
                <w:b/>
                <w:i w:val="0"/>
                <w:sz w:val="16"/>
              </w:rPr>
              <w:t>Development</w:t>
            </w:r>
          </w:p>
        </w:tc>
        <w:tc>
          <w:tcPr>
            <w:tcW w:type="dxa" w:w="1008"/>
          </w:tcPr>
          <w:p>
            <w:pPr>
              <w:spacing w:after="40"/>
              <w:jc w:val="center"/>
            </w:pPr>
            <w:r/>
            <w:r>
              <w:rPr>
                <w:rFonts w:ascii="Times New Roman" w:hAnsi="Times New Roman" w:cs="Times New Roman"/>
                <w:b/>
                <w:i w:val="0"/>
                <w:sz w:val="16"/>
              </w:rPr>
              <w:t>Development</w:t>
            </w:r>
          </w:p>
        </w:tc>
        <w:tc>
          <w:tcPr>
            <w:tcW w:type="dxa" w:w="1008"/>
          </w:tcPr>
          <w:p>
            <w:pPr>
              <w:spacing w:after="40"/>
              <w:jc w:val="center"/>
            </w:pPr>
            <w:r/>
            <w:r>
              <w:rPr>
                <w:rFonts w:ascii="Times New Roman" w:hAnsi="Times New Roman" w:cs="Times New Roman"/>
                <w:b/>
                <w:i w:val="0"/>
                <w:sz w:val="16"/>
              </w:rPr>
              <w:t>Development</w:t>
            </w:r>
          </w:p>
        </w:tc>
        <w:tc>
          <w:tcPr>
            <w:tcW w:type="dxa" w:w="1008"/>
          </w:tcPr>
          <w:p>
            <w:pPr>
              <w:spacing w:after="40"/>
              <w:jc w:val="center"/>
            </w:pPr>
            <w:r/>
            <w:r>
              <w:rPr>
                <w:rFonts w:ascii="Times New Roman" w:hAnsi="Times New Roman" w:cs="Times New Roman"/>
                <w:b/>
                <w:i w:val="0"/>
                <w:sz w:val="16"/>
              </w:rPr>
              <w:t>Deployment</w:t>
            </w:r>
          </w:p>
        </w:tc>
        <w:tc>
          <w:tcPr>
            <w:tcW w:type="dxa" w:w="1008"/>
          </w:tcPr>
          <w:p>
            <w:pPr>
              <w:spacing w:after="40"/>
              <w:jc w:val="center"/>
            </w:pPr>
            <w:r/>
            <w:r>
              <w:rPr>
                <w:rFonts w:ascii="Times New Roman" w:hAnsi="Times New Roman" w:cs="Times New Roman"/>
                <w:b/>
                <w:i w:val="0"/>
                <w:sz w:val="16"/>
              </w:rPr>
              <w:t>Deployment</w:t>
            </w:r>
          </w:p>
        </w:tc>
        <w:tc>
          <w:tcPr>
            <w:tcW w:type="dxa" w:w="1008"/>
          </w:tcPr>
          <w:p>
            <w:pPr>
              <w:spacing w:after="40"/>
              <w:jc w:val="center"/>
            </w:pPr>
            <w:r/>
            <w:r>
              <w:rPr>
                <w:rFonts w:ascii="Times New Roman" w:hAnsi="Times New Roman" w:cs="Times New Roman"/>
                <w:b/>
                <w:i w:val="0"/>
                <w:sz w:val="16"/>
              </w:rPr>
              <w:t>Deployment</w:t>
            </w:r>
          </w:p>
        </w:tc>
      </w:tr>
      <w:tr>
        <w:tc>
          <w:tcPr>
            <w:tcW w:type="dxa" w:w="1008"/>
          </w:tcPr>
          <w:p>
            <w:pPr>
              <w:spacing w:after="40"/>
              <w:jc w:val="center"/>
            </w:pPr>
            <w:r/>
            <w:r>
              <w:rPr>
                <w:rFonts w:ascii="Times New Roman" w:hAnsi="Times New Roman" w:cs="Times New Roman"/>
                <w:b/>
                <w:i w:val="0"/>
                <w:sz w:val="16"/>
              </w:rPr>
              <w:t>TRL 1</w:t>
            </w:r>
          </w:p>
        </w:tc>
        <w:tc>
          <w:tcPr>
            <w:tcW w:type="dxa" w:w="1008"/>
          </w:tcPr>
          <w:p>
            <w:pPr>
              <w:spacing w:after="40"/>
              <w:jc w:val="center"/>
            </w:pPr>
            <w:r/>
            <w:r>
              <w:rPr>
                <w:rFonts w:ascii="Times New Roman" w:hAnsi="Times New Roman" w:cs="Times New Roman"/>
                <w:b/>
                <w:i w:val="0"/>
                <w:sz w:val="16"/>
              </w:rPr>
              <w:t>TRL 2</w:t>
            </w:r>
          </w:p>
        </w:tc>
        <w:tc>
          <w:tcPr>
            <w:tcW w:type="dxa" w:w="1008"/>
          </w:tcPr>
          <w:p>
            <w:pPr>
              <w:spacing w:after="40"/>
              <w:jc w:val="center"/>
            </w:pPr>
            <w:r/>
            <w:r>
              <w:rPr>
                <w:rFonts w:ascii="Times New Roman" w:hAnsi="Times New Roman" w:cs="Times New Roman"/>
                <w:b/>
                <w:i w:val="0"/>
                <w:sz w:val="16"/>
              </w:rPr>
              <w:t>TRL 3</w:t>
            </w:r>
          </w:p>
        </w:tc>
        <w:tc>
          <w:tcPr>
            <w:tcW w:type="dxa" w:w="1008"/>
          </w:tcPr>
          <w:p>
            <w:pPr>
              <w:spacing w:after="40"/>
              <w:jc w:val="center"/>
            </w:pPr>
            <w:r/>
            <w:r>
              <w:rPr>
                <w:rFonts w:ascii="Times New Roman" w:hAnsi="Times New Roman" w:cs="Times New Roman"/>
                <w:b/>
                <w:i w:val="0"/>
                <w:sz w:val="16"/>
              </w:rPr>
              <w:t>TRL 4</w:t>
            </w:r>
          </w:p>
        </w:tc>
        <w:tc>
          <w:tcPr>
            <w:tcW w:type="dxa" w:w="1008"/>
          </w:tcPr>
          <w:p>
            <w:pPr>
              <w:spacing w:after="40"/>
              <w:jc w:val="center"/>
            </w:pPr>
            <w:r/>
            <w:r>
              <w:rPr>
                <w:rFonts w:ascii="Times New Roman" w:hAnsi="Times New Roman" w:cs="Times New Roman"/>
                <w:b/>
                <w:i w:val="0"/>
                <w:sz w:val="16"/>
              </w:rPr>
              <w:t>TRL 5</w:t>
            </w:r>
          </w:p>
        </w:tc>
        <w:tc>
          <w:tcPr>
            <w:tcW w:type="dxa" w:w="1008"/>
          </w:tcPr>
          <w:p>
            <w:pPr>
              <w:spacing w:after="40"/>
              <w:jc w:val="center"/>
            </w:pPr>
            <w:r/>
            <w:r>
              <w:rPr>
                <w:rFonts w:ascii="Times New Roman" w:hAnsi="Times New Roman" w:cs="Times New Roman"/>
                <w:b/>
                <w:i w:val="0"/>
                <w:sz w:val="16"/>
              </w:rPr>
              <w:t>TRL 6</w:t>
            </w:r>
          </w:p>
        </w:tc>
        <w:tc>
          <w:tcPr>
            <w:tcW w:type="dxa" w:w="1008"/>
          </w:tcPr>
          <w:p>
            <w:pPr>
              <w:spacing w:after="40"/>
              <w:jc w:val="center"/>
            </w:pPr>
            <w:r/>
            <w:r>
              <w:rPr>
                <w:rFonts w:ascii="Times New Roman" w:hAnsi="Times New Roman" w:cs="Times New Roman"/>
                <w:b/>
                <w:i w:val="0"/>
                <w:sz w:val="16"/>
              </w:rPr>
              <w:t>TRL 7</w:t>
            </w:r>
          </w:p>
        </w:tc>
        <w:tc>
          <w:tcPr>
            <w:tcW w:type="dxa" w:w="1008"/>
          </w:tcPr>
          <w:p>
            <w:pPr>
              <w:spacing w:after="40"/>
              <w:jc w:val="center"/>
            </w:pPr>
            <w:r/>
            <w:r>
              <w:rPr>
                <w:rFonts w:ascii="Times New Roman" w:hAnsi="Times New Roman" w:cs="Times New Roman"/>
                <w:b/>
                <w:i w:val="0"/>
                <w:sz w:val="16"/>
              </w:rPr>
              <w:t>TRL 8</w:t>
            </w:r>
          </w:p>
        </w:tc>
        <w:tc>
          <w:tcPr>
            <w:tcW w:type="dxa" w:w="1008"/>
          </w:tcPr>
          <w:p>
            <w:pPr>
              <w:spacing w:after="40"/>
              <w:jc w:val="center"/>
            </w:pPr>
            <w:r/>
            <w:r>
              <w:rPr>
                <w:rFonts w:ascii="Times New Roman" w:hAnsi="Times New Roman" w:cs="Times New Roman"/>
                <w:b/>
                <w:i w:val="0"/>
                <w:sz w:val="16"/>
              </w:rPr>
              <w:t>TRL 9</w:t>
            </w:r>
          </w:p>
        </w:tc>
      </w:tr>
      <w:tr>
        <w:tc>
          <w:tcPr>
            <w:tcW w:type="dxa" w:w="1008"/>
          </w:tcPr>
          <w:p>
            <w:pPr>
              <w:spacing w:after="40"/>
              <w:jc w:val="center"/>
            </w:pPr>
            <w:r/>
            <w:r>
              <w:rPr>
                <w:rFonts w:ascii="Times New Roman" w:hAnsi="Times New Roman" w:cs="Times New Roman"/>
                <w:b w:val="0"/>
                <w:i w:val="0"/>
                <w:sz w:val="16"/>
              </w:rPr>
              <w:t>Basic principles observed</w:t>
            </w:r>
          </w:p>
        </w:tc>
        <w:tc>
          <w:tcPr>
            <w:tcW w:type="dxa" w:w="1008"/>
          </w:tcPr>
          <w:p>
            <w:pPr>
              <w:spacing w:after="40"/>
              <w:jc w:val="center"/>
            </w:pPr>
            <w:r/>
            <w:r>
              <w:rPr>
                <w:rFonts w:ascii="Times New Roman" w:hAnsi="Times New Roman" w:cs="Times New Roman"/>
                <w:b w:val="0"/>
                <w:i w:val="0"/>
                <w:sz w:val="16"/>
              </w:rPr>
              <w:t>Technology concept formulated</w:t>
            </w:r>
          </w:p>
        </w:tc>
        <w:tc>
          <w:tcPr>
            <w:tcW w:type="dxa" w:w="1008"/>
          </w:tcPr>
          <w:p>
            <w:pPr>
              <w:spacing w:after="40"/>
              <w:jc w:val="center"/>
            </w:pPr>
            <w:r/>
            <w:r>
              <w:rPr>
                <w:rFonts w:ascii="Times New Roman" w:hAnsi="Times New Roman" w:cs="Times New Roman"/>
                <w:b w:val="0"/>
                <w:i w:val="0"/>
                <w:sz w:val="16"/>
              </w:rPr>
              <w:t>Experimental proof of concept</w:t>
            </w:r>
          </w:p>
        </w:tc>
        <w:tc>
          <w:tcPr>
            <w:tcW w:type="dxa" w:w="1008"/>
          </w:tcPr>
          <w:p>
            <w:pPr>
              <w:spacing w:after="40"/>
              <w:jc w:val="center"/>
            </w:pPr>
            <w:r/>
            <w:r>
              <w:rPr>
                <w:rFonts w:ascii="Times New Roman" w:hAnsi="Times New Roman" w:cs="Times New Roman"/>
                <w:b w:val="0"/>
                <w:i w:val="0"/>
                <w:sz w:val="16"/>
              </w:rPr>
              <w:t>Technology validated in lab</w:t>
            </w:r>
          </w:p>
        </w:tc>
        <w:tc>
          <w:tcPr>
            <w:tcW w:type="dxa" w:w="1008"/>
          </w:tcPr>
          <w:p>
            <w:pPr>
              <w:spacing w:after="40"/>
              <w:jc w:val="center"/>
            </w:pPr>
            <w:r/>
            <w:r>
              <w:rPr>
                <w:rFonts w:ascii="Times New Roman" w:hAnsi="Times New Roman" w:cs="Times New Roman"/>
                <w:b w:val="0"/>
                <w:i w:val="0"/>
                <w:sz w:val="16"/>
              </w:rPr>
              <w:t>Validated in relevant environment</w:t>
            </w:r>
          </w:p>
        </w:tc>
        <w:tc>
          <w:tcPr>
            <w:tcW w:type="dxa" w:w="1008"/>
          </w:tcPr>
          <w:p>
            <w:pPr>
              <w:spacing w:after="40"/>
              <w:jc w:val="center"/>
            </w:pPr>
            <w:r/>
            <w:r>
              <w:rPr>
                <w:rFonts w:ascii="Times New Roman" w:hAnsi="Times New Roman" w:cs="Times New Roman"/>
                <w:b w:val="0"/>
                <w:i w:val="0"/>
                <w:sz w:val="16"/>
              </w:rPr>
              <w:t>Demonstrated in relevant environment</w:t>
            </w:r>
          </w:p>
        </w:tc>
        <w:tc>
          <w:tcPr>
            <w:tcW w:type="dxa" w:w="1008"/>
          </w:tcPr>
          <w:p>
            <w:pPr>
              <w:spacing w:after="40"/>
              <w:jc w:val="center"/>
            </w:pPr>
            <w:r/>
            <w:r>
              <w:rPr>
                <w:rFonts w:ascii="Times New Roman" w:hAnsi="Times New Roman" w:cs="Times New Roman"/>
                <w:b w:val="0"/>
                <w:i w:val="0"/>
                <w:sz w:val="16"/>
              </w:rPr>
              <w:t>Prototype in operational environment</w:t>
            </w:r>
          </w:p>
        </w:tc>
        <w:tc>
          <w:tcPr>
            <w:tcW w:type="dxa" w:w="1008"/>
          </w:tcPr>
          <w:p>
            <w:pPr>
              <w:spacing w:after="40"/>
              <w:jc w:val="center"/>
            </w:pPr>
            <w:r/>
            <w:r>
              <w:rPr>
                <w:rFonts w:ascii="Times New Roman" w:hAnsi="Times New Roman" w:cs="Times New Roman"/>
                <w:b w:val="0"/>
                <w:i w:val="0"/>
                <w:sz w:val="16"/>
              </w:rPr>
              <w:t>System complete and qualified</w:t>
            </w:r>
          </w:p>
        </w:tc>
        <w:tc>
          <w:tcPr>
            <w:tcW w:type="dxa" w:w="1008"/>
          </w:tcPr>
          <w:p>
            <w:pPr>
              <w:spacing w:after="40"/>
              <w:jc w:val="center"/>
            </w:pPr>
            <w:r/>
            <w:r>
              <w:rPr>
                <w:rFonts w:ascii="Times New Roman" w:hAnsi="Times New Roman" w:cs="Times New Roman"/>
                <w:b w:val="0"/>
                <w:i w:val="0"/>
                <w:sz w:val="16"/>
              </w:rPr>
              <w:t>Proven in operational environment</w:t>
            </w:r>
          </w:p>
        </w:tc>
      </w:tr>
      <w:tr>
        <w:tc>
          <w:tcPr>
            <w:tcW w:type="dxa" w:w="1008"/>
          </w:tcPr>
          <w:p>
            <w:pPr>
              <w:spacing w:after="40"/>
              <w:jc w:val="center"/>
            </w:pPr>
            <w:r/>
            <w:r>
              <w:rPr>
                <w:rFonts w:ascii="Times New Roman" w:hAnsi="Times New Roman" w:cs="Times New Roman"/>
                <w:b/>
                <w:i w:val="0"/>
                <w:sz w:val="16"/>
              </w:rPr>
              <w:t>✔</w:t>
            </w:r>
          </w:p>
        </w:tc>
        <w:tc>
          <w:tcPr>
            <w:tcW w:type="dxa" w:w="1008"/>
          </w:tcPr>
          <w:p>
            <w:pPr>
              <w:spacing w:after="40"/>
              <w:jc w:val="center"/>
            </w:pPr>
            <w:r/>
            <w:r>
              <w:rPr>
                <w:rFonts w:ascii="Times New Roman" w:hAnsi="Times New Roman" w:cs="Times New Roman"/>
                <w:b/>
                <w:i w:val="0"/>
                <w:sz w:val="16"/>
              </w:rPr>
              <w:t>✔</w:t>
            </w:r>
          </w:p>
        </w:tc>
        <w:tc>
          <w:tcPr>
            <w:tcW w:type="dxa" w:w="1008"/>
          </w:tcPr>
          <w:p>
            <w:pPr>
              <w:spacing w:after="40"/>
              <w:jc w:val="center"/>
            </w:pPr>
            <w:r/>
            <w:r>
              <w:rPr>
                <w:rFonts w:ascii="Times New Roman" w:hAnsi="Times New Roman" w:cs="Times New Roman"/>
                <w:b/>
                <w:i w:val="0"/>
                <w:sz w:val="16"/>
              </w:rPr>
              <w:t>✔</w:t>
            </w:r>
          </w:p>
        </w:tc>
        <w:tc>
          <w:tcPr>
            <w:tcW w:type="dxa" w:w="1008"/>
          </w:tcPr>
          <w:p>
            <w:pPr>
              <w:spacing w:after="40"/>
              <w:jc w:val="center"/>
            </w:pPr>
            <w:r/>
            <w:r>
              <w:rPr>
                <w:rFonts w:ascii="Times New Roman" w:hAnsi="Times New Roman" w:cs="Times New Roman"/>
                <w:b/>
                <w:i w:val="0"/>
                <w:sz w:val="16"/>
              </w:rPr>
            </w:r>
          </w:p>
        </w:tc>
        <w:tc>
          <w:tcPr>
            <w:tcW w:type="dxa" w:w="1008"/>
          </w:tcPr>
          <w:p>
            <w:pPr>
              <w:spacing w:after="40"/>
              <w:jc w:val="center"/>
            </w:pPr>
            <w:r/>
            <w:r>
              <w:rPr>
                <w:rFonts w:ascii="Times New Roman" w:hAnsi="Times New Roman" w:cs="Times New Roman"/>
                <w:b/>
                <w:i w:val="0"/>
                <w:sz w:val="16"/>
              </w:rPr>
            </w:r>
          </w:p>
        </w:tc>
        <w:tc>
          <w:tcPr>
            <w:tcW w:type="dxa" w:w="1008"/>
          </w:tcPr>
          <w:p>
            <w:pPr>
              <w:spacing w:after="40"/>
              <w:jc w:val="center"/>
            </w:pPr>
            <w:r/>
            <w:r>
              <w:rPr>
                <w:rFonts w:ascii="Times New Roman" w:hAnsi="Times New Roman" w:cs="Times New Roman"/>
                <w:b/>
                <w:i w:val="0"/>
                <w:sz w:val="16"/>
              </w:rPr>
            </w:r>
          </w:p>
        </w:tc>
        <w:tc>
          <w:tcPr>
            <w:tcW w:type="dxa" w:w="1008"/>
          </w:tcPr>
          <w:p>
            <w:pPr>
              <w:spacing w:after="40"/>
              <w:jc w:val="center"/>
            </w:pPr>
            <w:r/>
            <w:r>
              <w:rPr>
                <w:rFonts w:ascii="Times New Roman" w:hAnsi="Times New Roman" w:cs="Times New Roman"/>
                <w:b/>
                <w:i w:val="0"/>
                <w:sz w:val="16"/>
              </w:rPr>
            </w:r>
          </w:p>
        </w:tc>
        <w:tc>
          <w:tcPr>
            <w:tcW w:type="dxa" w:w="1008"/>
          </w:tcPr>
          <w:p>
            <w:pPr>
              <w:spacing w:after="40"/>
              <w:jc w:val="center"/>
            </w:pPr>
            <w:r/>
            <w:r>
              <w:rPr>
                <w:rFonts w:ascii="Times New Roman" w:hAnsi="Times New Roman" w:cs="Times New Roman"/>
                <w:b/>
                <w:i w:val="0"/>
                <w:sz w:val="16"/>
              </w:rPr>
            </w:r>
          </w:p>
        </w:tc>
        <w:tc>
          <w:tcPr>
            <w:tcW w:type="dxa" w:w="1008"/>
          </w:tcPr>
          <w:p>
            <w:pPr>
              <w:spacing w:after="40"/>
              <w:jc w:val="center"/>
            </w:pPr>
            <w:r/>
            <w:r>
              <w:rPr>
                <w:rFonts w:ascii="Times New Roman" w:hAnsi="Times New Roman" w:cs="Times New Roman"/>
                <w:b/>
                <w:i w:val="0"/>
                <w:sz w:val="16"/>
              </w:rPr>
            </w:r>
          </w:p>
        </w:tc>
      </w:tr>
    </w:tbl>
    <w:p>
      <w:pPr>
        <w:spacing w:before="60" w:after="240"/>
        <w:jc w:val="center"/>
      </w:pPr>
      <w:r>
        <w:rPr>
          <w:rFonts w:ascii="Times New Roman" w:hAnsi="Times New Roman" w:cs="Times New Roman"/>
          <w:b/>
          <w:i w:val="0"/>
          <w:sz w:val="21"/>
        </w:rPr>
        <w:t>Table 13: Technology Readiness Level Assessment</w:t>
      </w:r>
    </w:p>
    <w:p>
      <w:pPr>
        <w:spacing w:after="140" w:line="274" w:lineRule="auto"/>
        <w:jc w:val="both"/>
      </w:pPr>
      <w:r>
        <w:rPr>
          <w:rFonts w:ascii="Times New Roman" w:hAnsi="Times New Roman" w:cs="Times New Roman"/>
          <w:b w:val="0"/>
          <w:i w:val="0"/>
          <w:sz w:val="22"/>
        </w:rPr>
        <w:t>Current TRL: Level 3 — Experimental Proof of Concept.</w:t>
      </w:r>
    </w:p>
    <w:p>
      <w:pPr>
        <w:keepNext/>
        <w:spacing w:before="320" w:after="120"/>
        <w:outlineLvl w:val="0"/>
      </w:pPr>
      <w:r>
        <w:rPr>
          <w:rFonts w:ascii="Times New Roman" w:hAnsi="Times New Roman" w:cs="Times New Roman"/>
          <w:b/>
          <w:i w:val="0"/>
          <w:sz w:val="26"/>
        </w:rPr>
        <w:t>12. Note on Filing</w:t>
      </w:r>
    </w:p>
    <w:p>
      <w:pPr>
        <w:spacing w:after="140" w:line="274" w:lineRule="auto"/>
        <w:jc w:val="both"/>
      </w:pPr>
      <w:r>
        <w:rPr>
          <w:rFonts w:ascii="Times New Roman" w:hAnsi="Times New Roman" w:cs="Times New Roman"/>
          <w:b w:val="0"/>
          <w:i w:val="0"/>
          <w:sz w:val="22"/>
        </w:rPr>
        <w:t>Nine matters are flagged for the IPR &amp; TT Cell and for the drafting agent. This note is internal. Section 12 in its entirety, and the candid statements of limitation in Sections 8 and 9, are written for the Cell and not for the Controller.</w:t>
      </w:r>
    </w:p>
    <w:p>
      <w:pPr>
        <w:spacing w:after="140" w:line="274" w:lineRule="auto"/>
        <w:jc w:val="both"/>
      </w:pPr>
      <w:r>
        <w:rPr>
          <w:rFonts w:ascii="Times New Roman" w:hAnsi="Times New Roman" w:cs="Times New Roman"/>
          <w:b/>
          <w:i w:val="0"/>
          <w:sz w:val="22"/>
        </w:rPr>
        <w:t xml:space="preserve">First: subject-matter eligibility. </w:t>
      </w:r>
      <w:r>
        <w:rPr>
          <w:rFonts w:ascii="Times New Roman" w:hAnsi="Times New Roman" w:cs="Times New Roman"/>
          <w:b w:val="0"/>
          <w:i w:val="0"/>
          <w:sz w:val="22"/>
        </w:rPr>
        <w:t>Subject-matter eligibility is the primary anticipated objection, and it should be expected before any objection on novelty or inventive step. The response is prepared and is ordered deliberately. The strongest argument, and the one to press first, is that the installation brings about a change in the physical operating state of apparatus: upon a measured relation between the outputs of two physically separate transducer sets satisfying the coordination condition, the sensing assemblies of those two stations, and of no others, are switched into a second acquisition state for a bounded interval. That is an effect upon the operation of the apparatus itself and is independent of the analytical content of any model. Second, the installation recites a physical element with no counterpart in the cited art: a station of like construction deliberately held unoccupied, whose transducer output forms part of the reference. Third, the detection is of a physical condition — acoustic and electromagnetic energy emitted by concealed devices — from transducer measurements, and the detector is calibrated automatically to the ambient physical conditions of a specific station without labelled data. Fourth, the acoustic signal chain reduces the waveform to an envelope and then to order statistics before anything leaves the station, which reduces the data leaving the venue by orders of magnitude and does so as a property of the circuit rather than of the software.</w:t>
      </w:r>
    </w:p>
    <w:p>
      <w:pPr>
        <w:spacing w:after="140" w:line="274" w:lineRule="auto"/>
        <w:jc w:val="both"/>
      </w:pPr>
      <w:r>
        <w:rPr>
          <w:rFonts w:ascii="Times New Roman" w:hAnsi="Times New Roman" w:cs="Times New Roman"/>
          <w:b w:val="0"/>
          <w:i w:val="0"/>
          <w:sz w:val="22"/>
        </w:rPr>
        <w:t>The Delhi High Court in Ferid Allani v. Union of India (W.P.(C) 7/2014, decision dated 12 December 2019) held that the exclusion attaches only to a computer programme per se, and that an invention exhibiting a technical effect or a technical contribution falls outside it; the same reasoning has since been applied in Blackberry Limited v. Controller of Patents and Designs and in Microsoft Technology Licensing LLC v. Assistant Controller of Patents and Designs. The Revised Guidelines for Examination of Computer Related Inventions, 2025, issued by the Controller General on 29 July 2025 and superseding the 2017 Guidelines, set out a step-wise assessment methodology, add a dedicated part addressing inventions in artificial intelligence and machine learning, and confirm that system and method claims are both allowable in independent format where fully supported by the specification. The complete specification should be drafted so that the hardware limitations of Claims 11, 17, 19 and 24 are substantive rather than nominal, and so that each technical effect above appears in the description as ordinary technical writing and not as argument. A registered patent agent should verify this alignment before filing.</w:t>
      </w:r>
    </w:p>
    <w:p>
      <w:pPr>
        <w:spacing w:after="140" w:line="274" w:lineRule="auto"/>
        <w:jc w:val="both"/>
      </w:pPr>
      <w:r>
        <w:rPr>
          <w:rFonts w:ascii="Times New Roman" w:hAnsi="Times New Roman" w:cs="Times New Roman"/>
          <w:b/>
          <w:i w:val="0"/>
          <w:sz w:val="22"/>
        </w:rPr>
        <w:t xml:space="preserve">Second: claim breadth and the order of concession. </w:t>
      </w:r>
      <w:r>
        <w:rPr>
          <w:rFonts w:ascii="Times New Roman" w:hAnsi="Times New Roman" w:cs="Times New Roman"/>
          <w:b w:val="0"/>
          <w:i w:val="0"/>
          <w:sz w:val="22"/>
        </w:rPr>
        <w:t>The claim language has been drafted by the inventor, broad at the independent level and progressively narrowed through the dependents. Twenty-nine claims is more than official fees comfortably accommodate, and the agent will prune. The inventor’s ranking is as follows. Claims 11, 19 and 24 are the position; do not concede them. Claims 12, 13, 14, 17, 18, 20 and 22 are the dependents worth keeping, each being a measured or structural fallback if an independent is narrowed. Claim 1 is the weakest on eligibility and is the first to narrow if the set must shrink; its dependents 3, 4, 6 and 9 are worth more than the claim they hang from. Claim 16, the graph and connected-component embodiment, corresponds closely to entry 11 of Section 3 and differs only in the quantity from which the edges are derived; it is the weakest of the cross-station dependents and is the one to concede if pressed. A defensible ten-claim core would be 11, 12, 13, 14, 17, 18, 19, 20, 22 and 24.</w:t>
      </w:r>
    </w:p>
    <w:p>
      <w:pPr>
        <w:spacing w:after="140" w:line="274" w:lineRule="auto"/>
        <w:jc w:val="both"/>
      </w:pPr>
      <w:r>
        <w:rPr>
          <w:rFonts w:ascii="Times New Roman" w:hAnsi="Times New Roman" w:cs="Times New Roman"/>
          <w:b/>
          <w:i w:val="0"/>
          <w:sz w:val="22"/>
        </w:rPr>
        <w:t xml:space="preserve">Third: state of reduction to practice. </w:t>
      </w:r>
      <w:r>
        <w:rPr>
          <w:rFonts w:ascii="Times New Roman" w:hAnsi="Times New Roman" w:cs="Times New Roman"/>
          <w:b w:val="0"/>
          <w:i w:val="0"/>
          <w:sz w:val="22"/>
        </w:rPr>
        <w:t>The invention stands at TRL 3. Section 8.1 reports simulation on a generative model, with its sample-size and single-run limits stated. Section 8.2 reports measurement on a real public corpus, but that corpus is server telemetry rather than instrumented desks, and the coupled exchange and the venue-wide event within it are synthetic injections. Section 9 is prospective throughout and reports no measurement. No experimental result on the transducers of this invention is asserted anywhere in this disclosure, and nothing in it should be represented to any external party as such.</w:t>
      </w:r>
    </w:p>
    <w:p>
      <w:pPr>
        <w:spacing w:after="140" w:line="274" w:lineRule="auto"/>
        <w:jc w:val="both"/>
      </w:pPr>
      <w:r>
        <w:rPr>
          <w:rFonts w:ascii="Times New Roman" w:hAnsi="Times New Roman" w:cs="Times New Roman"/>
          <w:b/>
          <w:i w:val="0"/>
          <w:sz w:val="22"/>
        </w:rPr>
        <w:t xml:space="preserve">Fourth: a withdrawn assertion, and an instruction. </w:t>
      </w:r>
      <w:r>
        <w:rPr>
          <w:rFonts w:ascii="Times New Roman" w:hAnsi="Times New Roman" w:cs="Times New Roman"/>
          <w:b w:val="0"/>
          <w:i w:val="0"/>
          <w:sz w:val="22"/>
        </w:rPr>
        <w:t>An earlier revision argued that one normal-only model shared across the stations made their residuals commensurable and that this was the source of the cross-station channel. Measurement on a public MIT-licensed corpus contradicts that in direction, on the inventor’s own mechanism, in a few minutes of compute. The assertion and the simulated cross-station figures produced under it have been withdrawn from Sections 4.1, 7, 8 and 10. The drafting agent must not reinstate shared-model language anywhere, and must not restore the withdrawn simulated cross-station figures alongside the measured ones. The correction is recorded here rather than concealed, because the position it leaves is stronger: the invention now teaches away from the expedient a skilled person would adopt, and gives the measured reason for doing so.</w:t>
      </w:r>
    </w:p>
    <w:p>
      <w:pPr>
        <w:spacing w:after="140" w:line="274" w:lineRule="auto"/>
        <w:jc w:val="both"/>
      </w:pPr>
      <w:r>
        <w:rPr>
          <w:rFonts w:ascii="Times New Roman" w:hAnsi="Times New Roman" w:cs="Times New Roman"/>
          <w:b/>
          <w:i w:val="0"/>
          <w:sz w:val="22"/>
        </w:rPr>
        <w:t xml:space="preserve">Fifth: development history, and why it is not in Section 3. </w:t>
      </w:r>
      <w:r>
        <w:rPr>
          <w:rFonts w:ascii="Times New Roman" w:hAnsi="Times New Roman" w:cs="Times New Roman"/>
          <w:b w:val="0"/>
          <w:i w:val="0"/>
          <w:sz w:val="22"/>
        </w:rPr>
        <w:t>The subject matter of this disclosure develops earlier unpublished work of the same inventor on a multi-sensor examination desk carrying acoustic and electromagnetic sensing. That earlier work has not been published, exhibited, demonstrated outside the institution, or otherwise made available to the public, and no application has been filed in respect of it. It is accordingly not prior art — neither under section 2(1)(l) nor, no application existing, under section 13(1)(b) — and it is deliberately not listed in Section 3. It was listed in an earlier revision, and that was an error: characterising one’s own unpublished work as prior, in one’s own specification, is an applicant admission that manufactures prior art which does not otherwise exist, and it would have given away for nothing the two sensing modalities on which Claims 3 and 4 depend. It is recorded here so that the Cell has the development history and so that any decision to publish it is taken knowing the effect on this application.</w:t>
      </w:r>
    </w:p>
    <w:p>
      <w:pPr>
        <w:spacing w:after="140" w:line="274" w:lineRule="auto"/>
        <w:jc w:val="both"/>
      </w:pPr>
      <w:r>
        <w:rPr>
          <w:rFonts w:ascii="Times New Roman" w:hAnsi="Times New Roman" w:cs="Times New Roman"/>
          <w:b/>
          <w:i w:val="0"/>
          <w:sz w:val="22"/>
        </w:rPr>
        <w:t xml:space="preserve">Sixth: absence of public disclosure. </w:t>
      </w:r>
      <w:r>
        <w:rPr>
          <w:rFonts w:ascii="Times New Roman" w:hAnsi="Times New Roman" w:cs="Times New Roman"/>
          <w:b w:val="0"/>
          <w:i w:val="0"/>
          <w:sz w:val="22"/>
        </w:rPr>
        <w:t>No part of this work has been publicly disclosed. No preprint, conference submission, demonstration, or public repository exists, and none will be made until a priority date is secured, since public disclosure prior to filing would prejudice novelty in jurisdictions without a grace period. The evidence campaign of Section 8.2 was run privately and its code and results are unpublished; they must remain so. The things that count as public disclosure are broader than is generally expected, and one slip destroys novelty in most jurisdictions with no remedy: a conference paper, poster or abstract; a project exhibition, demonstration day or open house; a thesis or project report deposited in a library or institutional repository; a public code repository; a preprint; a video; a demonstration to anyone outside a confidentiality obligation; a funding application that becomes public. Internal submission to the VIT IPR &amp; TT Cell is not disclosure. If a prototype is built under Section 9, any demonstration should be deferred or conducted under a written confidentiality undertaking.</w:t>
      </w:r>
    </w:p>
    <w:p>
      <w:pPr>
        <w:spacing w:after="140" w:line="274" w:lineRule="auto"/>
        <w:jc w:val="both"/>
      </w:pPr>
      <w:r>
        <w:rPr>
          <w:rFonts w:ascii="Times New Roman" w:hAnsi="Times New Roman" w:cs="Times New Roman"/>
          <w:b/>
          <w:i w:val="0"/>
          <w:sz w:val="22"/>
        </w:rPr>
        <w:t xml:space="preserve">Seventh: unity of invention. </w:t>
      </w:r>
      <w:r>
        <w:rPr>
          <w:rFonts w:ascii="Times New Roman" w:hAnsi="Times New Roman" w:cs="Times New Roman"/>
          <w:b w:val="0"/>
          <w:i w:val="0"/>
          <w:sz w:val="22"/>
        </w:rPr>
        <w:t>Six independent claims will attract an objection that they lack a single general inventive concept. The position to take is that they share one: a relational quantity between the prediction residuals of stations modelled independently of one another, made meaningful by removing a component common to the venue, part of which is measured at a station carrying no candidate. Claim 11 constrains the structure that earns that quantity, Claim 17 constrains the reference against which it is judged, Claim 19 constrains what it may do, and Claims 23 and 24 are the corresponding methods. If the objection is pressed, prosecute Claims 11 and 19 in the parent and file Claim 17 as a divisional, because 11 and 19 carry the physical limitations that answer the eligibility objection recorded above. Claim 1 is a different invention in substance and can be surrendered or filed separately without damaging the rest.</w:t>
      </w:r>
    </w:p>
    <w:p>
      <w:pPr>
        <w:spacing w:after="140" w:line="274" w:lineRule="auto"/>
        <w:jc w:val="both"/>
      </w:pPr>
      <w:r>
        <w:rPr>
          <w:rFonts w:ascii="Times New Roman" w:hAnsi="Times New Roman" w:cs="Times New Roman"/>
          <w:b/>
          <w:i w:val="0"/>
          <w:sz w:val="22"/>
        </w:rPr>
        <w:t xml:space="preserve">Eighth: the co-pending disclosure of the same inventor. </w:t>
      </w:r>
      <w:r>
        <w:rPr>
          <w:rFonts w:ascii="Times New Roman" w:hAnsi="Times New Roman" w:cs="Times New Roman"/>
          <w:b w:val="0"/>
          <w:i w:val="0"/>
          <w:sz w:val="22"/>
        </w:rPr>
        <w:t>The same inventor has a co-pending disclosure directed to a desk-mounted examination-integrity node that anchors a timing relation to a photometrically measured display transition and physically interrupts a keyboard data path. The two must be read side by side before either is filed, and the boundary is this: that disclosure claims a timing relation between an onset anchor and a response at one station, together with interruption of a data path; this one claims a relation between two stations, together with a change in the acquisition state of transducers. Neither should be allowed to drift into the other. Two specific points of contact need watching. Both disclosures now recite reduction of an acoustic signal to an envelope before digitisation, here at Claim 22 and there as a privacy limitation; the recitations should be kept distinct in scope, and the agent should decide which filing carries the broader one. And whichever application is filed first is citable against the other under sections 13(1)(b) and 29, so the filing order is a decision to be taken deliberately rather than by accident of readiness.</w:t>
      </w:r>
    </w:p>
    <w:p>
      <w:pPr>
        <w:spacing w:after="140" w:line="274" w:lineRule="auto"/>
        <w:jc w:val="both"/>
      </w:pPr>
      <w:r>
        <w:rPr>
          <w:rFonts w:ascii="Times New Roman" w:hAnsi="Times New Roman" w:cs="Times New Roman"/>
          <w:b/>
          <w:i w:val="0"/>
          <w:sz w:val="22"/>
        </w:rPr>
        <w:t xml:space="preserve">Ninth: this note is internal. </w:t>
      </w:r>
      <w:r>
        <w:rPr>
          <w:rFonts w:ascii="Times New Roman" w:hAnsi="Times New Roman" w:cs="Times New Roman"/>
          <w:b w:val="0"/>
          <w:i w:val="0"/>
          <w:sz w:val="22"/>
        </w:rPr>
        <w:t>This note must not enter the filed specification. A specification that argues its own patentability, names the exclusion it seeks to avoid, or characterises its own validation as preliminary invites the examiner to adopt the applicant characterisation and can be read as an admission. The complete specification should instead demonstrate the technical effects through the ordinary work of the description — naming the transducers, the signals they carry, the physical quantities measured, and the operations performed upon them — and leave the legal characterisation to prosecution. Component costs for the Section 9 build have been kept out of the body for the same reason: an applicant’s own statement that a build is inexpensive and ordinary is quotable against inventive step. At Indian retail prices current at the date of this disclosure the five-node configuration of Section 9 is of the order of twenty-five to thirty-five thousand rupees exclusive of enclosures, cabling and labour; that figure is for the Cell’s internal costing and belongs nowhere else.</w:t>
      </w:r>
    </w:p>
    <w:p>
      <w:pPr>
        <w:spacing w:before="360"/>
        <w:jc w:val="center"/>
      </w:pPr>
      <w:r>
        <w:rPr>
          <w:rFonts w:ascii="Times New Roman" w:hAnsi="Times New Roman" w:cs="Times New Roman"/>
          <w:b/>
          <w:i w:val="0"/>
          <w:sz w:val="22"/>
        </w:rPr>
        <w:t>————— END OF THE DOCUMENT —————</w:t>
      </w: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fldChar w:fldCharType="begin" w:dirty="true"/>
    </w:r>
    <w:r>
      <w:rPr>
        <w:rFonts w:ascii="Times New Roman" w:hAnsi="Times New Roman"/>
        <w:sz w:val="22"/>
      </w:rPr>
      <w:instrText xml:space="preserve"> PAGE </w:instrText>
    </w:r>
    <w:r>
      <w:fldChar w:fldCharType="separate"/>
    </w:r>
    <w:r>
      <w:rPr>
        <w:rFonts w:ascii="Times New Roman" w:hAnsi="Times New Roman" w:cs="Times New Roman"/>
        <w:b w:val="0"/>
        <w:i w:val="0"/>
        <w:sz w:val="22"/>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s="Times New Roman"/>
        <w:b/>
        <w:i w:val="0"/>
        <w:sz w:val="22"/>
      </w:rPr>
      <w:t>©VIT IPR &amp; TTCELL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Label-Free Malpractice and Collusion Detection - IDF-B</dc:title>
  <dc:subject/>
  <dc:creator>VIT IPR &amp; TT Cell</dc:creator>
  <cp:keywords/>
  <dc:description/>
  <cp:lastModifiedBy>VIT IPR &amp; TT Cell</cp:lastModifiedBy>
  <cp:revision>1</cp:revision>
  <dcterms:created xsi:type="dcterms:W3CDTF">2013-12-23T23:15:00Z</dcterms:created>
  <dcterms:modified xsi:type="dcterms:W3CDTF">2013-12-23T23:15:00Z</dcterms:modified>
  <cp:category/>
</cp:coreProperties>
</file>