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Cyber-Physical Apparatus and Method for Detecting Externally Assisted Malpractice at a Monitored Assessment Station, in which a Photometrically Measured Question-Onset Anchor, a Covert Acoustic Emission Attributed to the Seated Candidate by Structure-Borne Coupling, and an Answer-Commit Input-Dynamics Discontinuity are Interlocked Against a Bounded External-Assistance Latency Band, and in which Graduated Enforcement Acts Upon the Candidate Input Path Under a Dual-Channel Actuation Interlock.</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integrity monitoring of supervised assessment stations, and specifically to the detection of malpractice in which a candidate obtains an answer from a source outside the station during the examination. More particularly, it pertains to an apparatus in which transducers disposed at an individual candidate station measure the instant at which a question is physically presented on the display, the instant at which a covert acoustic emission is produced by the seated candidate, and the instant at which an answer is committed through the input devices, and in which a control arrangement decides whether those three instants stand in the causal relation that external assistance necessarily imposes upon them. The invention further relates to the graduated actuation that follows such a decision, including an in-line unit that physically interrupts the candidate input path under an interlock condition requiring corroboration from two physically independent sensing modalities.</w:t>
      </w:r>
    </w:p>
    <w:p>
      <w:pPr>
        <w:spacing w:after="140" w:line="274" w:lineRule="auto"/>
        <w:jc w:val="both"/>
      </w:pPr>
      <w:r>
        <w:rPr>
          <w:rFonts w:ascii="Times New Roman" w:hAnsi="Times New Roman" w:cs="Times New Roman"/>
          <w:b w:val="0"/>
          <w:i w:val="0"/>
          <w:sz w:val="22"/>
        </w:rPr>
        <w:t>The principal embodiment described herein is a computer-based examination desk. The invention is not limited to that embodiment: it applies to professional certification and licensing test centres, secure interview and vetting rooms, recruitment and aptitude testing facilities, and any supervised environment in which a task is presented at a known instant, a response is committed through an instrumented input device, and covert assistance from outside the station is prohibited.</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The following table summarises the closest known prior art and identifies the gap addressed by the present invention. Entries 1 to 7 are assessment-integrity systems. Entries 8 and 9 are input-path isolation hardware, which supplies the enforcement component and is expressly conceded. Entries 10 to 12 are the behavioural and psychometric literature on detecting assisted responding. Entries 13 to 17 are general techniques an examiner may reasonably combine, and each is addressed directly.</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6"/>
              </w:rPr>
              <w:t>#</w:t>
            </w:r>
          </w:p>
        </w:tc>
        <w:tc>
          <w:tcPr>
            <w:tcW w:type="dxa" w:w="2088"/>
          </w:tcPr>
          <w:p>
            <w:pPr>
              <w:keepNext/>
              <w:spacing w:after="40"/>
              <w:jc w:val="center"/>
            </w:pPr>
            <w:r/>
            <w:r>
              <w:rPr>
                <w:rFonts w:ascii="Times New Roman" w:hAnsi="Times New Roman" w:cs="Times New Roman"/>
                <w:b/>
                <w:i w:val="0"/>
                <w:sz w:val="16"/>
              </w:rPr>
              <w:t>Reference</w:t>
            </w:r>
          </w:p>
        </w:tc>
        <w:tc>
          <w:tcPr>
            <w:tcW w:type="dxa" w:w="1037"/>
          </w:tcPr>
          <w:p>
            <w:pPr>
              <w:keepNext/>
              <w:spacing w:after="40"/>
              <w:jc w:val="center"/>
            </w:pPr>
            <w:r/>
            <w:r>
              <w:rPr>
                <w:rFonts w:ascii="Times New Roman" w:hAnsi="Times New Roman" w:cs="Times New Roman"/>
                <w:b/>
                <w:i w:val="0"/>
                <w:sz w:val="16"/>
              </w:rPr>
              <w:t>Year / type</w:t>
            </w:r>
          </w:p>
        </w:tc>
        <w:tc>
          <w:tcPr>
            <w:tcW w:type="dxa" w:w="2966"/>
          </w:tcPr>
          <w:p>
            <w:pPr>
              <w:keepNext/>
              <w:spacing w:after="40"/>
              <w:jc w:val="center"/>
            </w:pPr>
            <w:r/>
            <w:r>
              <w:rPr>
                <w:rFonts w:ascii="Times New Roman" w:hAnsi="Times New Roman" w:cs="Times New Roman"/>
                <w:b/>
                <w:i w:val="0"/>
                <w:sz w:val="16"/>
              </w:rPr>
              <w:t>Core contribution</w:t>
            </w:r>
          </w:p>
        </w:tc>
        <w:tc>
          <w:tcPr>
            <w:tcW w:type="dxa" w:w="3413"/>
          </w:tcPr>
          <w:p>
            <w:pPr>
              <w:keepNext/>
              <w:spacing w:after="40"/>
              <w:jc w:val="center"/>
            </w:pPr>
            <w:r/>
            <w:r>
              <w:rPr>
                <w:rFonts w:ascii="Times New Roman" w:hAnsi="Times New Roman" w:cs="Times New Roman"/>
                <w:b/>
                <w:i w:val="0"/>
                <w:sz w:val="16"/>
              </w:rPr>
              <w:t>Limitation with respect to the present invention</w:t>
            </w:r>
          </w:p>
        </w:tc>
      </w:tr>
      <w:tr>
        <w:tc>
          <w:tcPr>
            <w:tcW w:type="dxa" w:w="432"/>
          </w:tcPr>
          <w:p>
            <w:pPr>
              <w:spacing w:after="40"/>
              <w:jc w:val="center"/>
            </w:pPr>
            <w:r/>
            <w:r>
              <w:rPr>
                <w:rFonts w:ascii="Times New Roman" w:hAnsi="Times New Roman" w:cs="Times New Roman"/>
                <w:b w:val="0"/>
                <w:i w:val="0"/>
                <w:sz w:val="16"/>
              </w:rPr>
              <w:t>1</w:t>
            </w:r>
          </w:p>
        </w:tc>
        <w:tc>
          <w:tcPr>
            <w:tcW w:type="dxa" w:w="2088"/>
          </w:tcPr>
          <w:p>
            <w:pPr>
              <w:spacing w:after="40"/>
              <w:jc w:val="left"/>
            </w:pPr>
            <w:r/>
            <w:r>
              <w:rPr>
                <w:rFonts w:ascii="Times New Roman" w:hAnsi="Times New Roman" w:cs="Times New Roman"/>
                <w:b w:val="0"/>
                <w:i w:val="0"/>
                <w:sz w:val="16"/>
              </w:rPr>
              <w:t>US 2019/0156689 A1 — systems and methods for detecting cheating in online proctoring (ProctorU)</w:t>
            </w:r>
          </w:p>
        </w:tc>
        <w:tc>
          <w:tcPr>
            <w:tcW w:type="dxa" w:w="1037"/>
          </w:tcPr>
          <w:p>
            <w:pPr>
              <w:spacing w:after="40"/>
              <w:jc w:val="center"/>
            </w:pPr>
            <w:r/>
            <w:r>
              <w:rPr>
                <w:rFonts w:ascii="Times New Roman" w:hAnsi="Times New Roman" w:cs="Times New Roman"/>
                <w:b w:val="0"/>
                <w:i w:val="0"/>
                <w:sz w:val="16"/>
              </w:rPr>
              <w:t>2019 / patent</w:t>
            </w:r>
          </w:p>
        </w:tc>
        <w:tc>
          <w:tcPr>
            <w:tcW w:type="dxa" w:w="2966"/>
          </w:tcPr>
          <w:p>
            <w:pPr>
              <w:spacing w:after="40"/>
              <w:jc w:val="left"/>
            </w:pPr>
            <w:r/>
            <w:r>
              <w:rPr>
                <w:rFonts w:ascii="Times New Roman" w:hAnsi="Times New Roman" w:cs="Times New Roman"/>
                <w:b w:val="0"/>
                <w:i w:val="0"/>
                <w:sz w:val="16"/>
              </w:rPr>
              <w:t>Webcam, microphone, keyboard and screen capture. Flags a behavioural sequence: loss of face for a threshold interval, then resumed keyboard or mouse input, then answer submission. The session is suspended when the sequence is observed.</w:t>
            </w:r>
          </w:p>
        </w:tc>
        <w:tc>
          <w:tcPr>
            <w:tcW w:type="dxa" w:w="3413"/>
          </w:tcPr>
          <w:p>
            <w:pPr>
              <w:spacing w:after="40"/>
              <w:jc w:val="left"/>
            </w:pPr>
            <w:r/>
            <w:r>
              <w:rPr>
                <w:rFonts w:ascii="Times New Roman" w:hAnsi="Times New Roman" w:cs="Times New Roman"/>
                <w:b w:val="0"/>
                <w:i w:val="0"/>
                <w:sz w:val="16"/>
              </w:rPr>
              <w:t>The closest reference. Its anchor is the candidate’s own face-loss, an appearance, rather than a measured display transition, so the sequence carries no external timing reference. There is no bounded latency band, no attribution of sound to the seated candidate, and no test separating composition from transcription. The intervention is a software session suspend: nothing in the physical input path is interrupted.</w:t>
            </w:r>
          </w:p>
        </w:tc>
      </w:tr>
      <w:tr>
        <w:tc>
          <w:tcPr>
            <w:tcW w:type="dxa" w:w="432"/>
          </w:tcPr>
          <w:p>
            <w:pPr>
              <w:spacing w:after="40"/>
              <w:jc w:val="center"/>
            </w:pPr>
            <w:r/>
            <w:r>
              <w:rPr>
                <w:rFonts w:ascii="Times New Roman" w:hAnsi="Times New Roman" w:cs="Times New Roman"/>
                <w:b w:val="0"/>
                <w:i w:val="0"/>
                <w:sz w:val="16"/>
              </w:rPr>
              <w:t>2</w:t>
            </w:r>
          </w:p>
        </w:tc>
        <w:tc>
          <w:tcPr>
            <w:tcW w:type="dxa" w:w="2088"/>
          </w:tcPr>
          <w:p>
            <w:pPr>
              <w:spacing w:after="40"/>
              <w:jc w:val="left"/>
            </w:pPr>
            <w:r/>
            <w:r>
              <w:rPr>
                <w:rFonts w:ascii="Times New Roman" w:hAnsi="Times New Roman" w:cs="Times New Roman"/>
                <w:b w:val="0"/>
                <w:i w:val="0"/>
                <w:sz w:val="16"/>
              </w:rPr>
              <w:t>US 2017/0263142 A1 — anti-cheating system using eyewear</w:t>
            </w:r>
          </w:p>
        </w:tc>
        <w:tc>
          <w:tcPr>
            <w:tcW w:type="dxa" w:w="1037"/>
          </w:tcPr>
          <w:p>
            <w:pPr>
              <w:spacing w:after="40"/>
              <w:jc w:val="center"/>
            </w:pPr>
            <w:r/>
            <w:r>
              <w:rPr>
                <w:rFonts w:ascii="Times New Roman" w:hAnsi="Times New Roman" w:cs="Times New Roman"/>
                <w:b w:val="0"/>
                <w:i w:val="0"/>
                <w:sz w:val="16"/>
              </w:rPr>
              <w:t>2016 / patent</w:t>
            </w:r>
          </w:p>
        </w:tc>
        <w:tc>
          <w:tcPr>
            <w:tcW w:type="dxa" w:w="2966"/>
          </w:tcPr>
          <w:p>
            <w:pPr>
              <w:spacing w:after="40"/>
              <w:jc w:val="left"/>
            </w:pPr>
            <w:r/>
            <w:r>
              <w:rPr>
                <w:rFonts w:ascii="Times New Roman" w:hAnsi="Times New Roman" w:cs="Times New Roman"/>
                <w:b w:val="0"/>
                <w:i w:val="0"/>
                <w:sz w:val="16"/>
              </w:rPr>
              <w:t>Smart glasses display a portion of each question; an iris check gates whether the display is enabled.</w:t>
            </w:r>
          </w:p>
        </w:tc>
        <w:tc>
          <w:tcPr>
            <w:tcW w:type="dxa" w:w="3413"/>
          </w:tcPr>
          <w:p>
            <w:pPr>
              <w:spacing w:after="40"/>
              <w:jc w:val="left"/>
            </w:pPr>
            <w:r/>
            <w:r>
              <w:rPr>
                <w:rFonts w:ascii="Times New Roman" w:hAnsi="Times New Roman" w:cs="Times New Roman"/>
                <w:b w:val="0"/>
                <w:i w:val="0"/>
                <w:sz w:val="16"/>
              </w:rPr>
              <w:t>A single gating check on a wearable display. No multi-channel fusion, no timing relation between events, no escalation state machine, and no enforcement action upon the candidate’s input devices.</w:t>
            </w:r>
          </w:p>
        </w:tc>
      </w:tr>
      <w:tr>
        <w:tc>
          <w:tcPr>
            <w:tcW w:type="dxa" w:w="432"/>
          </w:tcPr>
          <w:p>
            <w:pPr>
              <w:spacing w:after="40"/>
              <w:jc w:val="center"/>
            </w:pPr>
            <w:r/>
            <w:r>
              <w:rPr>
                <w:rFonts w:ascii="Times New Roman" w:hAnsi="Times New Roman" w:cs="Times New Roman"/>
                <w:b w:val="0"/>
                <w:i w:val="0"/>
                <w:sz w:val="16"/>
              </w:rPr>
              <w:t>3</w:t>
            </w:r>
          </w:p>
        </w:tc>
        <w:tc>
          <w:tcPr>
            <w:tcW w:type="dxa" w:w="2088"/>
          </w:tcPr>
          <w:p>
            <w:pPr>
              <w:spacing w:after="40"/>
              <w:jc w:val="left"/>
            </w:pPr>
            <w:r/>
            <w:r>
              <w:rPr>
                <w:rFonts w:ascii="Times New Roman" w:hAnsi="Times New Roman" w:cs="Times New Roman"/>
                <w:b w:val="0"/>
                <w:i w:val="0"/>
                <w:sz w:val="16"/>
              </w:rPr>
              <w:t>US 9,881,516 B1 — detecting cheating while administering online assessments</w:t>
            </w:r>
          </w:p>
        </w:tc>
        <w:tc>
          <w:tcPr>
            <w:tcW w:type="dxa" w:w="1037"/>
          </w:tcPr>
          <w:p>
            <w:pPr>
              <w:spacing w:after="40"/>
              <w:jc w:val="center"/>
            </w:pPr>
            <w:r/>
            <w:r>
              <w:rPr>
                <w:rFonts w:ascii="Times New Roman" w:hAnsi="Times New Roman" w:cs="Times New Roman"/>
                <w:b w:val="0"/>
                <w:i w:val="0"/>
                <w:sz w:val="16"/>
              </w:rPr>
              <w:t>2018 / patent</w:t>
            </w:r>
          </w:p>
        </w:tc>
        <w:tc>
          <w:tcPr>
            <w:tcW w:type="dxa" w:w="2966"/>
          </w:tcPr>
          <w:p>
            <w:pPr>
              <w:spacing w:after="40"/>
              <w:jc w:val="left"/>
            </w:pPr>
            <w:r/>
            <w:r>
              <w:rPr>
                <w:rFonts w:ascii="Times New Roman" w:hAnsi="Times New Roman" w:cs="Times New Roman"/>
                <w:b w:val="0"/>
                <w:i w:val="0"/>
                <w:sz w:val="16"/>
              </w:rPr>
              <w:t>Watermarked items seeded to external sites with web beacons, so retrieval of an item during a test becomes observable.</w:t>
            </w:r>
          </w:p>
        </w:tc>
        <w:tc>
          <w:tcPr>
            <w:tcW w:type="dxa" w:w="3413"/>
          </w:tcPr>
          <w:p>
            <w:pPr>
              <w:spacing w:after="40"/>
              <w:jc w:val="left"/>
            </w:pPr>
            <w:r/>
            <w:r>
              <w:rPr>
                <w:rFonts w:ascii="Times New Roman" w:hAnsi="Times New Roman" w:cs="Times New Roman"/>
                <w:b w:val="0"/>
                <w:i w:val="0"/>
                <w:sz w:val="16"/>
              </w:rPr>
              <w:t>Detects item leakage on the open web rather than conduct at the station. Silent on in-room assistance, on sensing, and on intervention.</w:t>
            </w:r>
          </w:p>
        </w:tc>
      </w:tr>
      <w:tr>
        <w:tc>
          <w:tcPr>
            <w:tcW w:type="dxa" w:w="432"/>
          </w:tcPr>
          <w:p>
            <w:pPr>
              <w:spacing w:after="40"/>
              <w:jc w:val="center"/>
            </w:pPr>
            <w:r/>
            <w:r>
              <w:rPr>
                <w:rFonts w:ascii="Times New Roman" w:hAnsi="Times New Roman" w:cs="Times New Roman"/>
                <w:b w:val="0"/>
                <w:i w:val="0"/>
                <w:sz w:val="16"/>
              </w:rPr>
              <w:t>4</w:t>
            </w:r>
          </w:p>
        </w:tc>
        <w:tc>
          <w:tcPr>
            <w:tcW w:type="dxa" w:w="2088"/>
          </w:tcPr>
          <w:p>
            <w:pPr>
              <w:spacing w:after="40"/>
              <w:jc w:val="left"/>
            </w:pPr>
            <w:r/>
            <w:r>
              <w:rPr>
                <w:rFonts w:ascii="Times New Roman" w:hAnsi="Times New Roman" w:cs="Times New Roman"/>
                <w:b w:val="0"/>
                <w:i w:val="0"/>
                <w:sz w:val="16"/>
              </w:rPr>
              <w:t>US 9,154,748 B2 — online examination proctoring system</w:t>
            </w:r>
          </w:p>
        </w:tc>
        <w:tc>
          <w:tcPr>
            <w:tcW w:type="dxa" w:w="1037"/>
          </w:tcPr>
          <w:p>
            <w:pPr>
              <w:spacing w:after="40"/>
              <w:jc w:val="center"/>
            </w:pPr>
            <w:r/>
            <w:r>
              <w:rPr>
                <w:rFonts w:ascii="Times New Roman" w:hAnsi="Times New Roman" w:cs="Times New Roman"/>
                <w:b w:val="0"/>
                <w:i w:val="0"/>
                <w:sz w:val="16"/>
              </w:rPr>
              <w:t>2015 / patent</w:t>
            </w:r>
          </w:p>
        </w:tc>
        <w:tc>
          <w:tcPr>
            <w:tcW w:type="dxa" w:w="2966"/>
          </w:tcPr>
          <w:p>
            <w:pPr>
              <w:spacing w:after="40"/>
              <w:jc w:val="left"/>
            </w:pPr>
            <w:r/>
            <w:r>
              <w:rPr>
                <w:rFonts w:ascii="Times New Roman" w:hAnsi="Times New Roman" w:cs="Times New Roman"/>
                <w:b w:val="0"/>
                <w:i w:val="0"/>
                <w:sz w:val="16"/>
              </w:rPr>
              <w:t>Worn and fixed cameras with unpredictable room-sweep prompts; audio capture; evidence indexed for later review.</w:t>
            </w:r>
          </w:p>
        </w:tc>
        <w:tc>
          <w:tcPr>
            <w:tcW w:type="dxa" w:w="3413"/>
          </w:tcPr>
          <w:p>
            <w:pPr>
              <w:spacing w:after="40"/>
              <w:jc w:val="left"/>
            </w:pPr>
            <w:r/>
            <w:r>
              <w:rPr>
                <w:rFonts w:ascii="Times New Roman" w:hAnsi="Times New Roman" w:cs="Times New Roman"/>
                <w:b w:val="0"/>
                <w:i w:val="0"/>
                <w:sz w:val="16"/>
              </w:rPr>
              <w:t>Evidence-gathering platform art. Audio is captured but never attributed to a particular speaker, and review is post-hoc.</w:t>
            </w:r>
          </w:p>
        </w:tc>
      </w:tr>
      <w:tr>
        <w:tc>
          <w:tcPr>
            <w:tcW w:type="dxa" w:w="432"/>
          </w:tcPr>
          <w:p>
            <w:pPr>
              <w:spacing w:after="40"/>
              <w:jc w:val="center"/>
            </w:pPr>
            <w:r/>
            <w:r>
              <w:rPr>
                <w:rFonts w:ascii="Times New Roman" w:hAnsi="Times New Roman" w:cs="Times New Roman"/>
                <w:b w:val="0"/>
                <w:i w:val="0"/>
                <w:sz w:val="16"/>
              </w:rPr>
              <w:t>5</w:t>
            </w:r>
          </w:p>
        </w:tc>
        <w:tc>
          <w:tcPr>
            <w:tcW w:type="dxa" w:w="2088"/>
          </w:tcPr>
          <w:p>
            <w:pPr>
              <w:spacing w:after="40"/>
              <w:jc w:val="left"/>
            </w:pPr>
            <w:r/>
            <w:r>
              <w:rPr>
                <w:rFonts w:ascii="Times New Roman" w:hAnsi="Times New Roman" w:cs="Times New Roman"/>
                <w:b w:val="0"/>
                <w:i w:val="0"/>
                <w:sz w:val="16"/>
              </w:rPr>
              <w:t>US 2012/0135388 A1 — online proctoring with biometric anomaly detection</w:t>
            </w:r>
          </w:p>
        </w:tc>
        <w:tc>
          <w:tcPr>
            <w:tcW w:type="dxa" w:w="1037"/>
          </w:tcPr>
          <w:p>
            <w:pPr>
              <w:spacing w:after="40"/>
              <w:jc w:val="center"/>
            </w:pPr>
            <w:r/>
            <w:r>
              <w:rPr>
                <w:rFonts w:ascii="Times New Roman" w:hAnsi="Times New Roman" w:cs="Times New Roman"/>
                <w:b w:val="0"/>
                <w:i w:val="0"/>
                <w:sz w:val="16"/>
              </w:rPr>
              <w:t>2012 / patent</w:t>
            </w:r>
          </w:p>
        </w:tc>
        <w:tc>
          <w:tcPr>
            <w:tcW w:type="dxa" w:w="2966"/>
          </w:tcPr>
          <w:p>
            <w:pPr>
              <w:spacing w:after="40"/>
              <w:jc w:val="left"/>
            </w:pPr>
            <w:r/>
            <w:r>
              <w:rPr>
                <w:rFonts w:ascii="Times New Roman" w:hAnsi="Times New Roman" w:cs="Times New Roman"/>
                <w:b w:val="0"/>
                <w:i w:val="0"/>
                <w:sz w:val="16"/>
              </w:rPr>
              <w:t>Continuous biometric identity confirmation during a remote examination, flagging departures from the enrolled biometric.</w:t>
            </w:r>
          </w:p>
        </w:tc>
        <w:tc>
          <w:tcPr>
            <w:tcW w:type="dxa" w:w="3413"/>
          </w:tcPr>
          <w:p>
            <w:pPr>
              <w:spacing w:after="40"/>
              <w:jc w:val="left"/>
            </w:pPr>
            <w:r/>
            <w:r>
              <w:rPr>
                <w:rFonts w:ascii="Times New Roman" w:hAnsi="Times New Roman" w:cs="Times New Roman"/>
                <w:b w:val="0"/>
                <w:i w:val="0"/>
                <w:sz w:val="16"/>
              </w:rPr>
              <w:t>Enrolment is used to answer who is present, not to distinguish composing an answer from transcribing a dictated one. No timing interlock, no actuation.</w:t>
            </w:r>
          </w:p>
        </w:tc>
      </w:tr>
      <w:tr>
        <w:tc>
          <w:tcPr>
            <w:tcW w:type="dxa" w:w="432"/>
          </w:tcPr>
          <w:p>
            <w:pPr>
              <w:spacing w:after="40"/>
              <w:jc w:val="center"/>
            </w:pPr>
            <w:r/>
            <w:r>
              <w:rPr>
                <w:rFonts w:ascii="Times New Roman" w:hAnsi="Times New Roman" w:cs="Times New Roman"/>
                <w:b w:val="0"/>
                <w:i w:val="0"/>
                <w:sz w:val="16"/>
              </w:rPr>
              <w:t>6</w:t>
            </w:r>
          </w:p>
        </w:tc>
        <w:tc>
          <w:tcPr>
            <w:tcW w:type="dxa" w:w="2088"/>
          </w:tcPr>
          <w:p>
            <w:pPr>
              <w:spacing w:after="40"/>
              <w:jc w:val="left"/>
            </w:pPr>
            <w:r/>
            <w:r>
              <w:rPr>
                <w:rFonts w:ascii="Times New Roman" w:hAnsi="Times New Roman" w:cs="Times New Roman"/>
                <w:b w:val="0"/>
                <w:i w:val="0"/>
                <w:sz w:val="16"/>
              </w:rPr>
              <w:t>US 2011/0177484 A1 — secure remote testing with dual capture</w:t>
            </w:r>
          </w:p>
        </w:tc>
        <w:tc>
          <w:tcPr>
            <w:tcW w:type="dxa" w:w="1037"/>
          </w:tcPr>
          <w:p>
            <w:pPr>
              <w:spacing w:after="40"/>
              <w:jc w:val="center"/>
            </w:pPr>
            <w:r/>
            <w:r>
              <w:rPr>
                <w:rFonts w:ascii="Times New Roman" w:hAnsi="Times New Roman" w:cs="Times New Roman"/>
                <w:b w:val="0"/>
                <w:i w:val="0"/>
                <w:sz w:val="16"/>
              </w:rPr>
              <w:t>2011 / patent</w:t>
            </w:r>
          </w:p>
        </w:tc>
        <w:tc>
          <w:tcPr>
            <w:tcW w:type="dxa" w:w="2966"/>
          </w:tcPr>
          <w:p>
            <w:pPr>
              <w:spacing w:after="40"/>
              <w:jc w:val="left"/>
            </w:pPr>
            <w:r/>
            <w:r>
              <w:rPr>
                <w:rFonts w:ascii="Times New Roman" w:hAnsi="Times New Roman" w:cs="Times New Roman"/>
                <w:b w:val="0"/>
                <w:i w:val="0"/>
                <w:sz w:val="16"/>
              </w:rPr>
              <w:t>Two camera views of the candidate and workspace, recorded for adjudication.</w:t>
            </w:r>
          </w:p>
        </w:tc>
        <w:tc>
          <w:tcPr>
            <w:tcW w:type="dxa" w:w="3413"/>
          </w:tcPr>
          <w:p>
            <w:pPr>
              <w:spacing w:after="40"/>
              <w:jc w:val="left"/>
            </w:pPr>
            <w:r/>
            <w:r>
              <w:rPr>
                <w:rFonts w:ascii="Times New Roman" w:hAnsi="Times New Roman" w:cs="Times New Roman"/>
                <w:b w:val="0"/>
                <w:i w:val="0"/>
                <w:sz w:val="16"/>
              </w:rPr>
              <w:t>Platform art, conceded. Adds viewpoints, not a decision rule and not an intervention.</w:t>
            </w:r>
          </w:p>
        </w:tc>
      </w:tr>
      <w:tr>
        <w:tc>
          <w:tcPr>
            <w:tcW w:type="dxa" w:w="432"/>
          </w:tcPr>
          <w:p>
            <w:pPr>
              <w:spacing w:after="40"/>
              <w:jc w:val="center"/>
            </w:pPr>
            <w:r/>
            <w:r>
              <w:rPr>
                <w:rFonts w:ascii="Times New Roman" w:hAnsi="Times New Roman" w:cs="Times New Roman"/>
                <w:b w:val="0"/>
                <w:i w:val="0"/>
                <w:sz w:val="16"/>
              </w:rPr>
              <w:t>7</w:t>
            </w:r>
          </w:p>
        </w:tc>
        <w:tc>
          <w:tcPr>
            <w:tcW w:type="dxa" w:w="2088"/>
          </w:tcPr>
          <w:p>
            <w:pPr>
              <w:spacing w:after="40"/>
              <w:jc w:val="left"/>
            </w:pPr>
            <w:r/>
            <w:r>
              <w:rPr>
                <w:rFonts w:ascii="Times New Roman" w:hAnsi="Times New Roman" w:cs="Times New Roman"/>
                <w:b w:val="0"/>
                <w:i w:val="0"/>
                <w:sz w:val="16"/>
              </w:rPr>
              <w:t>US 9,601,024 B2 — monitoring of test-taker activity</w:t>
            </w:r>
          </w:p>
        </w:tc>
        <w:tc>
          <w:tcPr>
            <w:tcW w:type="dxa" w:w="1037"/>
          </w:tcPr>
          <w:p>
            <w:pPr>
              <w:spacing w:after="40"/>
              <w:jc w:val="center"/>
            </w:pPr>
            <w:r/>
            <w:r>
              <w:rPr>
                <w:rFonts w:ascii="Times New Roman" w:hAnsi="Times New Roman" w:cs="Times New Roman"/>
                <w:b w:val="0"/>
                <w:i w:val="0"/>
                <w:sz w:val="16"/>
              </w:rPr>
              <w:t>2017 / patent</w:t>
            </w:r>
          </w:p>
        </w:tc>
        <w:tc>
          <w:tcPr>
            <w:tcW w:type="dxa" w:w="2966"/>
          </w:tcPr>
          <w:p>
            <w:pPr>
              <w:spacing w:after="40"/>
              <w:jc w:val="left"/>
            </w:pPr>
            <w:r/>
            <w:r>
              <w:rPr>
                <w:rFonts w:ascii="Times New Roman" w:hAnsi="Times New Roman" w:cs="Times New Roman"/>
                <w:b w:val="0"/>
                <w:i w:val="0"/>
                <w:sz w:val="16"/>
              </w:rPr>
              <w:t>Activity monitoring during a computerised test with rule-based flagging.</w:t>
            </w:r>
          </w:p>
        </w:tc>
        <w:tc>
          <w:tcPr>
            <w:tcW w:type="dxa" w:w="3413"/>
          </w:tcPr>
          <w:p>
            <w:pPr>
              <w:spacing w:after="40"/>
              <w:jc w:val="left"/>
            </w:pPr>
            <w:r/>
            <w:r>
              <w:rPr>
                <w:rFonts w:ascii="Times New Roman" w:hAnsi="Times New Roman" w:cs="Times New Roman"/>
                <w:b w:val="0"/>
                <w:i w:val="0"/>
                <w:sz w:val="16"/>
              </w:rPr>
              <w:t>Rules are specified in advance against observable behaviours. No physical onset reference and no graduated, rate-limited enforcement.</w:t>
            </w:r>
          </w:p>
        </w:tc>
      </w:tr>
      <w:tr>
        <w:tc>
          <w:tcPr>
            <w:tcW w:type="dxa" w:w="432"/>
          </w:tcPr>
          <w:p>
            <w:pPr>
              <w:spacing w:after="40"/>
              <w:jc w:val="center"/>
            </w:pPr>
            <w:r/>
            <w:r>
              <w:rPr>
                <w:rFonts w:ascii="Times New Roman" w:hAnsi="Times New Roman" w:cs="Times New Roman"/>
                <w:b w:val="0"/>
                <w:i w:val="0"/>
                <w:sz w:val="16"/>
              </w:rPr>
              <w:t>8</w:t>
            </w:r>
          </w:p>
        </w:tc>
        <w:tc>
          <w:tcPr>
            <w:tcW w:type="dxa" w:w="2088"/>
          </w:tcPr>
          <w:p>
            <w:pPr>
              <w:spacing w:after="40"/>
              <w:jc w:val="left"/>
            </w:pPr>
            <w:r/>
            <w:r>
              <w:rPr>
                <w:rFonts w:ascii="Times New Roman" w:hAnsi="Times New Roman" w:cs="Times New Roman"/>
                <w:b w:val="0"/>
                <w:i w:val="0"/>
                <w:sz w:val="16"/>
              </w:rPr>
              <w:t>CN 110414225 B; US 10,515,234; US 10,970,423 — in-line USB data diodes and peripheral isolation</w:t>
            </w:r>
          </w:p>
        </w:tc>
        <w:tc>
          <w:tcPr>
            <w:tcW w:type="dxa" w:w="1037"/>
          </w:tcPr>
          <w:p>
            <w:pPr>
              <w:spacing w:after="40"/>
              <w:jc w:val="center"/>
            </w:pPr>
            <w:r/>
            <w:r>
              <w:rPr>
                <w:rFonts w:ascii="Times New Roman" w:hAnsi="Times New Roman" w:cs="Times New Roman"/>
                <w:b w:val="0"/>
                <w:i w:val="0"/>
                <w:sz w:val="16"/>
              </w:rPr>
              <w:t>2019–2021 / patents</w:t>
            </w:r>
          </w:p>
        </w:tc>
        <w:tc>
          <w:tcPr>
            <w:tcW w:type="dxa" w:w="2966"/>
          </w:tcPr>
          <w:p>
            <w:pPr>
              <w:spacing w:after="40"/>
              <w:jc w:val="left"/>
            </w:pPr>
            <w:r/>
            <w:r>
              <w:rPr>
                <w:rFonts w:ascii="Times New Roman" w:hAnsi="Times New Roman" w:cs="Times New Roman"/>
                <w:b w:val="0"/>
                <w:i w:val="0"/>
                <w:sz w:val="16"/>
              </w:rPr>
              <w:t>Hardware placed in series with a USB peripheral that permits, blocks or restricts the data path under an external control signal.</w:t>
            </w:r>
          </w:p>
        </w:tc>
        <w:tc>
          <w:tcPr>
            <w:tcW w:type="dxa" w:w="3413"/>
          </w:tcPr>
          <w:p>
            <w:pPr>
              <w:spacing w:after="40"/>
              <w:jc w:val="left"/>
            </w:pPr>
            <w:r/>
            <w:r>
              <w:rPr>
                <w:rFonts w:ascii="Times New Roman" w:hAnsi="Times New Roman" w:cs="Times New Roman"/>
                <w:b w:val="0"/>
                <w:i w:val="0"/>
                <w:sz w:val="16"/>
              </w:rPr>
              <w:t>Supplies the enforcement component and is conceded as known. What is not disclosed is the arrangement that decides when such a unit should act: no sensing, no corroboration value, no interlock condition governing the control signal.</w:t>
            </w:r>
          </w:p>
        </w:tc>
      </w:tr>
      <w:tr>
        <w:tc>
          <w:tcPr>
            <w:tcW w:type="dxa" w:w="432"/>
          </w:tcPr>
          <w:p>
            <w:pPr>
              <w:spacing w:after="40"/>
              <w:jc w:val="center"/>
            </w:pPr>
            <w:r/>
            <w:r>
              <w:rPr>
                <w:rFonts w:ascii="Times New Roman" w:hAnsi="Times New Roman" w:cs="Times New Roman"/>
                <w:b w:val="0"/>
                <w:i w:val="0"/>
                <w:sz w:val="16"/>
              </w:rPr>
              <w:t>9</w:t>
            </w:r>
          </w:p>
        </w:tc>
        <w:tc>
          <w:tcPr>
            <w:tcW w:type="dxa" w:w="2088"/>
          </w:tcPr>
          <w:p>
            <w:pPr>
              <w:spacing w:after="40"/>
              <w:jc w:val="left"/>
            </w:pPr>
            <w:r/>
            <w:r>
              <w:rPr>
                <w:rFonts w:ascii="Times New Roman" w:hAnsi="Times New Roman" w:cs="Times New Roman"/>
                <w:b w:val="0"/>
                <w:i w:val="0"/>
                <w:sz w:val="16"/>
              </w:rPr>
              <w:t>US 9,734,358 B2 and secure KVM isolation practice</w:t>
            </w:r>
          </w:p>
        </w:tc>
        <w:tc>
          <w:tcPr>
            <w:tcW w:type="dxa" w:w="1037"/>
          </w:tcPr>
          <w:p>
            <w:pPr>
              <w:spacing w:after="40"/>
              <w:jc w:val="center"/>
            </w:pPr>
            <w:r/>
            <w:r>
              <w:rPr>
                <w:rFonts w:ascii="Times New Roman" w:hAnsi="Times New Roman" w:cs="Times New Roman"/>
                <w:b w:val="0"/>
                <w:i w:val="0"/>
                <w:sz w:val="16"/>
              </w:rPr>
              <w:t>2017 / patent + category</w:t>
            </w:r>
          </w:p>
        </w:tc>
        <w:tc>
          <w:tcPr>
            <w:tcW w:type="dxa" w:w="2966"/>
          </w:tcPr>
          <w:p>
            <w:pPr>
              <w:spacing w:after="40"/>
              <w:jc w:val="left"/>
            </w:pPr>
            <w:r/>
            <w:r>
              <w:rPr>
                <w:rFonts w:ascii="Times New Roman" w:hAnsi="Times New Roman" w:cs="Times New Roman"/>
                <w:b w:val="0"/>
                <w:i w:val="0"/>
                <w:sz w:val="16"/>
              </w:rPr>
              <w:t>Isolation of keyboard and video paths between security domains, with unidirectional data enforcement.</w:t>
            </w:r>
          </w:p>
        </w:tc>
        <w:tc>
          <w:tcPr>
            <w:tcW w:type="dxa" w:w="3413"/>
          </w:tcPr>
          <w:p>
            <w:pPr>
              <w:spacing w:after="40"/>
              <w:jc w:val="left"/>
            </w:pPr>
            <w:r/>
            <w:r>
              <w:rPr>
                <w:rFonts w:ascii="Times New Roman" w:hAnsi="Times New Roman" w:cs="Times New Roman"/>
                <w:b w:val="0"/>
                <w:i w:val="0"/>
                <w:sz w:val="16"/>
              </w:rPr>
              <w:t>Static policy enforcement between domains. The gate state is configured, not derived from live measurement of the operator.</w:t>
            </w:r>
          </w:p>
        </w:tc>
      </w:tr>
      <w:tr>
        <w:tc>
          <w:tcPr>
            <w:tcW w:type="dxa" w:w="432"/>
          </w:tcPr>
          <w:p>
            <w:pPr>
              <w:spacing w:after="40"/>
              <w:jc w:val="center"/>
            </w:pPr>
            <w:r/>
            <w:r>
              <w:rPr>
                <w:rFonts w:ascii="Times New Roman" w:hAnsi="Times New Roman" w:cs="Times New Roman"/>
                <w:b w:val="0"/>
                <w:i w:val="0"/>
                <w:sz w:val="16"/>
              </w:rPr>
              <w:t>10</w:t>
            </w:r>
          </w:p>
        </w:tc>
        <w:tc>
          <w:tcPr>
            <w:tcW w:type="dxa" w:w="2088"/>
          </w:tcPr>
          <w:p>
            <w:pPr>
              <w:spacing w:after="40"/>
              <w:jc w:val="left"/>
            </w:pPr>
            <w:r/>
            <w:r>
              <w:rPr>
                <w:rFonts w:ascii="Times New Roman" w:hAnsi="Times New Roman" w:cs="Times New Roman"/>
                <w:b w:val="0"/>
                <w:i w:val="0"/>
                <w:sz w:val="16"/>
              </w:rPr>
              <w:t>Kundu et al. — keystroke dynamics against LLM-assisted writing (arXiv:2406.15335)</w:t>
            </w:r>
          </w:p>
        </w:tc>
        <w:tc>
          <w:tcPr>
            <w:tcW w:type="dxa" w:w="1037"/>
          </w:tcPr>
          <w:p>
            <w:pPr>
              <w:spacing w:after="40"/>
              <w:jc w:val="center"/>
            </w:pPr>
            <w:r/>
            <w:r>
              <w:rPr>
                <w:rFonts w:ascii="Times New Roman" w:hAnsi="Times New Roman" w:cs="Times New Roman"/>
                <w:b w:val="0"/>
                <w:i w:val="0"/>
                <w:sz w:val="16"/>
              </w:rPr>
              <w:t>2024 / preprint</w:t>
            </w:r>
          </w:p>
        </w:tc>
        <w:tc>
          <w:tcPr>
            <w:tcW w:type="dxa" w:w="2966"/>
          </w:tcPr>
          <w:p>
            <w:pPr>
              <w:spacing w:after="40"/>
              <w:jc w:val="left"/>
            </w:pPr>
            <w:r/>
            <w:r>
              <w:rPr>
                <w:rFonts w:ascii="Times New Roman" w:hAnsi="Times New Roman" w:cs="Times New Roman"/>
                <w:b w:val="0"/>
                <w:i w:val="0"/>
                <w:sz w:val="16"/>
              </w:rPr>
              <w:t>TypeNet-family keystroke models distinguish text written unaided from text produced with a large-language-model assistant. Reported condition-specific accuracy 74.98 % to 85.72 %.</w:t>
            </w:r>
          </w:p>
        </w:tc>
        <w:tc>
          <w:tcPr>
            <w:tcW w:type="dxa" w:w="3413"/>
          </w:tcPr>
          <w:p>
            <w:pPr>
              <w:spacing w:after="40"/>
              <w:jc w:val="left"/>
            </w:pPr>
            <w:r/>
            <w:r>
              <w:rPr>
                <w:rFonts w:ascii="Times New Roman" w:hAnsi="Times New Roman" w:cs="Times New Roman"/>
                <w:b w:val="0"/>
                <w:i w:val="0"/>
                <w:sz w:val="16"/>
              </w:rPr>
              <w:t>The published quantitative benchmark for this problem, and software-only. One modality, no sensor at the desk, no attribution of any acoustic event, no real-time intervention. It answers whether a passage was assisted, after the fact.</w:t>
            </w:r>
          </w:p>
        </w:tc>
      </w:tr>
      <w:tr>
        <w:tc>
          <w:tcPr>
            <w:tcW w:type="dxa" w:w="432"/>
          </w:tcPr>
          <w:p>
            <w:pPr>
              <w:spacing w:after="40"/>
              <w:jc w:val="center"/>
            </w:pPr>
            <w:r/>
            <w:r>
              <w:rPr>
                <w:rFonts w:ascii="Times New Roman" w:hAnsi="Times New Roman" w:cs="Times New Roman"/>
                <w:b w:val="0"/>
                <w:i w:val="0"/>
                <w:sz w:val="16"/>
              </w:rPr>
              <w:t>11</w:t>
            </w:r>
          </w:p>
        </w:tc>
        <w:tc>
          <w:tcPr>
            <w:tcW w:type="dxa" w:w="2088"/>
          </w:tcPr>
          <w:p>
            <w:pPr>
              <w:spacing w:after="40"/>
              <w:jc w:val="left"/>
            </w:pPr>
            <w:r/>
            <w:r>
              <w:rPr>
                <w:rFonts w:ascii="Times New Roman" w:hAnsi="Times New Roman" w:cs="Times New Roman"/>
                <w:b w:val="0"/>
                <w:i w:val="0"/>
                <w:sz w:val="16"/>
              </w:rPr>
              <w:t>Mehta et al. — follow-up study on paraphrasing conditions (arXiv:2511.12468)</w:t>
            </w:r>
          </w:p>
        </w:tc>
        <w:tc>
          <w:tcPr>
            <w:tcW w:type="dxa" w:w="1037"/>
          </w:tcPr>
          <w:p>
            <w:pPr>
              <w:spacing w:after="40"/>
              <w:jc w:val="center"/>
            </w:pPr>
            <w:r/>
            <w:r>
              <w:rPr>
                <w:rFonts w:ascii="Times New Roman" w:hAnsi="Times New Roman" w:cs="Times New Roman"/>
                <w:b w:val="0"/>
                <w:i w:val="0"/>
                <w:sz w:val="16"/>
              </w:rPr>
              <w:t>2025 / preprint</w:t>
            </w:r>
          </w:p>
        </w:tc>
        <w:tc>
          <w:tcPr>
            <w:tcW w:type="dxa" w:w="2966"/>
          </w:tcPr>
          <w:p>
            <w:pPr>
              <w:spacing w:after="40"/>
              <w:jc w:val="left"/>
            </w:pPr>
            <w:r/>
            <w:r>
              <w:rPr>
                <w:rFonts w:ascii="Times New Roman" w:hAnsi="Times New Roman" w:cs="Times New Roman"/>
                <w:b w:val="0"/>
                <w:i w:val="0"/>
                <w:sz w:val="16"/>
              </w:rPr>
              <w:t>130 participants; detection degrades as the assisted text is paraphrased before entry.</w:t>
            </w:r>
          </w:p>
        </w:tc>
        <w:tc>
          <w:tcPr>
            <w:tcW w:type="dxa" w:w="3413"/>
          </w:tcPr>
          <w:p>
            <w:pPr>
              <w:spacing w:after="40"/>
              <w:jc w:val="left"/>
            </w:pPr>
            <w:r/>
            <w:r>
              <w:rPr>
                <w:rFonts w:ascii="Times New Roman" w:hAnsi="Times New Roman" w:cs="Times New Roman"/>
                <w:b w:val="0"/>
                <w:i w:val="0"/>
                <w:sz w:val="16"/>
              </w:rPr>
              <w:t>Same architecture and the same gap. Establishes that a single input-dynamics channel is fragile in isolation, which is the reason the present invention refuses to actuate on one channel.</w:t>
            </w:r>
          </w:p>
        </w:tc>
      </w:tr>
      <w:tr>
        <w:tc>
          <w:tcPr>
            <w:tcW w:type="dxa" w:w="432"/>
          </w:tcPr>
          <w:p>
            <w:pPr>
              <w:spacing w:after="40"/>
              <w:jc w:val="center"/>
            </w:pPr>
            <w:r/>
            <w:r>
              <w:rPr>
                <w:rFonts w:ascii="Times New Roman" w:hAnsi="Times New Roman" w:cs="Times New Roman"/>
                <w:b w:val="0"/>
                <w:i w:val="0"/>
                <w:sz w:val="16"/>
              </w:rPr>
              <w:t>12</w:t>
            </w:r>
          </w:p>
        </w:tc>
        <w:tc>
          <w:tcPr>
            <w:tcW w:type="dxa" w:w="2088"/>
          </w:tcPr>
          <w:p>
            <w:pPr>
              <w:spacing w:after="40"/>
              <w:jc w:val="left"/>
            </w:pPr>
            <w:r/>
            <w:r>
              <w:rPr>
                <w:rFonts w:ascii="Times New Roman" w:hAnsi="Times New Roman" w:cs="Times New Roman"/>
                <w:b w:val="0"/>
                <w:i w:val="0"/>
                <w:sz w:val="16"/>
              </w:rPr>
              <w:t>Preknowledge and answer-copying detection from response times (Balta &amp; Dogan 2024; and the joint response-time / accuracy literature)</w:t>
            </w:r>
          </w:p>
        </w:tc>
        <w:tc>
          <w:tcPr>
            <w:tcW w:type="dxa" w:w="1037"/>
          </w:tcPr>
          <w:p>
            <w:pPr>
              <w:spacing w:after="40"/>
              <w:jc w:val="center"/>
            </w:pPr>
            <w:r/>
            <w:r>
              <w:rPr>
                <w:rFonts w:ascii="Times New Roman" w:hAnsi="Times New Roman" w:cs="Times New Roman"/>
                <w:b w:val="0"/>
                <w:i w:val="0"/>
                <w:sz w:val="16"/>
              </w:rPr>
              <w:t>2021–2024 / journals</w:t>
            </w:r>
          </w:p>
        </w:tc>
        <w:tc>
          <w:tcPr>
            <w:tcW w:type="dxa" w:w="2966"/>
          </w:tcPr>
          <w:p>
            <w:pPr>
              <w:spacing w:after="40"/>
              <w:jc w:val="left"/>
            </w:pPr>
            <w:r/>
            <w:r>
              <w:rPr>
                <w:rFonts w:ascii="Times New Roman" w:hAnsi="Times New Roman" w:cs="Times New Roman"/>
                <w:b w:val="0"/>
                <w:i w:val="0"/>
                <w:sz w:val="16"/>
              </w:rPr>
              <w:t>Item-response and response-time joint models identify examinees whose speed and accuracy pattern indicates prior knowledge of items or copying.</w:t>
            </w:r>
          </w:p>
        </w:tc>
        <w:tc>
          <w:tcPr>
            <w:tcW w:type="dxa" w:w="3413"/>
          </w:tcPr>
          <w:p>
            <w:pPr>
              <w:spacing w:after="40"/>
              <w:jc w:val="left"/>
            </w:pPr>
            <w:r/>
            <w:r>
              <w:rPr>
                <w:rFonts w:ascii="Times New Roman" w:hAnsi="Times New Roman" w:cs="Times New Roman"/>
                <w:b w:val="0"/>
                <w:i w:val="0"/>
                <w:sz w:val="16"/>
              </w:rPr>
              <w:t>Cohort-level and offline. Operates on completed response vectors, produces a statistical flag after the session, and by construction permits no intervention during it. No sensor, no attribution, no actuation.</w:t>
            </w:r>
          </w:p>
        </w:tc>
      </w:tr>
      <w:tr>
        <w:tc>
          <w:tcPr>
            <w:tcW w:type="dxa" w:w="432"/>
          </w:tcPr>
          <w:p>
            <w:pPr>
              <w:spacing w:after="40"/>
              <w:jc w:val="center"/>
            </w:pPr>
            <w:r/>
            <w:r>
              <w:rPr>
                <w:rFonts w:ascii="Times New Roman" w:hAnsi="Times New Roman" w:cs="Times New Roman"/>
                <w:b w:val="0"/>
                <w:i w:val="0"/>
                <w:sz w:val="16"/>
              </w:rPr>
              <w:t>13</w:t>
            </w:r>
          </w:p>
        </w:tc>
        <w:tc>
          <w:tcPr>
            <w:tcW w:type="dxa" w:w="2088"/>
          </w:tcPr>
          <w:p>
            <w:pPr>
              <w:spacing w:after="40"/>
              <w:jc w:val="left"/>
            </w:pPr>
            <w:r/>
            <w:r>
              <w:rPr>
                <w:rFonts w:ascii="Times New Roman" w:hAnsi="Times New Roman" w:cs="Times New Roman"/>
                <w:b w:val="0"/>
                <w:i w:val="0"/>
                <w:sz w:val="16"/>
              </w:rPr>
              <w:t>Killourhy &amp; Maxion — comparing anomaly detectors for keystroke dynamics</w:t>
            </w:r>
          </w:p>
        </w:tc>
        <w:tc>
          <w:tcPr>
            <w:tcW w:type="dxa" w:w="1037"/>
          </w:tcPr>
          <w:p>
            <w:pPr>
              <w:spacing w:after="40"/>
              <w:jc w:val="center"/>
            </w:pPr>
            <w:r/>
            <w:r>
              <w:rPr>
                <w:rFonts w:ascii="Times New Roman" w:hAnsi="Times New Roman" w:cs="Times New Roman"/>
                <w:b w:val="0"/>
                <w:i w:val="0"/>
                <w:sz w:val="16"/>
              </w:rPr>
              <w:t>2009 / conference</w:t>
            </w:r>
          </w:p>
        </w:tc>
        <w:tc>
          <w:tcPr>
            <w:tcW w:type="dxa" w:w="2966"/>
          </w:tcPr>
          <w:p>
            <w:pPr>
              <w:spacing w:after="40"/>
              <w:jc w:val="left"/>
            </w:pPr>
            <w:r/>
            <w:r>
              <w:rPr>
                <w:rFonts w:ascii="Times New Roman" w:hAnsi="Times New Roman" w:cs="Times New Roman"/>
                <w:b w:val="0"/>
                <w:i w:val="0"/>
                <w:sz w:val="16"/>
              </w:rPr>
              <w:t>Benchmark corpus and evaluation protocol for keystroke-timing biometrics; Manhattan-scaled, Mahalanobis and Euclidean detectors against an enrolled profile.</w:t>
            </w:r>
          </w:p>
        </w:tc>
        <w:tc>
          <w:tcPr>
            <w:tcW w:type="dxa" w:w="3413"/>
          </w:tcPr>
          <w:p>
            <w:pPr>
              <w:spacing w:after="40"/>
              <w:jc w:val="left"/>
            </w:pPr>
            <w:r/>
            <w:r>
              <w:rPr>
                <w:rFonts w:ascii="Times New Roman" w:hAnsi="Times New Roman" w:cs="Times New Roman"/>
                <w:b w:val="0"/>
                <w:i w:val="0"/>
                <w:sz w:val="16"/>
              </w:rPr>
              <w:t>A component of the present invention and used here as the measurement basis for the discontinuity channel. It teaches verifying identity from typing rhythm. It does not teach using the deviation as evidence that the candidate is transcribing a dictated answer, nor tying that deviation to an acoustic event and a display transition.</w:t>
            </w:r>
          </w:p>
        </w:tc>
      </w:tr>
      <w:tr>
        <w:tc>
          <w:tcPr>
            <w:tcW w:type="dxa" w:w="432"/>
          </w:tcPr>
          <w:p>
            <w:pPr>
              <w:spacing w:after="40"/>
              <w:jc w:val="center"/>
            </w:pPr>
            <w:r/>
            <w:r>
              <w:rPr>
                <w:rFonts w:ascii="Times New Roman" w:hAnsi="Times New Roman" w:cs="Times New Roman"/>
                <w:b w:val="0"/>
                <w:i w:val="0"/>
                <w:sz w:val="16"/>
              </w:rPr>
              <w:t>14</w:t>
            </w:r>
          </w:p>
        </w:tc>
        <w:tc>
          <w:tcPr>
            <w:tcW w:type="dxa" w:w="2088"/>
          </w:tcPr>
          <w:p>
            <w:pPr>
              <w:spacing w:after="40"/>
              <w:jc w:val="left"/>
            </w:pPr>
            <w:r/>
            <w:r>
              <w:rPr>
                <w:rFonts w:ascii="Times New Roman" w:hAnsi="Times New Roman" w:cs="Times New Roman"/>
                <w:b w:val="0"/>
                <w:i w:val="0"/>
                <w:sz w:val="16"/>
              </w:rPr>
              <w:t>Photodiode marking of stimulus onset in psychophysics and electroencephalography</w:t>
            </w:r>
          </w:p>
        </w:tc>
        <w:tc>
          <w:tcPr>
            <w:tcW w:type="dxa" w:w="1037"/>
          </w:tcPr>
          <w:p>
            <w:pPr>
              <w:spacing w:after="40"/>
              <w:jc w:val="center"/>
            </w:pPr>
            <w:r/>
            <w:r>
              <w:rPr>
                <w:rFonts w:ascii="Times New Roman" w:hAnsi="Times New Roman" w:cs="Times New Roman"/>
                <w:b w:val="0"/>
                <w:i w:val="0"/>
                <w:sz w:val="16"/>
              </w:rPr>
              <w:t>category</w:t>
            </w:r>
          </w:p>
        </w:tc>
        <w:tc>
          <w:tcPr>
            <w:tcW w:type="dxa" w:w="2966"/>
          </w:tcPr>
          <w:p>
            <w:pPr>
              <w:spacing w:after="40"/>
              <w:jc w:val="left"/>
            </w:pPr>
            <w:r/>
            <w:r>
              <w:rPr>
                <w:rFonts w:ascii="Times New Roman" w:hAnsi="Times New Roman" w:cs="Times New Roman"/>
                <w:b w:val="0"/>
                <w:i w:val="0"/>
                <w:sz w:val="16"/>
              </w:rPr>
              <w:t>A photodiode placed over a patch of the display recovers true stimulus-onset timing independently of the rendering software.</w:t>
            </w:r>
          </w:p>
        </w:tc>
        <w:tc>
          <w:tcPr>
            <w:tcW w:type="dxa" w:w="3413"/>
          </w:tcPr>
          <w:p>
            <w:pPr>
              <w:spacing w:after="40"/>
              <w:jc w:val="left"/>
            </w:pPr>
            <w:r/>
            <w:r>
              <w:rPr>
                <w:rFonts w:ascii="Times New Roman" w:hAnsi="Times New Roman" w:cs="Times New Roman"/>
                <w:b w:val="0"/>
                <w:i w:val="0"/>
                <w:sz w:val="16"/>
              </w:rPr>
              <w:t>Standard laboratory instrumentation, conceded as known in its own field. It has not been applied as an integrity reference at an examination station, nor used as the origin of a latency band that gates a physical intervention.</w:t>
            </w:r>
          </w:p>
        </w:tc>
      </w:tr>
      <w:tr>
        <w:tc>
          <w:tcPr>
            <w:tcW w:type="dxa" w:w="432"/>
          </w:tcPr>
          <w:p>
            <w:pPr>
              <w:spacing w:after="40"/>
              <w:jc w:val="center"/>
            </w:pPr>
            <w:r/>
            <w:r>
              <w:rPr>
                <w:rFonts w:ascii="Times New Roman" w:hAnsi="Times New Roman" w:cs="Times New Roman"/>
                <w:b w:val="0"/>
                <w:i w:val="0"/>
                <w:sz w:val="16"/>
              </w:rPr>
              <w:t>15</w:t>
            </w:r>
          </w:p>
        </w:tc>
        <w:tc>
          <w:tcPr>
            <w:tcW w:type="dxa" w:w="2088"/>
          </w:tcPr>
          <w:p>
            <w:pPr>
              <w:spacing w:after="40"/>
              <w:jc w:val="left"/>
            </w:pPr>
            <w:r/>
            <w:r>
              <w:rPr>
                <w:rFonts w:ascii="Times New Roman" w:hAnsi="Times New Roman" w:cs="Times New Roman"/>
                <w:b w:val="0"/>
                <w:i w:val="0"/>
                <w:sz w:val="16"/>
              </w:rPr>
              <w:t>Contact and structure-borne pickup for own-voice detection</w:t>
            </w:r>
          </w:p>
        </w:tc>
        <w:tc>
          <w:tcPr>
            <w:tcW w:type="dxa" w:w="1037"/>
          </w:tcPr>
          <w:p>
            <w:pPr>
              <w:spacing w:after="40"/>
              <w:jc w:val="center"/>
            </w:pPr>
            <w:r/>
            <w:r>
              <w:rPr>
                <w:rFonts w:ascii="Times New Roman" w:hAnsi="Times New Roman" w:cs="Times New Roman"/>
                <w:b w:val="0"/>
                <w:i w:val="0"/>
                <w:sz w:val="16"/>
              </w:rPr>
              <w:t>category</w:t>
            </w:r>
          </w:p>
        </w:tc>
        <w:tc>
          <w:tcPr>
            <w:tcW w:type="dxa" w:w="2966"/>
          </w:tcPr>
          <w:p>
            <w:pPr>
              <w:spacing w:after="40"/>
              <w:jc w:val="left"/>
            </w:pPr>
            <w:r/>
            <w:r>
              <w:rPr>
                <w:rFonts w:ascii="Times New Roman" w:hAnsi="Times New Roman" w:cs="Times New Roman"/>
                <w:b w:val="0"/>
                <w:i w:val="0"/>
                <w:sz w:val="16"/>
              </w:rPr>
              <w:t>Contact transducers pick up vocalisation conducted through a solid body while rejecting airborne sound from other sources; used in headsets and hearing devices.</w:t>
            </w:r>
          </w:p>
        </w:tc>
        <w:tc>
          <w:tcPr>
            <w:tcW w:type="dxa" w:w="3413"/>
          </w:tcPr>
          <w:p>
            <w:pPr>
              <w:spacing w:after="40"/>
              <w:jc w:val="left"/>
            </w:pPr>
            <w:r/>
            <w:r>
              <w:rPr>
                <w:rFonts w:ascii="Times New Roman" w:hAnsi="Times New Roman" w:cs="Times New Roman"/>
                <w:b w:val="0"/>
                <w:i w:val="0"/>
                <w:sz w:val="16"/>
              </w:rPr>
              <w:t>The physical principle is known. Applying it at the desk so that a whisper can be assigned to the seated candidate rather than to a neighbour, and making that attribution a precondition of enforcement, is not disclosed.</w:t>
            </w:r>
          </w:p>
        </w:tc>
      </w:tr>
      <w:tr>
        <w:tc>
          <w:tcPr>
            <w:tcW w:type="dxa" w:w="432"/>
          </w:tcPr>
          <w:p>
            <w:pPr>
              <w:spacing w:after="40"/>
              <w:jc w:val="center"/>
            </w:pPr>
            <w:r/>
            <w:r>
              <w:rPr>
                <w:rFonts w:ascii="Times New Roman" w:hAnsi="Times New Roman" w:cs="Times New Roman"/>
                <w:b w:val="0"/>
                <w:i w:val="0"/>
                <w:sz w:val="16"/>
              </w:rPr>
              <w:t>16</w:t>
            </w:r>
          </w:p>
        </w:tc>
        <w:tc>
          <w:tcPr>
            <w:tcW w:type="dxa" w:w="2088"/>
          </w:tcPr>
          <w:p>
            <w:pPr>
              <w:spacing w:after="40"/>
              <w:jc w:val="left"/>
            </w:pPr>
            <w:r/>
            <w:r>
              <w:rPr>
                <w:rFonts w:ascii="Times New Roman" w:hAnsi="Times New Roman" w:cs="Times New Roman"/>
                <w:b w:val="0"/>
                <w:i w:val="0"/>
                <w:sz w:val="16"/>
              </w:rPr>
              <w:t>Dual-channel and two-out-of-two interlocks in safety-instrumented systems (IEC 61508 practice)</w:t>
            </w:r>
          </w:p>
        </w:tc>
        <w:tc>
          <w:tcPr>
            <w:tcW w:type="dxa" w:w="1037"/>
          </w:tcPr>
          <w:p>
            <w:pPr>
              <w:spacing w:after="40"/>
              <w:jc w:val="center"/>
            </w:pPr>
            <w:r/>
            <w:r>
              <w:rPr>
                <w:rFonts w:ascii="Times New Roman" w:hAnsi="Times New Roman" w:cs="Times New Roman"/>
                <w:b w:val="0"/>
                <w:i w:val="0"/>
                <w:sz w:val="16"/>
              </w:rPr>
              <w:t>category</w:t>
            </w:r>
          </w:p>
        </w:tc>
        <w:tc>
          <w:tcPr>
            <w:tcW w:type="dxa" w:w="2966"/>
          </w:tcPr>
          <w:p>
            <w:pPr>
              <w:spacing w:after="40"/>
              <w:jc w:val="left"/>
            </w:pPr>
            <w:r/>
            <w:r>
              <w:rPr>
                <w:rFonts w:ascii="Times New Roman" w:hAnsi="Times New Roman" w:cs="Times New Roman"/>
                <w:b w:val="0"/>
                <w:i w:val="0"/>
                <w:sz w:val="16"/>
              </w:rPr>
              <w:t>Actuation of a hazardous or irreversible output is conditioned on agreement between independent sensing channels.</w:t>
            </w:r>
          </w:p>
        </w:tc>
        <w:tc>
          <w:tcPr>
            <w:tcW w:type="dxa" w:w="3413"/>
          </w:tcPr>
          <w:p>
            <w:pPr>
              <w:spacing w:after="40"/>
              <w:jc w:val="left"/>
            </w:pPr>
            <w:r/>
            <w:r>
              <w:rPr>
                <w:rFonts w:ascii="Times New Roman" w:hAnsi="Times New Roman" w:cs="Times New Roman"/>
                <w:b w:val="0"/>
                <w:i w:val="0"/>
                <w:sz w:val="16"/>
              </w:rPr>
              <w:t>Established practice in process safety. It is not applied in assessment-integrity systems, where the actuation in the prior art is a software flag and the question of channel independence therefore never arises.</w:t>
            </w:r>
          </w:p>
        </w:tc>
      </w:tr>
      <w:tr>
        <w:tc>
          <w:tcPr>
            <w:tcW w:type="dxa" w:w="432"/>
          </w:tcPr>
          <w:p>
            <w:pPr>
              <w:keepNext/>
              <w:spacing w:after="40"/>
              <w:jc w:val="center"/>
            </w:pPr>
            <w:r/>
            <w:r>
              <w:rPr>
                <w:rFonts w:ascii="Times New Roman" w:hAnsi="Times New Roman" w:cs="Times New Roman"/>
                <w:b w:val="0"/>
                <w:i w:val="0"/>
                <w:sz w:val="16"/>
              </w:rPr>
              <w:t>17</w:t>
            </w:r>
          </w:p>
        </w:tc>
        <w:tc>
          <w:tcPr>
            <w:tcW w:type="dxa" w:w="2088"/>
          </w:tcPr>
          <w:p>
            <w:pPr>
              <w:keepNext/>
              <w:spacing w:after="40"/>
              <w:jc w:val="left"/>
            </w:pPr>
            <w:r/>
            <w:r>
              <w:rPr>
                <w:rFonts w:ascii="Times New Roman" w:hAnsi="Times New Roman" w:cs="Times New Roman"/>
                <w:b w:val="0"/>
                <w:i w:val="0"/>
                <w:sz w:val="16"/>
              </w:rPr>
              <w:t>Rate limiting, debouncing and hysteresis in control systems</w:t>
            </w:r>
          </w:p>
        </w:tc>
        <w:tc>
          <w:tcPr>
            <w:tcW w:type="dxa" w:w="1037"/>
          </w:tcPr>
          <w:p>
            <w:pPr>
              <w:keepNext/>
              <w:spacing w:after="40"/>
              <w:jc w:val="center"/>
            </w:pPr>
            <w:r/>
            <w:r>
              <w:rPr>
                <w:rFonts w:ascii="Times New Roman" w:hAnsi="Times New Roman" w:cs="Times New Roman"/>
                <w:b w:val="0"/>
                <w:i w:val="0"/>
                <w:sz w:val="16"/>
              </w:rPr>
              <w:t>category</w:t>
            </w:r>
          </w:p>
        </w:tc>
        <w:tc>
          <w:tcPr>
            <w:tcW w:type="dxa" w:w="2966"/>
          </w:tcPr>
          <w:p>
            <w:pPr>
              <w:keepNext/>
              <w:spacing w:after="40"/>
              <w:jc w:val="left"/>
            </w:pPr>
            <w:r/>
            <w:r>
              <w:rPr>
                <w:rFonts w:ascii="Times New Roman" w:hAnsi="Times New Roman" w:cs="Times New Roman"/>
                <w:b w:val="0"/>
                <w:i w:val="0"/>
                <w:sz w:val="16"/>
              </w:rPr>
              <w:t>Persistence counters, cooldowns and minimum intervals suppress chattering outputs in feedback controllers.</w:t>
            </w:r>
          </w:p>
        </w:tc>
        <w:tc>
          <w:tcPr>
            <w:tcW w:type="dxa" w:w="3413"/>
          </w:tcPr>
          <w:p>
            <w:pPr>
              <w:keepNext/>
              <w:spacing w:after="40"/>
              <w:jc w:val="left"/>
            </w:pPr>
            <w:r/>
            <w:r>
              <w:rPr>
                <w:rFonts w:ascii="Times New Roman" w:hAnsi="Times New Roman" w:cs="Times New Roman"/>
                <w:b w:val="0"/>
                <w:i w:val="0"/>
                <w:sz w:val="16"/>
              </w:rPr>
              <w:t>General technique. Not disclosed as a mechanism whose parameters are set from measured detector statistics, and not disclosed in combination with an interlock over independent sensing modalities in this field.</w:t>
            </w:r>
          </w:p>
        </w:tc>
      </w:tr>
    </w:tbl>
    <w:p>
      <w:pPr>
        <w:spacing w:after="40"/>
      </w:pPr>
    </w:p>
    <w:p>
      <w:pPr>
        <w:spacing w:after="140" w:line="274" w:lineRule="auto"/>
        <w:jc w:val="both"/>
      </w:pPr>
      <w:r>
        <w:rPr>
          <w:rFonts w:ascii="Times New Roman" w:hAnsi="Times New Roman" w:cs="Times New Roman"/>
          <w:b w:val="0"/>
          <w:i w:val="0"/>
          <w:sz w:val="22"/>
        </w:rPr>
        <w:t>The search covered patent literature through Google Patents and Espacenet and the peer-reviewed and preprint literature in educational measurement, biometrics and multimodal sensing. Across the assessment-integrity entries the common structure is the same: a detector observes an appearance — a face leaving frame, a hand crossing a boundary, an unusual typing rhythm — and a threshold on that appearance produces a flag. Two consequences follow. Detection is bounded by the appearances anticipated when the system was built, and the flag is at best circumstantial, because ordinary conduct produces every one of those appearances routinely.</w:t>
      </w:r>
    </w:p>
    <w:p>
      <w:pPr>
        <w:spacing w:after="140" w:line="274" w:lineRule="auto"/>
        <w:jc w:val="both"/>
      </w:pPr>
      <w:r>
        <w:rPr>
          <w:rFonts w:ascii="Times New Roman" w:hAnsi="Times New Roman" w:cs="Times New Roman"/>
          <w:b w:val="0"/>
          <w:i w:val="0"/>
          <w:sz w:val="22"/>
        </w:rPr>
        <w:t>The present invention proceeds from a different premise. Externally assisted answering is not primarily an appearance; it is a closed causal loop with someone outside the station, and that loop leaves a timing signature that ordinary conduct cannot produce. The question must be presented before it can be communicated; the communication must be produced by the seated candidate and not by a neighbour; the answer cannot be committed sooner than a helper could have supplied it, nor so much later that no causal link remains; and an answer received from outside is entered with the input dynamics of transcription rather than of composition. No reference located by the inventor measures the origin of that loop as a physical event, attributes its acoustic element to the seated candidate, bounds its latency, tests its commit for transcription, or conditions a physical interruption of the input path on two independent modalities agreeing. Entries 8, 9, 13, 14, 15, 16 and 17 each supply one component of that arrangement and are conceded as such; what is claimed is the arrangement.</w:t>
      </w:r>
    </w:p>
    <w:p>
      <w:pPr>
        <w:keepNext/>
        <w:spacing w:before="320" w:after="120"/>
        <w:outlineLvl w:val="0"/>
      </w:pPr>
      <w:r>
        <w:rPr>
          <w:rFonts w:ascii="Times New Roman" w:hAnsi="Times New Roman" w:cs="Times New Roman"/>
          <w:b/>
          <w:i w:val="0"/>
          <w:sz w:val="26"/>
        </w:rPr>
        <w:t>4. Summary and Background of the Invention (Gap / Novelty)</w:t>
      </w:r>
    </w:p>
    <w:p>
      <w:pPr>
        <w:spacing w:after="140" w:line="274" w:lineRule="auto"/>
        <w:jc w:val="both"/>
      </w:pPr>
      <w:r>
        <w:rPr>
          <w:rFonts w:ascii="Times New Roman" w:hAnsi="Times New Roman" w:cs="Times New Roman"/>
          <w:b w:val="0"/>
          <w:i w:val="0"/>
          <w:sz w:val="22"/>
        </w:rPr>
        <w:t>Examination malpractice conducted with an accomplice outside the room has become the difficult case. The candidate reads the question, murmurs it into a concealed microphone, receives the answer through a concealed earpiece, and types it. Nothing in that sequence looks anomalous frame by frame. The candidate faces the screen throughout, produces no visible device, and types an answer at an ordinary speed. Detectors built on appearance are therefore working against the grain of the behaviour they are asked to find, and the published quantitative benchmark for the single most informative appearance — keystroke dynamics against machine-assisted writing — sits at 74.98 % to 85.72 % under favourable, condition-specific evaluation, with degradation when the assisted text is paraphrased before entry.</w:t>
      </w:r>
    </w:p>
    <w:p>
      <w:pPr>
        <w:spacing w:after="140" w:line="274" w:lineRule="auto"/>
        <w:jc w:val="both"/>
      </w:pPr>
      <w:r>
        <w:rPr>
          <w:rFonts w:ascii="Times New Roman" w:hAnsi="Times New Roman" w:cs="Times New Roman"/>
          <w:b w:val="0"/>
          <w:i w:val="0"/>
          <w:sz w:val="22"/>
        </w:rPr>
        <w:t>The invention detects the loop rather than the appearance. Three instants are recovered at the station. A photodiode over a patch of the display panel gives T0, the instant at which the question actually became visible, measured from emitted light rather than read from a software event that the examined machine itself generates. A transducer in contact with the desk gives T1, the instant of a covert vocal emission, and gives it only when the emission is coupled through the desk structure, which the candidate’s own speech is and a neighbour’s speech across an air gap is not. The input devices give T2, the instant at which the answer was committed. The apparatus then asks whether T2 minus T1 falls inside a bounded external-assistance latency band and whether the commit dynamics depart from the candidate’s enrolled profile in the direction characteristic of transcription. Only when the relation holds is a corroboration value raised, and only then may enforcement advance.</w:t>
      </w:r>
    </w:p>
    <w:p>
      <w:pPr>
        <w:spacing w:before="160" w:after="40"/>
        <w:jc w:val="center"/>
      </w:pPr>
      <w:r>
        <w:drawing>
          <wp:inline xmlns:a="http://schemas.openxmlformats.org/drawingml/2006/main" xmlns:pic="http://schemas.openxmlformats.org/drawingml/2006/picture">
            <wp:extent cx="5852160" cy="3394589"/>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394589"/>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The causal relation the interlock tests, and the four grounds on which it refuses. The apparatus does not ask whether the candidate looks suspicious; it asks whether three physically measured instants stand in the relation that external assistance imposes upon them.</w:t>
      </w:r>
    </w:p>
    <w:p>
      <w:pPr>
        <w:spacing w:after="140" w:line="274" w:lineRule="auto"/>
        <w:jc w:val="both"/>
      </w:pPr>
      <w:r>
        <w:rPr>
          <w:rFonts w:ascii="Times New Roman" w:hAnsi="Times New Roman" w:cs="Times New Roman"/>
          <w:b w:val="0"/>
          <w:i w:val="0"/>
          <w:sz w:val="22"/>
        </w:rPr>
        <w:t>Enforcement is the second half of the invention and, on the evidence of Section 8, the more substantial half. The output is not a flag. It is a graduated ladder that ends in an in-line unit physically opening the keyboard data lines, and every rung of that ladder is rate-limited by a persistence counter, a per-candidate cooldown and a global session interval that no escalation may bypass. Above the ladder sits a dual-channel interlock: the two most consequential rungs cannot be reached unless two physically independent sensing modalities have exceeded threshold within the same control cycle. No single modality may ever open a candidate’s input path.</w:t>
      </w:r>
    </w:p>
    <w:p>
      <w:pPr>
        <w:spacing w:after="140" w:line="274" w:lineRule="auto"/>
        <w:jc w:val="both"/>
      </w:pPr>
      <w:r>
        <w:rPr>
          <w:rFonts w:ascii="Times New Roman" w:hAnsi="Times New Roman" w:cs="Times New Roman"/>
          <w:b w:val="0"/>
          <w:i w:val="0"/>
          <w:sz w:val="22"/>
        </w:rPr>
        <w:t>The proposed system comprises: a station-associated sensing assembly comprising a photometric onset sensor at the display panel, a desk-contact transducer, a desk inertial unit, an imaging sensor and an input-device interface; a processing unit deriving per-channel quantities and an ordinal corroboration value from them; a causal latency interlock evaluating the relation between the measured instants; a graduated enforcement scheduler; an in-line gating unit disposed in series with the candidate input path; and an evidence record store.</w:t>
      </w:r>
    </w:p>
    <w:p>
      <w:pPr>
        <w:spacing w:before="160" w:after="40"/>
        <w:jc w:val="center"/>
      </w:pPr>
      <w:r>
        <w:drawing>
          <wp:inline xmlns:a="http://schemas.openxmlformats.org/drawingml/2006/main" xmlns:pic="http://schemas.openxmlformats.org/drawingml/2006/picture">
            <wp:extent cx="5852160" cy="3196536"/>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852160" cy="3196536"/>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System architecture. Physical sensing at the candidate station (100) supplies the channel-derivation stage; the causal latency interlock (600) and the corroboration value unit (700) decide eligibility; the graduated enforcement scheduler (800) and the dual-channel interlock (850) decide whether, and at what severity, any actuator is permitted to operate.</w:t>
      </w:r>
    </w:p>
    <w:p>
      <w:pPr>
        <w:keepNext/>
        <w:spacing w:before="220" w:after="80"/>
        <w:outlineLvl w:val="1"/>
      </w:pPr>
      <w:r>
        <w:rPr>
          <w:rFonts w:ascii="Times New Roman" w:hAnsi="Times New Roman" w:cs="Times New Roman"/>
          <w:b/>
          <w:i w:val="0"/>
          <w:sz w:val="23"/>
        </w:rPr>
        <w:t>4.1 Statement of Inventive Step (Non-Obviousness)</w:t>
      </w:r>
    </w:p>
    <w:p>
      <w:pPr>
        <w:spacing w:after="140" w:line="274" w:lineRule="auto"/>
        <w:jc w:val="both"/>
      </w:pPr>
      <w:r>
        <w:rPr>
          <w:rFonts w:ascii="Times New Roman" w:hAnsi="Times New Roman" w:cs="Times New Roman"/>
          <w:b w:val="0"/>
          <w:i w:val="0"/>
          <w:sz w:val="22"/>
        </w:rPr>
        <w:t>The inventive step does not reside in any element taken alone. Photodiode onset marking is standard laboratory instrumentation. Contact transducers that favour own-voice over airborne sound are used in headsets. Keystroke-timing comparison against an enrolled profile is a mature biometric. In-line USB isolators are sold as commodity hardware. The invention resides in the following combination, and in technical effects that no element produces on its own: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derivation of the question-onset instant T0 from light emitted by the display panel itself, rather than from a rendering event reported by the machine under examination, so that the origin of the timing analysis is a physical measurement of the panel rather than a report from the software stack. The effect of this element is not discriminative power. It is that the anchor is independent of the reported event: where the examined machine delays or misreports its own rendering, the anchor still marks the instant at which light actually reached the candidate, and where the machine suppresses the transition altogether the apparatus obtains no anchor and records that it has none, rather than accepting a false one. Independence from the reported event is what is claimed; independence from the machine is not, since in the principal embodiment the patch is rendered by that machine. The element further permits an attributed emission to be assigned to one identified assessment item rather than to the session at large;</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attribution of a covert acoustic emission to the seated candidate by requiring coincidence between a structure-borne desk channel and an airborne channel, so that speech from an adjacent candidate cannot implicate the one at the instrumented station;</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evaluation of two bounded intervals rather than one: the interval between the measured presentation instant and the attributed emission against a bounded consultation interval, whose lower bound is the shortest time in which the displayed item could have been apprehended and whose upper bound is the presentation of the succeeding item; and the interval between that emission and the answer commit against a bounded external-assistance latency band, so that an emission too early to be a reading of the item then displayed, a commit too fast for any helper to have replied, and a commit too late to bear a causal relation, are each rejected on stated grounds;</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a test of the commit itself against an enrolled input-dynamics profile of the same candidate, directed not at identity but at the distinction between composing an answer and transcribing one received from elsewhere;</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application of one desk inertial measurement at two separate points in the decision — lowering the confidence threshold demanded of the imaging channel while raising the weight given to the acoustic channel — so that a single physical quantity governs the reliability of two other channels rather than acting as a third detector;</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a graduated enforcement scheduler in which advance between severities requires persistence across consecutive control cycles and is bounded by a per-candidate cooldown and a global session interval that escalation may shorten but never eliminate;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a dual-channel interlock under which the severities that act physically upon the candidate input path are unreachable unless two physically independent sensing modalities have exceeded threshold within the same control cycle.</w:t>
      </w:r>
    </w:p>
    <w:p>
      <w:pPr>
        <w:spacing w:after="140" w:line="274" w:lineRule="auto"/>
        <w:jc w:val="both"/>
      </w:pPr>
      <w:r>
        <w:rPr>
          <w:rFonts w:ascii="Times New Roman" w:hAnsi="Times New Roman" w:cs="Times New Roman"/>
          <w:b w:val="0"/>
          <w:i w:val="0"/>
          <w:sz w:val="22"/>
        </w:rPr>
        <w:t>The synergy runs as follows. Element (c) is meaningful only because of elements (a) and (b). A latency band measured from a software-reported onset is a band measured against a clock the examined machine controls, and a latency band measured from an unattributed sound is a band that any conversation in the room can enter. Removing either measurement does not degrade the interlock; it makes the interlock meaningless, because the quantity it thresholds no longer denotes what the claim says it denotes. The dependency is structural rather than rhetorical: without T0 the first of the two intervals of element (c) cannot be formed at all, and the second ceases to be referable to any particular item. Element (d) is what prevents the band from being satisfied by coincidence: an unassisted candidate who happens to clear their throat and then answer within the band is separated from an assisted one by the manner of the commit, not by its timing.</w:t>
      </w:r>
    </w:p>
    <w:p>
      <w:pPr>
        <w:spacing w:after="140" w:line="274" w:lineRule="auto"/>
        <w:jc w:val="both"/>
      </w:pPr>
      <w:r>
        <w:rPr>
          <w:rFonts w:ascii="Times New Roman" w:hAnsi="Times New Roman" w:cs="Times New Roman"/>
          <w:b w:val="0"/>
          <w:i w:val="0"/>
          <w:sz w:val="22"/>
        </w:rPr>
        <w:t>Element (e) is a second-order use of a measurement, and it is the element least likely to be arrived at by combination. The obvious use of a desk inertial unit is as an additional detector whose output joins a fusion. Here it is not a detector at all. Physical motion of the desk degrades gaze estimation and simultaneously improves the case that a structure-borne signal originated at this desk, so the same measurement is applied with opposite sign to two other channels. Section 8 reports that qualifying a gaze departure by inertial corroboration lifts trial-level separation from 0.562 to 0.659 by itself, which is the measured consequence of the coupling and not of an extra input.</w:t>
      </w:r>
    </w:p>
    <w:p>
      <w:pPr>
        <w:spacing w:after="140" w:line="274" w:lineRule="auto"/>
        <w:jc w:val="both"/>
      </w:pPr>
      <w:r>
        <w:rPr>
          <w:rFonts w:ascii="Times New Roman" w:hAnsi="Times New Roman" w:cs="Times New Roman"/>
          <w:b w:val="0"/>
          <w:i w:val="0"/>
          <w:sz w:val="22"/>
        </w:rPr>
        <w:t>Elements (f) and (g) supply the technical effect that distinguishes this disclosure from every reference in Section 3 that ends in a flag. Once the output of an integrity system is a physical interruption of a candidate’s keyboard, a false positive is no longer a line in a report; it is an act performed upon a person sitting an examination. Requiring two channels to agree rather than either alone reduces false hardware gating on the recorded corpus from 30.58 to 9.31 events per hour, a fall of 69.6 %, and the unassisted gate rate from 29.7 % to 10.8 %, at a cost of one quarter of true gates; Section 8.6 states the respect in which that replay falls short of the two-transducer condition the claim recites. That trade is the invention taking a deliberate position: the apparatus would rather miss an assisted candidate than open the input path of an unassisted one.</w:t>
      </w:r>
    </w:p>
    <w:p>
      <w:pPr>
        <w:spacing w:after="140" w:line="274" w:lineRule="auto"/>
        <w:jc w:val="both"/>
      </w:pPr>
      <w:r>
        <w:rPr>
          <w:rFonts w:ascii="Times New Roman" w:hAnsi="Times New Roman" w:cs="Times New Roman"/>
          <w:b w:val="0"/>
          <w:i w:val="0"/>
          <w:sz w:val="22"/>
        </w:rPr>
        <w:t>A further technical effect follows from the same architecture. Because every decision is anchored to a physically measured onset and recorded with the per-channel quantities that produced it, each actuation carries a self-contained evidence record naming the instants, the channels and the rule that fired. The output is auditable by construction rather than by retention of video.</w:t>
      </w:r>
    </w:p>
    <w:p>
      <w:pPr>
        <w:keepNext/>
        <w:spacing w:before="320" w:after="120"/>
        <w:outlineLvl w:val="0"/>
      </w:pPr>
      <w:r>
        <w:rPr>
          <w:rFonts w:ascii="Times New Roman" w:hAnsi="Times New Roman" w:cs="Times New Roman"/>
          <w:b/>
          <w:i w:val="0"/>
          <w:sz w:val="26"/>
        </w:rPr>
        <w:t>5. Objectives of the Invention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To establish the question-onset instant at a candidate station as a physical measurement of emitted light, independent of any event reported by the machine under examination.</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To attribute a covert acoustic emission to the seated candidate rather than to a neighbour, by requiring coincidence between structure-borne and airborne channels.</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To detect externally assisted answering from the causal relation between presentation, emission and commit, rather than from the appearance of any one of them.</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 distinguish an answer composed by the candidate from an answer transcribed from an external source, by reference to that candidate’s own enrolled input dynamics.</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To use a single desk inertial measurement to govern the reliability of two other sensing channels, so that the apparatus degrades gracefully under physical disturbance instead of failing silently.</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To intervene physically and proportionately during the session, through a graduated ladder ending in interruption of the candidate input path, rather than to produce a report after it.</w:t>
      </w:r>
    </w:p>
    <w:p>
      <w:pPr>
        <w:spacing w:after="140" w:line="274" w:lineRule="auto"/>
        <w:ind w:left="403"/>
        <w:jc w:val="both"/>
      </w:pPr>
      <w:r>
        <w:rPr>
          <w:rFonts w:ascii="Times New Roman" w:hAnsi="Times New Roman" w:cs="Times New Roman"/>
          <w:b/>
          <w:i w:val="0"/>
          <w:sz w:val="21"/>
        </w:rPr>
        <w:t xml:space="preserve">7. </w:t>
      </w:r>
      <w:r>
        <w:rPr>
          <w:rFonts w:ascii="Times New Roman" w:hAnsi="Times New Roman" w:cs="Times New Roman"/>
          <w:b w:val="0"/>
          <w:i w:val="0"/>
          <w:sz w:val="21"/>
        </w:rPr>
        <w:t>To make actuation upon that input path impossible on the evidence of a single sensing modality, and to bound the rate of every actuation by persistence, cooldown and a global interval.</w:t>
      </w:r>
    </w:p>
    <w:p>
      <w:pPr>
        <w:spacing w:after="140" w:line="274" w:lineRule="auto"/>
        <w:ind w:left="403"/>
        <w:jc w:val="both"/>
      </w:pPr>
      <w:r>
        <w:rPr>
          <w:rFonts w:ascii="Times New Roman" w:hAnsi="Times New Roman" w:cs="Times New Roman"/>
          <w:b/>
          <w:i w:val="0"/>
          <w:sz w:val="21"/>
        </w:rPr>
        <w:t xml:space="preserve">8. </w:t>
      </w:r>
      <w:r>
        <w:rPr>
          <w:rFonts w:ascii="Times New Roman" w:hAnsi="Times New Roman" w:cs="Times New Roman"/>
          <w:b w:val="0"/>
          <w:i w:val="0"/>
          <w:sz w:val="21"/>
        </w:rPr>
        <w:t>To fail safe: to leave the candidate’s input path working whenever the controller is unpowered, reset or unresponsive, and to release any asserted gate automatically in the absence of a live decision.</w:t>
      </w:r>
    </w:p>
    <w:p>
      <w:pPr>
        <w:spacing w:after="140" w:line="274" w:lineRule="auto"/>
        <w:ind w:left="403"/>
        <w:jc w:val="both"/>
      </w:pPr>
      <w:r>
        <w:rPr>
          <w:rFonts w:ascii="Times New Roman" w:hAnsi="Times New Roman" w:cs="Times New Roman"/>
          <w:b/>
          <w:i w:val="0"/>
          <w:sz w:val="21"/>
        </w:rPr>
        <w:t xml:space="preserve">9. </w:t>
      </w:r>
      <w:r>
        <w:rPr>
          <w:rFonts w:ascii="Times New Roman" w:hAnsi="Times New Roman" w:cs="Times New Roman"/>
          <w:b w:val="0"/>
          <w:i w:val="0"/>
          <w:sz w:val="21"/>
        </w:rPr>
        <w:t>To state an honest, quantified operating envelope, including the conditions under which the apparatus should not be relied upon.</w:t>
      </w:r>
    </w:p>
    <w:p>
      <w:pPr>
        <w:keepNext/>
        <w:spacing w:before="320" w:after="120"/>
        <w:outlineLvl w:val="0"/>
      </w:pPr>
      <w:r>
        <w:rPr>
          <w:rFonts w:ascii="Times New Roman" w:hAnsi="Times New Roman" w:cs="Times New Roman"/>
          <w:b/>
          <w:i w:val="0"/>
          <w:sz w:val="26"/>
        </w:rPr>
        <w:t>6. Working Principle (in Brief)</w:t>
      </w:r>
    </w:p>
    <w:p>
      <w:pPr>
        <w:spacing w:after="140" w:line="274" w:lineRule="auto"/>
        <w:jc w:val="both"/>
      </w:pPr>
      <w:r>
        <w:rPr>
          <w:rFonts w:ascii="Times New Roman" w:hAnsi="Times New Roman" w:cs="Times New Roman"/>
          <w:b w:val="0"/>
          <w:i w:val="0"/>
          <w:sz w:val="22"/>
        </w:rPr>
        <w:t>A photodiode is fixed over a small high-contrast patch rendered in a corner of the display panel, which inverts at every question transition. The edge detected by the photodiode is the onset anchor T0, timestamped on the same monotonic clock as every other channel at the station. A piezoelectric transducer bonded to the underside of the desk and an electret microphone in the desk housing are sampled continuously; an emission is registered as T1 only where both channels exceed threshold within a short coincidence window, since vocalisation by the seated candidate couples into the desk structure through contact while a neighbour’s speech reaches the microphone without doing so. The input-device interface timestamps the answer commit as T2 and derives the timing dynamics of the keystrokes preceding it.</w:t>
      </w:r>
    </w:p>
    <w:p>
      <w:pPr>
        <w:spacing w:after="140" w:line="274" w:lineRule="auto"/>
        <w:jc w:val="both"/>
      </w:pPr>
      <w:r>
        <w:rPr>
          <w:rFonts w:ascii="Times New Roman" w:hAnsi="Times New Roman" w:cs="Times New Roman"/>
          <w:b w:val="0"/>
          <w:i w:val="0"/>
          <w:sz w:val="22"/>
        </w:rPr>
        <w:t>Within each control cycle the apparatus evaluates three conditions. The consultation-band comparator asks whether T1 minus T0 lies within a bounded interval whose lower limit is the shortest time in which the displayed item could have been apprehended and vocalised, and whose upper limit is the presentation instant of the succeeding item; an emission arriving sooner is activity carried over from the preceding item, and one arriving later belongs to a different item. The assistance-band comparator asks whether T2 minus T1 lies within a bounded interval whose lower limit is the shortest time in which an external helper could have responded and whose upper limit is the longest interval over which a causal relation is asserted. The discontinuity comparator asks whether the timing dynamics of the commit depart from the candidate’s enrolled profile in the direction characteristic of transcription. Ocular channels derived from the imaging sensor — the geometry of departures from the display and of returns to it, the scanpath and the pupil response — contribute corroborating quantities, and the desk inertial unit qualifies them: a gaze departure counts only where the desk was measurably disturbed at the same time, and the acoustic channel is weighted upward under the same condition.</w:t>
      </w:r>
    </w:p>
    <w:p>
      <w:pPr>
        <w:spacing w:after="140" w:line="274" w:lineRule="auto"/>
        <w:jc w:val="both"/>
      </w:pPr>
      <w:r>
        <w:rPr>
          <w:rFonts w:ascii="Times New Roman" w:hAnsi="Times New Roman" w:cs="Times New Roman"/>
          <w:b w:val="0"/>
          <w:i w:val="0"/>
          <w:sz w:val="22"/>
        </w:rPr>
        <w:t>The corroboration value unit combines the qualified quantities into an ordinal value and the eligibility comparator decides whether the cycle is eligible for any output at all. Eligibility is not actuation. The graduated enforcement scheduler then decides whether an eligible cycle may advance the enforcement state, requiring the same severity to be earned on consecutive cycles, respecting a per-candidate cooldown and a global session interval, and consulting the dual-channel interlock before permitting any severity that acts upon the input path. Where the interlock is satisfied, the in-line gating unit opens the keyboard data lines for a bounded interval; where it is not, the ladder stops at an indication to the candidate or an entry on the invigilator console. Every cycle, whether or not it actuated, is written to the evidence record store with the instants and channel quantities that produced it.</w:t>
      </w:r>
    </w:p>
    <w:p>
      <w:pPr>
        <w:keepNext/>
        <w:spacing w:before="320" w:after="120"/>
        <w:outlineLvl w:val="0"/>
      </w:pPr>
      <w:r>
        <w:rPr>
          <w:rFonts w:ascii="Times New Roman" w:hAnsi="Times New Roman" w:cs="Times New Roman"/>
          <w:b/>
          <w:i w:val="0"/>
          <w:sz w:val="26"/>
        </w:rPr>
        <w:t>7. Detailed Description of the Invention</w:t>
      </w:r>
    </w:p>
    <w:p>
      <w:pPr>
        <w:spacing w:after="140" w:line="274" w:lineRule="auto"/>
        <w:jc w:val="both"/>
      </w:pPr>
      <w:r>
        <w:rPr>
          <w:rFonts w:ascii="Times New Roman" w:hAnsi="Times New Roman" w:cs="Times New Roman"/>
          <w:b w:val="0"/>
          <w:i w:val="0"/>
          <w:sz w:val="22"/>
        </w:rPr>
        <w:t>The station assembly (100) carries the elements set out below. Figure 3 shows their physical arrangement at one desk and the two acoustic paths that the attribution test distinguishes. Reference numerals are used consistently throughout this document and are collected in Table 1.</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r>
      <w:tr>
        <w:tc>
          <w:tcPr>
            <w:tcW w:type="dxa" w:w="792"/>
          </w:tcPr>
          <w:p>
            <w:pPr>
              <w:spacing w:after="40"/>
              <w:jc w:val="center"/>
            </w:pPr>
            <w:r/>
            <w:r>
              <w:rPr>
                <w:rFonts w:ascii="Times New Roman" w:hAnsi="Times New Roman" w:cs="Times New Roman"/>
                <w:b w:val="0"/>
                <w:i w:val="0"/>
                <w:sz w:val="19"/>
              </w:rPr>
              <w:t>100</w:t>
            </w:r>
          </w:p>
        </w:tc>
        <w:tc>
          <w:tcPr>
            <w:tcW w:type="dxa" w:w="3672"/>
          </w:tcPr>
          <w:p>
            <w:pPr>
              <w:spacing w:after="40"/>
              <w:jc w:val="left"/>
            </w:pPr>
            <w:r/>
            <w:r>
              <w:rPr>
                <w:rFonts w:ascii="Times New Roman" w:hAnsi="Times New Roman" w:cs="Times New Roman"/>
                <w:b w:val="0"/>
                <w:i w:val="0"/>
                <w:sz w:val="19"/>
              </w:rPr>
              <w:t>candidate station / desk assembly</w:t>
            </w:r>
          </w:p>
        </w:tc>
        <w:tc>
          <w:tcPr>
            <w:tcW w:type="dxa" w:w="792"/>
          </w:tcPr>
          <w:p>
            <w:pPr>
              <w:spacing w:after="40"/>
              <w:jc w:val="center"/>
            </w:pPr>
            <w:r/>
            <w:r>
              <w:rPr>
                <w:rFonts w:ascii="Times New Roman" w:hAnsi="Times New Roman" w:cs="Times New Roman"/>
                <w:b w:val="0"/>
                <w:i w:val="0"/>
                <w:sz w:val="19"/>
              </w:rPr>
              <w:t>600</w:t>
            </w:r>
          </w:p>
        </w:tc>
        <w:tc>
          <w:tcPr>
            <w:tcW w:type="dxa" w:w="3672"/>
          </w:tcPr>
          <w:p>
            <w:pPr>
              <w:spacing w:after="40"/>
              <w:jc w:val="left"/>
            </w:pPr>
            <w:r/>
            <w:r>
              <w:rPr>
                <w:rFonts w:ascii="Times New Roman" w:hAnsi="Times New Roman" w:cs="Times New Roman"/>
                <w:b w:val="0"/>
                <w:i w:val="0"/>
                <w:sz w:val="19"/>
              </w:rPr>
              <w:t>causal latency interlock</w:t>
            </w:r>
          </w:p>
        </w:tc>
      </w:tr>
      <w:tr>
        <w:tc>
          <w:tcPr>
            <w:tcW w:type="dxa" w:w="792"/>
          </w:tcPr>
          <w:p>
            <w:pPr>
              <w:spacing w:after="40"/>
              <w:jc w:val="center"/>
            </w:pPr>
            <w:r/>
            <w:r>
              <w:rPr>
                <w:rFonts w:ascii="Times New Roman" w:hAnsi="Times New Roman" w:cs="Times New Roman"/>
                <w:b w:val="0"/>
                <w:i w:val="0"/>
                <w:sz w:val="19"/>
              </w:rPr>
              <w:t>200</w:t>
            </w:r>
          </w:p>
        </w:tc>
        <w:tc>
          <w:tcPr>
            <w:tcW w:type="dxa" w:w="3672"/>
          </w:tcPr>
          <w:p>
            <w:pPr>
              <w:spacing w:after="40"/>
              <w:jc w:val="left"/>
            </w:pPr>
            <w:r/>
            <w:r>
              <w:rPr>
                <w:rFonts w:ascii="Times New Roman" w:hAnsi="Times New Roman" w:cs="Times New Roman"/>
                <w:b w:val="0"/>
                <w:i w:val="0"/>
                <w:sz w:val="19"/>
              </w:rPr>
              <w:t>display panel</w:t>
            </w:r>
          </w:p>
        </w:tc>
        <w:tc>
          <w:tcPr>
            <w:tcW w:type="dxa" w:w="792"/>
          </w:tcPr>
          <w:p>
            <w:pPr>
              <w:spacing w:after="40"/>
              <w:jc w:val="center"/>
            </w:pPr>
            <w:r/>
            <w:r>
              <w:rPr>
                <w:rFonts w:ascii="Times New Roman" w:hAnsi="Times New Roman" w:cs="Times New Roman"/>
                <w:b w:val="0"/>
                <w:i w:val="0"/>
                <w:sz w:val="19"/>
              </w:rPr>
              <w:t>610</w:t>
            </w:r>
          </w:p>
        </w:tc>
        <w:tc>
          <w:tcPr>
            <w:tcW w:type="dxa" w:w="3672"/>
          </w:tcPr>
          <w:p>
            <w:pPr>
              <w:spacing w:after="40"/>
              <w:jc w:val="left"/>
            </w:pPr>
            <w:r/>
            <w:r>
              <w:rPr>
                <w:rFonts w:ascii="Times New Roman" w:hAnsi="Times New Roman" w:cs="Times New Roman"/>
                <w:b w:val="0"/>
                <w:i w:val="0"/>
                <w:sz w:val="19"/>
              </w:rPr>
              <w:t>assistance-band comparator</w:t>
            </w:r>
          </w:p>
        </w:tc>
      </w:tr>
      <w:tr>
        <w:tc>
          <w:tcPr>
            <w:tcW w:type="dxa" w:w="792"/>
          </w:tcPr>
          <w:p>
            <w:pPr>
              <w:spacing w:after="40"/>
              <w:jc w:val="center"/>
            </w:pPr>
            <w:r/>
            <w:r>
              <w:rPr>
                <w:rFonts w:ascii="Times New Roman" w:hAnsi="Times New Roman" w:cs="Times New Roman"/>
                <w:b w:val="0"/>
                <w:i w:val="0"/>
                <w:sz w:val="19"/>
              </w:rPr>
              <w:t>205</w:t>
            </w:r>
          </w:p>
        </w:tc>
        <w:tc>
          <w:tcPr>
            <w:tcW w:type="dxa" w:w="3672"/>
          </w:tcPr>
          <w:p>
            <w:pPr>
              <w:spacing w:after="40"/>
              <w:jc w:val="left"/>
            </w:pPr>
            <w:r/>
            <w:r>
              <w:rPr>
                <w:rFonts w:ascii="Times New Roman" w:hAnsi="Times New Roman" w:cs="Times New Roman"/>
                <w:b w:val="0"/>
                <w:i w:val="0"/>
                <w:sz w:val="19"/>
              </w:rPr>
              <w:t>rendered onset patch region</w:t>
            </w:r>
          </w:p>
        </w:tc>
        <w:tc>
          <w:tcPr>
            <w:tcW w:type="dxa" w:w="792"/>
          </w:tcPr>
          <w:p>
            <w:pPr>
              <w:spacing w:after="40"/>
              <w:jc w:val="center"/>
            </w:pPr>
            <w:r/>
            <w:r>
              <w:rPr>
                <w:rFonts w:ascii="Times New Roman" w:hAnsi="Times New Roman" w:cs="Times New Roman"/>
                <w:b w:val="0"/>
                <w:i w:val="0"/>
                <w:sz w:val="19"/>
              </w:rPr>
              <w:t>615</w:t>
            </w:r>
          </w:p>
        </w:tc>
        <w:tc>
          <w:tcPr>
            <w:tcW w:type="dxa" w:w="3672"/>
          </w:tcPr>
          <w:p>
            <w:pPr>
              <w:spacing w:after="40"/>
              <w:jc w:val="left"/>
            </w:pPr>
            <w:r/>
            <w:r>
              <w:rPr>
                <w:rFonts w:ascii="Times New Roman" w:hAnsi="Times New Roman" w:cs="Times New Roman"/>
                <w:b w:val="0"/>
                <w:i w:val="0"/>
                <w:sz w:val="19"/>
              </w:rPr>
              <w:t>consultation-band comparator</w:t>
            </w:r>
          </w:p>
        </w:tc>
      </w:tr>
      <w:tr>
        <w:tc>
          <w:tcPr>
            <w:tcW w:type="dxa" w:w="792"/>
          </w:tcPr>
          <w:p>
            <w:pPr>
              <w:spacing w:after="40"/>
              <w:jc w:val="center"/>
            </w:pPr>
            <w:r/>
            <w:r>
              <w:rPr>
                <w:rFonts w:ascii="Times New Roman" w:hAnsi="Times New Roman" w:cs="Times New Roman"/>
                <w:b w:val="0"/>
                <w:i w:val="0"/>
                <w:sz w:val="19"/>
              </w:rPr>
              <w:t>210</w:t>
            </w:r>
          </w:p>
        </w:tc>
        <w:tc>
          <w:tcPr>
            <w:tcW w:type="dxa" w:w="3672"/>
          </w:tcPr>
          <w:p>
            <w:pPr>
              <w:spacing w:after="40"/>
              <w:jc w:val="left"/>
            </w:pPr>
            <w:r/>
            <w:r>
              <w:rPr>
                <w:rFonts w:ascii="Times New Roman" w:hAnsi="Times New Roman" w:cs="Times New Roman"/>
                <w:b w:val="0"/>
                <w:i w:val="0"/>
                <w:sz w:val="19"/>
              </w:rPr>
              <w:t>photometric onset sensor</w:t>
            </w:r>
          </w:p>
        </w:tc>
        <w:tc>
          <w:tcPr>
            <w:tcW w:type="dxa" w:w="792"/>
          </w:tcPr>
          <w:p>
            <w:pPr>
              <w:spacing w:after="40"/>
              <w:jc w:val="center"/>
            </w:pPr>
            <w:r/>
            <w:r>
              <w:rPr>
                <w:rFonts w:ascii="Times New Roman" w:hAnsi="Times New Roman" w:cs="Times New Roman"/>
                <w:b w:val="0"/>
                <w:i w:val="0"/>
                <w:sz w:val="19"/>
              </w:rPr>
              <w:t>620</w:t>
            </w:r>
          </w:p>
        </w:tc>
        <w:tc>
          <w:tcPr>
            <w:tcW w:type="dxa" w:w="3672"/>
          </w:tcPr>
          <w:p>
            <w:pPr>
              <w:spacing w:after="40"/>
              <w:jc w:val="left"/>
            </w:pPr>
            <w:r/>
            <w:r>
              <w:rPr>
                <w:rFonts w:ascii="Times New Roman" w:hAnsi="Times New Roman" w:cs="Times New Roman"/>
                <w:b w:val="0"/>
                <w:i w:val="0"/>
                <w:sz w:val="19"/>
              </w:rPr>
              <w:t>discontinuity comparator</w:t>
            </w:r>
          </w:p>
        </w:tc>
      </w:tr>
      <w:tr>
        <w:tc>
          <w:tcPr>
            <w:tcW w:type="dxa" w:w="792"/>
          </w:tcPr>
          <w:p>
            <w:pPr>
              <w:spacing w:after="40"/>
              <w:jc w:val="center"/>
            </w:pPr>
            <w:r/>
            <w:r>
              <w:rPr>
                <w:rFonts w:ascii="Times New Roman" w:hAnsi="Times New Roman" w:cs="Times New Roman"/>
                <w:b w:val="0"/>
                <w:i w:val="0"/>
                <w:sz w:val="19"/>
              </w:rPr>
              <w:t>300</w:t>
            </w:r>
          </w:p>
        </w:tc>
        <w:tc>
          <w:tcPr>
            <w:tcW w:type="dxa" w:w="3672"/>
          </w:tcPr>
          <w:p>
            <w:pPr>
              <w:spacing w:after="40"/>
              <w:jc w:val="left"/>
            </w:pPr>
            <w:r/>
            <w:r>
              <w:rPr>
                <w:rFonts w:ascii="Times New Roman" w:hAnsi="Times New Roman" w:cs="Times New Roman"/>
                <w:b w:val="0"/>
                <w:i w:val="0"/>
                <w:sz w:val="19"/>
              </w:rPr>
              <w:t>imaging sensor</w:t>
            </w:r>
          </w:p>
        </w:tc>
        <w:tc>
          <w:tcPr>
            <w:tcW w:type="dxa" w:w="792"/>
          </w:tcPr>
          <w:p>
            <w:pPr>
              <w:spacing w:after="40"/>
              <w:jc w:val="center"/>
            </w:pPr>
            <w:r/>
            <w:r>
              <w:rPr>
                <w:rFonts w:ascii="Times New Roman" w:hAnsi="Times New Roman" w:cs="Times New Roman"/>
                <w:b w:val="0"/>
                <w:i w:val="0"/>
                <w:sz w:val="19"/>
              </w:rPr>
              <w:t>700</w:t>
            </w:r>
          </w:p>
        </w:tc>
        <w:tc>
          <w:tcPr>
            <w:tcW w:type="dxa" w:w="3672"/>
          </w:tcPr>
          <w:p>
            <w:pPr>
              <w:spacing w:after="40"/>
              <w:jc w:val="left"/>
            </w:pPr>
            <w:r/>
            <w:r>
              <w:rPr>
                <w:rFonts w:ascii="Times New Roman" w:hAnsi="Times New Roman" w:cs="Times New Roman"/>
                <w:b w:val="0"/>
                <w:i w:val="0"/>
                <w:sz w:val="19"/>
              </w:rPr>
              <w:t>corroboration value unit</w:t>
            </w:r>
          </w:p>
        </w:tc>
      </w:tr>
      <w:tr>
        <w:tc>
          <w:tcPr>
            <w:tcW w:type="dxa" w:w="792"/>
          </w:tcPr>
          <w:p>
            <w:pPr>
              <w:spacing w:after="40"/>
              <w:jc w:val="center"/>
            </w:pPr>
            <w:r/>
            <w:r>
              <w:rPr>
                <w:rFonts w:ascii="Times New Roman" w:hAnsi="Times New Roman" w:cs="Times New Roman"/>
                <w:b w:val="0"/>
                <w:i w:val="0"/>
                <w:sz w:val="19"/>
              </w:rPr>
              <w:t>310</w:t>
            </w:r>
          </w:p>
        </w:tc>
        <w:tc>
          <w:tcPr>
            <w:tcW w:type="dxa" w:w="3672"/>
          </w:tcPr>
          <w:p>
            <w:pPr>
              <w:spacing w:after="40"/>
              <w:jc w:val="left"/>
            </w:pPr>
            <w:r/>
            <w:r>
              <w:rPr>
                <w:rFonts w:ascii="Times New Roman" w:hAnsi="Times New Roman" w:cs="Times New Roman"/>
                <w:b w:val="0"/>
                <w:i w:val="0"/>
                <w:sz w:val="19"/>
              </w:rPr>
              <w:t>gaze estimator</w:t>
            </w:r>
          </w:p>
        </w:tc>
        <w:tc>
          <w:tcPr>
            <w:tcW w:type="dxa" w:w="792"/>
          </w:tcPr>
          <w:p>
            <w:pPr>
              <w:spacing w:after="40"/>
              <w:jc w:val="center"/>
            </w:pPr>
            <w:r/>
            <w:r>
              <w:rPr>
                <w:rFonts w:ascii="Times New Roman" w:hAnsi="Times New Roman" w:cs="Times New Roman"/>
                <w:b w:val="0"/>
                <w:i w:val="0"/>
                <w:sz w:val="19"/>
              </w:rPr>
              <w:t>710</w:t>
            </w:r>
          </w:p>
        </w:tc>
        <w:tc>
          <w:tcPr>
            <w:tcW w:type="dxa" w:w="3672"/>
          </w:tcPr>
          <w:p>
            <w:pPr>
              <w:spacing w:after="40"/>
              <w:jc w:val="left"/>
            </w:pPr>
            <w:r/>
            <w:r>
              <w:rPr>
                <w:rFonts w:ascii="Times New Roman" w:hAnsi="Times New Roman" w:cs="Times New Roman"/>
                <w:b w:val="0"/>
                <w:i w:val="0"/>
                <w:sz w:val="19"/>
              </w:rPr>
              <w:t>eligibility comparator</w:t>
            </w:r>
          </w:p>
        </w:tc>
      </w:tr>
      <w:tr>
        <w:tc>
          <w:tcPr>
            <w:tcW w:type="dxa" w:w="792"/>
          </w:tcPr>
          <w:p>
            <w:pPr>
              <w:spacing w:after="40"/>
              <w:jc w:val="center"/>
            </w:pPr>
            <w:r/>
            <w:r>
              <w:rPr>
                <w:rFonts w:ascii="Times New Roman" w:hAnsi="Times New Roman" w:cs="Times New Roman"/>
                <w:b w:val="0"/>
                <w:i w:val="0"/>
                <w:sz w:val="19"/>
              </w:rPr>
              <w:t>320</w:t>
            </w:r>
          </w:p>
        </w:tc>
        <w:tc>
          <w:tcPr>
            <w:tcW w:type="dxa" w:w="3672"/>
          </w:tcPr>
          <w:p>
            <w:pPr>
              <w:spacing w:after="40"/>
              <w:jc w:val="left"/>
            </w:pPr>
            <w:r/>
            <w:r>
              <w:rPr>
                <w:rFonts w:ascii="Times New Roman" w:hAnsi="Times New Roman" w:cs="Times New Roman"/>
                <w:b w:val="0"/>
                <w:i w:val="0"/>
                <w:sz w:val="19"/>
              </w:rPr>
              <w:t>scanpath unit</w:t>
            </w:r>
          </w:p>
        </w:tc>
        <w:tc>
          <w:tcPr>
            <w:tcW w:type="dxa" w:w="792"/>
          </w:tcPr>
          <w:p>
            <w:pPr>
              <w:spacing w:after="40"/>
              <w:jc w:val="center"/>
            </w:pPr>
            <w:r/>
            <w:r>
              <w:rPr>
                <w:rFonts w:ascii="Times New Roman" w:hAnsi="Times New Roman" w:cs="Times New Roman"/>
                <w:b w:val="0"/>
                <w:i w:val="0"/>
                <w:sz w:val="19"/>
              </w:rPr>
              <w:t>800</w:t>
            </w:r>
          </w:p>
        </w:tc>
        <w:tc>
          <w:tcPr>
            <w:tcW w:type="dxa" w:w="3672"/>
          </w:tcPr>
          <w:p>
            <w:pPr>
              <w:spacing w:after="40"/>
              <w:jc w:val="left"/>
            </w:pPr>
            <w:r/>
            <w:r>
              <w:rPr>
                <w:rFonts w:ascii="Times New Roman" w:hAnsi="Times New Roman" w:cs="Times New Roman"/>
                <w:b w:val="0"/>
                <w:i w:val="0"/>
                <w:sz w:val="19"/>
              </w:rPr>
              <w:t>graduated enforcement scheduler</w:t>
            </w:r>
          </w:p>
        </w:tc>
      </w:tr>
      <w:tr>
        <w:tc>
          <w:tcPr>
            <w:tcW w:type="dxa" w:w="792"/>
          </w:tcPr>
          <w:p>
            <w:pPr>
              <w:spacing w:after="40"/>
              <w:jc w:val="center"/>
            </w:pPr>
            <w:r/>
            <w:r>
              <w:rPr>
                <w:rFonts w:ascii="Times New Roman" w:hAnsi="Times New Roman" w:cs="Times New Roman"/>
                <w:b w:val="0"/>
                <w:i w:val="0"/>
                <w:sz w:val="19"/>
              </w:rPr>
              <w:t>330</w:t>
            </w:r>
          </w:p>
        </w:tc>
        <w:tc>
          <w:tcPr>
            <w:tcW w:type="dxa" w:w="3672"/>
          </w:tcPr>
          <w:p>
            <w:pPr>
              <w:spacing w:after="40"/>
              <w:jc w:val="left"/>
            </w:pPr>
            <w:r/>
            <w:r>
              <w:rPr>
                <w:rFonts w:ascii="Times New Roman" w:hAnsi="Times New Roman" w:cs="Times New Roman"/>
                <w:b w:val="0"/>
                <w:i w:val="0"/>
                <w:sz w:val="19"/>
              </w:rPr>
              <w:t>pupillometry unit</w:t>
            </w:r>
          </w:p>
        </w:tc>
        <w:tc>
          <w:tcPr>
            <w:tcW w:type="dxa" w:w="792"/>
          </w:tcPr>
          <w:p>
            <w:pPr>
              <w:spacing w:after="40"/>
              <w:jc w:val="center"/>
            </w:pPr>
            <w:r/>
            <w:r>
              <w:rPr>
                <w:rFonts w:ascii="Times New Roman" w:hAnsi="Times New Roman" w:cs="Times New Roman"/>
                <w:b w:val="0"/>
                <w:i w:val="0"/>
                <w:sz w:val="19"/>
              </w:rPr>
              <w:t>810</w:t>
            </w:r>
          </w:p>
        </w:tc>
        <w:tc>
          <w:tcPr>
            <w:tcW w:type="dxa" w:w="3672"/>
          </w:tcPr>
          <w:p>
            <w:pPr>
              <w:spacing w:after="40"/>
              <w:jc w:val="left"/>
            </w:pPr>
            <w:r/>
            <w:r>
              <w:rPr>
                <w:rFonts w:ascii="Times New Roman" w:hAnsi="Times New Roman" w:cs="Times New Roman"/>
                <w:b w:val="0"/>
                <w:i w:val="0"/>
                <w:sz w:val="19"/>
              </w:rPr>
              <w:t>persistence counter</w:t>
            </w:r>
          </w:p>
        </w:tc>
      </w:tr>
      <w:tr>
        <w:tc>
          <w:tcPr>
            <w:tcW w:type="dxa" w:w="792"/>
          </w:tcPr>
          <w:p>
            <w:pPr>
              <w:spacing w:after="40"/>
              <w:jc w:val="center"/>
            </w:pPr>
            <w:r/>
            <w:r>
              <w:rPr>
                <w:rFonts w:ascii="Times New Roman" w:hAnsi="Times New Roman" w:cs="Times New Roman"/>
                <w:b w:val="0"/>
                <w:i w:val="0"/>
                <w:sz w:val="19"/>
              </w:rPr>
              <w:t>400</w:t>
            </w:r>
          </w:p>
        </w:tc>
        <w:tc>
          <w:tcPr>
            <w:tcW w:type="dxa" w:w="3672"/>
          </w:tcPr>
          <w:p>
            <w:pPr>
              <w:spacing w:after="40"/>
              <w:jc w:val="left"/>
            </w:pPr>
            <w:r/>
            <w:r>
              <w:rPr>
                <w:rFonts w:ascii="Times New Roman" w:hAnsi="Times New Roman" w:cs="Times New Roman"/>
                <w:b w:val="0"/>
                <w:i w:val="0"/>
                <w:sz w:val="19"/>
              </w:rPr>
              <w:t>desk-contact transducer</w:t>
            </w:r>
          </w:p>
        </w:tc>
        <w:tc>
          <w:tcPr>
            <w:tcW w:type="dxa" w:w="792"/>
          </w:tcPr>
          <w:p>
            <w:pPr>
              <w:spacing w:after="40"/>
              <w:jc w:val="center"/>
            </w:pPr>
            <w:r/>
            <w:r>
              <w:rPr>
                <w:rFonts w:ascii="Times New Roman" w:hAnsi="Times New Roman" w:cs="Times New Roman"/>
                <w:b w:val="0"/>
                <w:i w:val="0"/>
                <w:sz w:val="19"/>
              </w:rPr>
              <w:t>820</w:t>
            </w:r>
          </w:p>
        </w:tc>
        <w:tc>
          <w:tcPr>
            <w:tcW w:type="dxa" w:w="3672"/>
          </w:tcPr>
          <w:p>
            <w:pPr>
              <w:spacing w:after="40"/>
              <w:jc w:val="left"/>
            </w:pPr>
            <w:r/>
            <w:r>
              <w:rPr>
                <w:rFonts w:ascii="Times New Roman" w:hAnsi="Times New Roman" w:cs="Times New Roman"/>
                <w:b w:val="0"/>
                <w:i w:val="0"/>
                <w:sz w:val="19"/>
              </w:rPr>
              <w:t>per-candidate cooldown</w:t>
            </w:r>
          </w:p>
        </w:tc>
      </w:tr>
      <w:tr>
        <w:tc>
          <w:tcPr>
            <w:tcW w:type="dxa" w:w="792"/>
          </w:tcPr>
          <w:p>
            <w:pPr>
              <w:spacing w:after="40"/>
              <w:jc w:val="center"/>
            </w:pPr>
            <w:r/>
            <w:r>
              <w:rPr>
                <w:rFonts w:ascii="Times New Roman" w:hAnsi="Times New Roman" w:cs="Times New Roman"/>
                <w:b w:val="0"/>
                <w:i w:val="0"/>
                <w:sz w:val="19"/>
              </w:rPr>
              <w:t>401</w:t>
            </w:r>
          </w:p>
        </w:tc>
        <w:tc>
          <w:tcPr>
            <w:tcW w:type="dxa" w:w="3672"/>
          </w:tcPr>
          <w:p>
            <w:pPr>
              <w:spacing w:after="40"/>
              <w:jc w:val="left"/>
            </w:pPr>
            <w:r/>
            <w:r>
              <w:rPr>
                <w:rFonts w:ascii="Times New Roman" w:hAnsi="Times New Roman" w:cs="Times New Roman"/>
                <w:b w:val="0"/>
                <w:i w:val="0"/>
                <w:sz w:val="19"/>
              </w:rPr>
              <w:t>transducer preamplifier</w:t>
            </w:r>
          </w:p>
        </w:tc>
        <w:tc>
          <w:tcPr>
            <w:tcW w:type="dxa" w:w="792"/>
          </w:tcPr>
          <w:p>
            <w:pPr>
              <w:spacing w:after="40"/>
              <w:jc w:val="center"/>
            </w:pPr>
            <w:r/>
            <w:r>
              <w:rPr>
                <w:rFonts w:ascii="Times New Roman" w:hAnsi="Times New Roman" w:cs="Times New Roman"/>
                <w:b w:val="0"/>
                <w:i w:val="0"/>
                <w:sz w:val="19"/>
              </w:rPr>
              <w:t>830</w:t>
            </w:r>
          </w:p>
        </w:tc>
        <w:tc>
          <w:tcPr>
            <w:tcW w:type="dxa" w:w="3672"/>
          </w:tcPr>
          <w:p>
            <w:pPr>
              <w:spacing w:after="40"/>
              <w:jc w:val="left"/>
            </w:pPr>
            <w:r/>
            <w:r>
              <w:rPr>
                <w:rFonts w:ascii="Times New Roman" w:hAnsi="Times New Roman" w:cs="Times New Roman"/>
                <w:b w:val="0"/>
                <w:i w:val="0"/>
                <w:sz w:val="19"/>
              </w:rPr>
              <w:t>global session interval</w:t>
            </w:r>
          </w:p>
        </w:tc>
      </w:tr>
      <w:tr>
        <w:tc>
          <w:tcPr>
            <w:tcW w:type="dxa" w:w="792"/>
          </w:tcPr>
          <w:p>
            <w:pPr>
              <w:spacing w:after="40"/>
              <w:jc w:val="center"/>
            </w:pPr>
            <w:r/>
            <w:r>
              <w:rPr>
                <w:rFonts w:ascii="Times New Roman" w:hAnsi="Times New Roman" w:cs="Times New Roman"/>
                <w:b w:val="0"/>
                <w:i w:val="0"/>
                <w:sz w:val="19"/>
              </w:rPr>
              <w:t>402</w:t>
            </w:r>
          </w:p>
        </w:tc>
        <w:tc>
          <w:tcPr>
            <w:tcW w:type="dxa" w:w="3672"/>
          </w:tcPr>
          <w:p>
            <w:pPr>
              <w:spacing w:after="40"/>
              <w:jc w:val="left"/>
            </w:pPr>
            <w:r/>
            <w:r>
              <w:rPr>
                <w:rFonts w:ascii="Times New Roman" w:hAnsi="Times New Roman" w:cs="Times New Roman"/>
                <w:b w:val="0"/>
                <w:i w:val="0"/>
                <w:sz w:val="19"/>
              </w:rPr>
              <w:t>airborne microphone</w:t>
            </w:r>
          </w:p>
        </w:tc>
        <w:tc>
          <w:tcPr>
            <w:tcW w:type="dxa" w:w="792"/>
          </w:tcPr>
          <w:p>
            <w:pPr>
              <w:spacing w:after="40"/>
              <w:jc w:val="center"/>
            </w:pPr>
            <w:r/>
            <w:r>
              <w:rPr>
                <w:rFonts w:ascii="Times New Roman" w:hAnsi="Times New Roman" w:cs="Times New Roman"/>
                <w:b w:val="0"/>
                <w:i w:val="0"/>
                <w:sz w:val="19"/>
              </w:rPr>
              <w:t>840</w:t>
            </w:r>
          </w:p>
        </w:tc>
        <w:tc>
          <w:tcPr>
            <w:tcW w:type="dxa" w:w="3672"/>
          </w:tcPr>
          <w:p>
            <w:pPr>
              <w:spacing w:after="40"/>
              <w:jc w:val="left"/>
            </w:pPr>
            <w:r/>
            <w:r>
              <w:rPr>
                <w:rFonts w:ascii="Times New Roman" w:hAnsi="Times New Roman" w:cs="Times New Roman"/>
                <w:b w:val="0"/>
                <w:i w:val="0"/>
                <w:sz w:val="19"/>
              </w:rPr>
              <w:t>escalation comparator</w:t>
            </w:r>
          </w:p>
        </w:tc>
      </w:tr>
      <w:tr>
        <w:tc>
          <w:tcPr>
            <w:tcW w:type="dxa" w:w="792"/>
          </w:tcPr>
          <w:p>
            <w:pPr>
              <w:spacing w:after="40"/>
              <w:jc w:val="center"/>
            </w:pPr>
            <w:r/>
            <w:r>
              <w:rPr>
                <w:rFonts w:ascii="Times New Roman" w:hAnsi="Times New Roman" w:cs="Times New Roman"/>
                <w:b w:val="0"/>
                <w:i w:val="0"/>
                <w:sz w:val="19"/>
              </w:rPr>
              <w:t>403</w:t>
            </w:r>
          </w:p>
        </w:tc>
        <w:tc>
          <w:tcPr>
            <w:tcW w:type="dxa" w:w="3672"/>
          </w:tcPr>
          <w:p>
            <w:pPr>
              <w:spacing w:after="40"/>
              <w:jc w:val="left"/>
            </w:pPr>
            <w:r/>
            <w:r>
              <w:rPr>
                <w:rFonts w:ascii="Times New Roman" w:hAnsi="Times New Roman" w:cs="Times New Roman"/>
                <w:b w:val="0"/>
                <w:i w:val="0"/>
                <w:sz w:val="19"/>
              </w:rPr>
              <w:t>band-pass and envelope stage</w:t>
            </w:r>
          </w:p>
        </w:tc>
        <w:tc>
          <w:tcPr>
            <w:tcW w:type="dxa" w:w="792"/>
          </w:tcPr>
          <w:p>
            <w:pPr>
              <w:spacing w:after="40"/>
              <w:jc w:val="center"/>
            </w:pPr>
            <w:r/>
            <w:r>
              <w:rPr>
                <w:rFonts w:ascii="Times New Roman" w:hAnsi="Times New Roman" w:cs="Times New Roman"/>
                <w:b w:val="0"/>
                <w:i w:val="0"/>
                <w:sz w:val="19"/>
              </w:rPr>
              <w:t>850</w:t>
            </w:r>
          </w:p>
        </w:tc>
        <w:tc>
          <w:tcPr>
            <w:tcW w:type="dxa" w:w="3672"/>
          </w:tcPr>
          <w:p>
            <w:pPr>
              <w:spacing w:after="40"/>
              <w:jc w:val="left"/>
            </w:pPr>
            <w:r/>
            <w:r>
              <w:rPr>
                <w:rFonts w:ascii="Times New Roman" w:hAnsi="Times New Roman" w:cs="Times New Roman"/>
                <w:b w:val="0"/>
                <w:i w:val="0"/>
                <w:sz w:val="19"/>
              </w:rPr>
              <w:t>dual-channel actuation interlock</w:t>
            </w:r>
          </w:p>
        </w:tc>
      </w:tr>
      <w:tr>
        <w:tc>
          <w:tcPr>
            <w:tcW w:type="dxa" w:w="792"/>
          </w:tcPr>
          <w:p>
            <w:pPr>
              <w:spacing w:after="40"/>
              <w:jc w:val="center"/>
            </w:pPr>
            <w:r/>
            <w:r>
              <w:rPr>
                <w:rFonts w:ascii="Times New Roman" w:hAnsi="Times New Roman" w:cs="Times New Roman"/>
                <w:b w:val="0"/>
                <w:i w:val="0"/>
                <w:sz w:val="19"/>
              </w:rPr>
              <w:t>410</w:t>
            </w:r>
          </w:p>
        </w:tc>
        <w:tc>
          <w:tcPr>
            <w:tcW w:type="dxa" w:w="3672"/>
          </w:tcPr>
          <w:p>
            <w:pPr>
              <w:spacing w:after="40"/>
              <w:jc w:val="left"/>
            </w:pPr>
            <w:r/>
            <w:r>
              <w:rPr>
                <w:rFonts w:ascii="Times New Roman" w:hAnsi="Times New Roman" w:cs="Times New Roman"/>
                <w:b w:val="0"/>
                <w:i w:val="0"/>
                <w:sz w:val="19"/>
              </w:rPr>
              <w:t>desk inertial unit</w:t>
            </w:r>
          </w:p>
        </w:tc>
        <w:tc>
          <w:tcPr>
            <w:tcW w:type="dxa" w:w="792"/>
          </w:tcPr>
          <w:p>
            <w:pPr>
              <w:spacing w:after="40"/>
              <w:jc w:val="center"/>
            </w:pPr>
            <w:r/>
            <w:r>
              <w:rPr>
                <w:rFonts w:ascii="Times New Roman" w:hAnsi="Times New Roman" w:cs="Times New Roman"/>
                <w:b w:val="0"/>
                <w:i w:val="0"/>
                <w:sz w:val="19"/>
              </w:rPr>
              <w:t>910</w:t>
            </w:r>
          </w:p>
        </w:tc>
        <w:tc>
          <w:tcPr>
            <w:tcW w:type="dxa" w:w="3672"/>
          </w:tcPr>
          <w:p>
            <w:pPr>
              <w:spacing w:after="40"/>
              <w:jc w:val="left"/>
            </w:pPr>
            <w:r/>
            <w:r>
              <w:rPr>
                <w:rFonts w:ascii="Times New Roman" w:hAnsi="Times New Roman" w:cs="Times New Roman"/>
                <w:b w:val="0"/>
                <w:i w:val="0"/>
                <w:sz w:val="19"/>
              </w:rPr>
              <w:t>desk indicator / haptic</w:t>
            </w:r>
          </w:p>
        </w:tc>
      </w:tr>
      <w:tr>
        <w:tc>
          <w:tcPr>
            <w:tcW w:type="dxa" w:w="792"/>
          </w:tcPr>
          <w:p>
            <w:pPr>
              <w:spacing w:after="40"/>
              <w:jc w:val="center"/>
            </w:pPr>
            <w:r/>
            <w:r>
              <w:rPr>
                <w:rFonts w:ascii="Times New Roman" w:hAnsi="Times New Roman" w:cs="Times New Roman"/>
                <w:b w:val="0"/>
                <w:i w:val="0"/>
                <w:sz w:val="19"/>
              </w:rPr>
              <w:t>420</w:t>
            </w:r>
          </w:p>
        </w:tc>
        <w:tc>
          <w:tcPr>
            <w:tcW w:type="dxa" w:w="3672"/>
          </w:tcPr>
          <w:p>
            <w:pPr>
              <w:spacing w:after="40"/>
              <w:jc w:val="left"/>
            </w:pPr>
            <w:r/>
            <w:r>
              <w:rPr>
                <w:rFonts w:ascii="Times New Roman" w:hAnsi="Times New Roman" w:cs="Times New Roman"/>
                <w:b w:val="0"/>
                <w:i w:val="0"/>
                <w:sz w:val="19"/>
              </w:rPr>
              <w:t>emission attribution unit</w:t>
            </w:r>
          </w:p>
        </w:tc>
        <w:tc>
          <w:tcPr>
            <w:tcW w:type="dxa" w:w="792"/>
          </w:tcPr>
          <w:p>
            <w:pPr>
              <w:spacing w:after="40"/>
              <w:jc w:val="center"/>
            </w:pPr>
            <w:r/>
            <w:r>
              <w:rPr>
                <w:rFonts w:ascii="Times New Roman" w:hAnsi="Times New Roman" w:cs="Times New Roman"/>
                <w:b w:val="0"/>
                <w:i w:val="0"/>
                <w:sz w:val="19"/>
              </w:rPr>
              <w:t>920</w:t>
            </w:r>
          </w:p>
        </w:tc>
        <w:tc>
          <w:tcPr>
            <w:tcW w:type="dxa" w:w="3672"/>
          </w:tcPr>
          <w:p>
            <w:pPr>
              <w:spacing w:after="40"/>
              <w:jc w:val="left"/>
            </w:pPr>
            <w:r/>
            <w:r>
              <w:rPr>
                <w:rFonts w:ascii="Times New Roman" w:hAnsi="Times New Roman" w:cs="Times New Roman"/>
                <w:b w:val="0"/>
                <w:i w:val="0"/>
                <w:sz w:val="19"/>
              </w:rPr>
              <w:t>in-line gating unit</w:t>
            </w:r>
          </w:p>
        </w:tc>
      </w:tr>
      <w:tr>
        <w:tc>
          <w:tcPr>
            <w:tcW w:type="dxa" w:w="792"/>
          </w:tcPr>
          <w:p>
            <w:pPr>
              <w:spacing w:after="40"/>
              <w:jc w:val="center"/>
            </w:pPr>
            <w:r/>
            <w:r>
              <w:rPr>
                <w:rFonts w:ascii="Times New Roman" w:hAnsi="Times New Roman" w:cs="Times New Roman"/>
                <w:b w:val="0"/>
                <w:i w:val="0"/>
                <w:sz w:val="19"/>
              </w:rPr>
              <w:t>430</w:t>
            </w:r>
          </w:p>
        </w:tc>
        <w:tc>
          <w:tcPr>
            <w:tcW w:type="dxa" w:w="3672"/>
          </w:tcPr>
          <w:p>
            <w:pPr>
              <w:spacing w:after="40"/>
              <w:jc w:val="left"/>
            </w:pPr>
            <w:r/>
            <w:r>
              <w:rPr>
                <w:rFonts w:ascii="Times New Roman" w:hAnsi="Times New Roman" w:cs="Times New Roman"/>
                <w:b w:val="0"/>
                <w:i w:val="0"/>
                <w:sz w:val="19"/>
              </w:rPr>
              <w:t>reliability-transfer unit</w:t>
            </w:r>
          </w:p>
        </w:tc>
        <w:tc>
          <w:tcPr>
            <w:tcW w:type="dxa" w:w="792"/>
          </w:tcPr>
          <w:p>
            <w:pPr>
              <w:spacing w:after="40"/>
              <w:jc w:val="center"/>
            </w:pPr>
            <w:r/>
            <w:r>
              <w:rPr>
                <w:rFonts w:ascii="Times New Roman" w:hAnsi="Times New Roman" w:cs="Times New Roman"/>
                <w:b w:val="0"/>
                <w:i w:val="0"/>
                <w:sz w:val="19"/>
              </w:rPr>
              <w:t>930</w:t>
            </w:r>
          </w:p>
        </w:tc>
        <w:tc>
          <w:tcPr>
            <w:tcW w:type="dxa" w:w="3672"/>
          </w:tcPr>
          <w:p>
            <w:pPr>
              <w:spacing w:after="40"/>
              <w:jc w:val="left"/>
            </w:pPr>
            <w:r/>
            <w:r>
              <w:rPr>
                <w:rFonts w:ascii="Times New Roman" w:hAnsi="Times New Roman" w:cs="Times New Roman"/>
                <w:b w:val="0"/>
                <w:i w:val="0"/>
                <w:sz w:val="19"/>
              </w:rPr>
              <w:t>session hold latch</w:t>
            </w:r>
          </w:p>
        </w:tc>
      </w:tr>
      <w:tr>
        <w:tc>
          <w:tcPr>
            <w:tcW w:type="dxa" w:w="792"/>
          </w:tcPr>
          <w:p>
            <w:pPr>
              <w:spacing w:after="40"/>
              <w:jc w:val="center"/>
            </w:pPr>
            <w:r/>
            <w:r>
              <w:rPr>
                <w:rFonts w:ascii="Times New Roman" w:hAnsi="Times New Roman" w:cs="Times New Roman"/>
                <w:b w:val="0"/>
                <w:i w:val="0"/>
                <w:sz w:val="19"/>
              </w:rPr>
              <w:t>500</w:t>
            </w:r>
          </w:p>
        </w:tc>
        <w:tc>
          <w:tcPr>
            <w:tcW w:type="dxa" w:w="3672"/>
          </w:tcPr>
          <w:p>
            <w:pPr>
              <w:spacing w:after="40"/>
              <w:jc w:val="left"/>
            </w:pPr>
            <w:r/>
            <w:r>
              <w:rPr>
                <w:rFonts w:ascii="Times New Roman" w:hAnsi="Times New Roman" w:cs="Times New Roman"/>
                <w:b w:val="0"/>
                <w:i w:val="0"/>
                <w:sz w:val="19"/>
              </w:rPr>
              <w:t>input-device interface</w:t>
            </w:r>
          </w:p>
        </w:tc>
        <w:tc>
          <w:tcPr>
            <w:tcW w:type="dxa" w:w="792"/>
          </w:tcPr>
          <w:p>
            <w:pPr>
              <w:spacing w:after="40"/>
              <w:jc w:val="center"/>
            </w:pPr>
            <w:r/>
            <w:r>
              <w:rPr>
                <w:rFonts w:ascii="Times New Roman" w:hAnsi="Times New Roman" w:cs="Times New Roman"/>
                <w:b w:val="0"/>
                <w:i w:val="0"/>
                <w:sz w:val="19"/>
              </w:rPr>
              <w:t>950</w:t>
            </w:r>
          </w:p>
        </w:tc>
        <w:tc>
          <w:tcPr>
            <w:tcW w:type="dxa" w:w="3672"/>
          </w:tcPr>
          <w:p>
            <w:pPr>
              <w:spacing w:after="40"/>
              <w:jc w:val="left"/>
            </w:pPr>
            <w:r/>
            <w:r>
              <w:rPr>
                <w:rFonts w:ascii="Times New Roman" w:hAnsi="Times New Roman" w:cs="Times New Roman"/>
                <w:b w:val="0"/>
                <w:i w:val="0"/>
                <w:sz w:val="19"/>
              </w:rPr>
              <w:t>evidence record store</w:t>
            </w:r>
          </w:p>
        </w:tc>
      </w:tr>
      <w:tr>
        <w:tc>
          <w:tcPr>
            <w:tcW w:type="dxa" w:w="792"/>
          </w:tcPr>
          <w:p>
            <w:pPr>
              <w:keepNext/>
              <w:spacing w:after="40"/>
              <w:jc w:val="center"/>
            </w:pPr>
            <w:r/>
            <w:r>
              <w:rPr>
                <w:rFonts w:ascii="Times New Roman" w:hAnsi="Times New Roman" w:cs="Times New Roman"/>
                <w:b w:val="0"/>
                <w:i w:val="0"/>
                <w:sz w:val="19"/>
              </w:rPr>
              <w:t>510</w:t>
            </w:r>
          </w:p>
        </w:tc>
        <w:tc>
          <w:tcPr>
            <w:tcW w:type="dxa" w:w="3672"/>
          </w:tcPr>
          <w:p>
            <w:pPr>
              <w:keepNext/>
              <w:spacing w:after="40"/>
              <w:jc w:val="left"/>
            </w:pPr>
            <w:r/>
            <w:r>
              <w:rPr>
                <w:rFonts w:ascii="Times New Roman" w:hAnsi="Times New Roman" w:cs="Times New Roman"/>
                <w:b w:val="0"/>
                <w:i w:val="0"/>
                <w:sz w:val="19"/>
              </w:rPr>
              <w:t>enrolled profile store</w:t>
            </w:r>
          </w:p>
        </w:tc>
        <w:tc>
          <w:tcPr>
            <w:tcW w:type="dxa" w:w="792"/>
          </w:tcPr>
          <w:p>
            <w:pPr>
              <w:keepNext/>
              <w:spacing w:after="40"/>
              <w:jc w:val="center"/>
            </w:pPr>
            <w:r/>
            <w:r>
              <w:rPr>
                <w:rFonts w:ascii="Times New Roman" w:hAnsi="Times New Roman" w:cs="Times New Roman"/>
                <w:b w:val="0"/>
                <w:i w:val="0"/>
                <w:sz w:val="19"/>
              </w:rPr>
            </w:r>
          </w:p>
        </w:tc>
        <w:tc>
          <w:tcPr>
            <w:tcW w:type="dxa" w:w="3672"/>
          </w:tcPr>
          <w:p>
            <w:pPr>
              <w:keepNext/>
              <w:spacing w:after="40"/>
              <w:jc w:val="left"/>
            </w:pPr>
            <w:r/>
            <w:r>
              <w:rPr>
                <w:rFonts w:ascii="Times New Roman" w:hAnsi="Times New Roman" w:cs="Times New Roman"/>
                <w:b w:val="0"/>
                <w:i w:val="0"/>
                <w:sz w:val="19"/>
              </w:rPr>
            </w:r>
          </w:p>
        </w:tc>
      </w:tr>
    </w:tbl>
    <w:p>
      <w:pPr>
        <w:spacing w:before="60" w:after="240"/>
        <w:jc w:val="center"/>
      </w:pPr>
      <w:r>
        <w:rPr>
          <w:rFonts w:ascii="Times New Roman" w:hAnsi="Times New Roman" w:cs="Times New Roman"/>
          <w:b/>
          <w:i w:val="0"/>
          <w:sz w:val="21"/>
        </w:rPr>
        <w:t>Table 1: Reference Numerals Used in the Description and the Figures</w:t>
      </w:r>
    </w:p>
    <w:p>
      <w:pPr>
        <w:spacing w:after="140" w:line="274" w:lineRule="auto"/>
        <w:jc w:val="both"/>
      </w:pPr>
      <w:r>
        <w:rPr>
          <w:rFonts w:ascii="Times New Roman" w:hAnsi="Times New Roman" w:cs="Times New Roman"/>
          <w:b/>
          <w:i w:val="0"/>
          <w:sz w:val="22"/>
        </w:rPr>
        <w:t xml:space="preserve">Photometric onset sensing (210). </w:t>
      </w:r>
      <w:r>
        <w:rPr>
          <w:rFonts w:ascii="Times New Roman" w:hAnsi="Times New Roman" w:cs="Times New Roman"/>
          <w:b w:val="0"/>
          <w:i w:val="0"/>
          <w:sz w:val="22"/>
        </w:rPr>
        <w:t>A photodiode (210) with a transimpedance stage is mounted against the bezel of the display panel (200), behind an opaque shroud, over a patch region (205) that the examination application inverts on every question transition. The detector runs against a slowly adapting baseline so that ambient light drift and backlight modulation do not generate false anchors, and a holdoff interval suppresses multiple anchors from a single transition. The resulting anchor is emitted immediately rather than at the next reporting boundary, so its latency is bounded by the sampling period and not by the frame rate. The significance of this element is not its precision but its independence: the timing origin of the entire analysis is a measurement of photons that reached the candidate, and it remains valid if the software on the examined machine misreports, delays or fabricates its own rendering events.</w:t>
      </w:r>
    </w:p>
    <w:p>
      <w:pPr>
        <w:spacing w:after="140" w:line="274" w:lineRule="auto"/>
        <w:jc w:val="both"/>
      </w:pPr>
      <w:r>
        <w:rPr>
          <w:rFonts w:ascii="Times New Roman" w:hAnsi="Times New Roman" w:cs="Times New Roman"/>
          <w:b/>
          <w:i w:val="0"/>
          <w:sz w:val="22"/>
        </w:rPr>
        <w:t xml:space="preserve">Desk-contact emission attribution (400, 402, 420). </w:t>
      </w:r>
      <w:r>
        <w:rPr>
          <w:rFonts w:ascii="Times New Roman" w:hAnsi="Times New Roman" w:cs="Times New Roman"/>
          <w:b w:val="0"/>
          <w:i w:val="0"/>
          <w:sz w:val="22"/>
        </w:rPr>
        <w:t>A contact piezoelectric transducer (400) is bonded to the underside of the desk and buffered by a high-impedance preamplifier; an electret microphone (402) is mounted in the desk housing. The emission attribution unit (420) registers an emission instant T1 only where both channels exceed their respective thresholds within a coincidence window. The physical basis is that speech produced by the seated candidate reaches the desk by structural conduction through contact between the candidate and the desk, whereas speech from an adjacent station reaches the microphone through air without exciting the desk structure. The claim asserted is therefore not that the apparatus recognises words — it does not, and no audio need be retained — but that it can decline to attribute a sound to a candidate who did not produce it.</w:t>
      </w:r>
    </w:p>
    <w:p>
      <w:pPr>
        <w:spacing w:after="140" w:line="274" w:lineRule="auto"/>
        <w:jc w:val="both"/>
      </w:pPr>
      <w:r>
        <w:rPr>
          <w:rFonts w:ascii="Times New Roman" w:hAnsi="Times New Roman" w:cs="Times New Roman"/>
          <w:b/>
          <w:i w:val="0"/>
          <w:sz w:val="22"/>
        </w:rPr>
        <w:t xml:space="preserve">Concurrent but unrelated sources. </w:t>
      </w:r>
      <w:r>
        <w:rPr>
          <w:rFonts w:ascii="Times New Roman" w:hAnsi="Times New Roman" w:cs="Times New Roman"/>
          <w:b w:val="0"/>
          <w:i w:val="0"/>
          <w:sz w:val="22"/>
        </w:rPr>
        <w:t>Coincidence of two threshold crossings is by itself defeated by a concurrence the apparatus must be built to reject: the candidate strikes the desk or types while a neighbour speaks, so that the contact channel and the airborne channel cross their thresholds in the same window for unrelated reasons. Band-limiting the two channels to the range of voice fundamental and first-formant frequencies does not dispose of it, because a mechanical impulse is broadband and deposits energy in that range as well. The unit therefore requires the two channels to be consistent and not merely concurrent: the band-limited envelopes of the contact and airborne channels must correlate above a threshold across the coincidence window before an emission instant is registered. A common source modulates both channels together, since it is one utterance reaching two transducers by two paths; two unrelated sources do not, since a keystroke transient and a neighbour’s syllable have no reason to share an envelope. This is the discriminating mechanism where the simple coincidence test is ambiguous, and it is what the attribution claim rests on when the station is busy rather than quiet.</w:t>
      </w:r>
    </w:p>
    <w:p>
      <w:pPr>
        <w:spacing w:after="140" w:line="274" w:lineRule="auto"/>
        <w:jc w:val="both"/>
      </w:pPr>
      <w:r>
        <w:rPr>
          <w:rFonts w:ascii="Times New Roman" w:hAnsi="Times New Roman" w:cs="Times New Roman"/>
          <w:b/>
          <w:i w:val="0"/>
          <w:sz w:val="22"/>
        </w:rPr>
        <w:t xml:space="preserve">Adaptive baselines on all three analog channels. </w:t>
      </w:r>
      <w:r>
        <w:rPr>
          <w:rFonts w:ascii="Times New Roman" w:hAnsi="Times New Roman" w:cs="Times New Roman"/>
          <w:b w:val="0"/>
          <w:i w:val="0"/>
          <w:sz w:val="22"/>
        </w:rPr>
        <w:t>Each of the three analog channels is compared against a baseline adapted over a time constant long compared with the events it must detect, so that a threshold is a departure from the station’s present condition rather than from a value fixed at installation. Ambient illumination and backlight level drift over a session; desk and room noise floors differ between halls and rise as a hall fills. A fixed threshold is therefore wrong at some point in every deployment, in one direction or the other, and the apparatus is not calibrated per venue before use. Adaptation is deliberately slow relative to the coincidence window, so that the baseline tracks the condition of the station without absorbing the event being detected.</w:t>
      </w:r>
    </w:p>
    <w:p>
      <w:pPr>
        <w:spacing w:after="140" w:line="274" w:lineRule="auto"/>
        <w:jc w:val="both"/>
      </w:pPr>
      <w:r>
        <w:rPr>
          <w:rFonts w:ascii="Times New Roman" w:hAnsi="Times New Roman" w:cs="Times New Roman"/>
          <w:b/>
          <w:i w:val="0"/>
          <w:sz w:val="22"/>
        </w:rPr>
        <w:t xml:space="preserve">Inertial reliability transfer (410, 430). </w:t>
      </w:r>
      <w:r>
        <w:rPr>
          <w:rFonts w:ascii="Times New Roman" w:hAnsi="Times New Roman" w:cs="Times New Roman"/>
          <w:b w:val="0"/>
          <w:i w:val="0"/>
          <w:sz w:val="22"/>
        </w:rPr>
        <w:t>A six-axis inertial unit (410) fixed to the desk supplies a combined motion magnitude, computed as the Euclidean combination of the linear acceleration magnitude with the angular rate magnitude scaled by a fixed coupling coefficient. The reliability-transfer unit (430) applies this single quantity at two points. The confidence threshold demanded of the imaging channel is reduced as motion rises, because a physically disturbed camera or a moving head degrades gaze estimation and a fixed threshold would silently discard true departures; and the weight given to the acoustic channel is raised under the same condition, because desk motion is corroborating evidence that a structure-borne signal originated at this desk. The threshold adjustment is bounded below by a floor and the motion term is saturated at a maximum, so that a single impulse — a dropped object, a knocked desk — cannot drive the imaging threshold arbitrarily low.</w:t>
      </w:r>
    </w:p>
    <w:p>
      <w:pPr>
        <w:spacing w:after="140" w:line="274" w:lineRule="auto"/>
        <w:jc w:val="both"/>
      </w:pPr>
      <w:r>
        <w:rPr>
          <w:rFonts w:ascii="Times New Roman" w:hAnsi="Times New Roman" w:cs="Times New Roman"/>
          <w:b/>
          <w:i w:val="0"/>
          <w:sz w:val="22"/>
        </w:rPr>
        <w:t xml:space="preserve">Ocular channels (300, 310, 320, 330). </w:t>
      </w:r>
      <w:r>
        <w:rPr>
          <w:rFonts w:ascii="Times New Roman" w:hAnsi="Times New Roman" w:cs="Times New Roman"/>
          <w:b w:val="0"/>
          <w:i w:val="0"/>
          <w:sz w:val="22"/>
        </w:rPr>
        <w:t>Ocular quantities are derived from the imaging sensor (300): the gaze estimator (310) supplies departures from and returns to the display region; the scanpath unit (320) supplies the geometry of the trajectory; the pupillometry unit (330) supplies the pupil response. The quantities that matter to this invention are those that describe consulting a fixed external source rather than merely looking away: the angular concentration of exit bearings, the position and dispersion of the landing point on return, the count of bounded departure-and-return pairs, and the periodic structure of the away signal within the assistance band. A departure is admitted only where the inertial channel corroborates that the candidate physically moved, which is the qualification described above.</w:t>
      </w:r>
    </w:p>
    <w:p>
      <w:pPr>
        <w:spacing w:before="160" w:after="40"/>
        <w:jc w:val="center"/>
      </w:pPr>
      <w:r>
        <w:drawing>
          <wp:inline xmlns:a="http://schemas.openxmlformats.org/drawingml/2006/main" xmlns:pic="http://schemas.openxmlformats.org/drawingml/2006/picture">
            <wp:extent cx="5943600" cy="3742475"/>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943600" cy="3742475"/>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Physical arrangement of one instrumented station, in side elevation. The candidate’s own vocalisation reaches the contact transducer (400) through the desk structure and the microphone (402) through the air; a neighbour’s speech reaches (402) alone, and the coincidence requirement is what refuses to attribute it to the seated candidate.</w:t>
      </w:r>
    </w:p>
    <w:p>
      <w:pPr>
        <w:spacing w:after="140" w:line="274" w:lineRule="auto"/>
        <w:jc w:val="both"/>
      </w:pPr>
      <w:r>
        <w:rPr>
          <w:rFonts w:ascii="Times New Roman" w:hAnsi="Times New Roman" w:cs="Times New Roman"/>
          <w:b/>
          <w:i w:val="0"/>
          <w:sz w:val="22"/>
        </w:rPr>
        <w:t xml:space="preserve">Input dynamics and the enrolled profile (500, 510, 620). </w:t>
      </w:r>
      <w:r>
        <w:rPr>
          <w:rFonts w:ascii="Times New Roman" w:hAnsi="Times New Roman" w:cs="Times New Roman"/>
          <w:b w:val="0"/>
          <w:i w:val="0"/>
          <w:sz w:val="22"/>
        </w:rPr>
        <w:t>The input-device interface (500) timestamps the answer commit as T2 and derives per-key hold intervals and inter-key intervals for the keystrokes preceding it. The enrolled profile store (510) holds statistics of the same quantities gathered from the candidate during an enrolment interval of ordinary, unassisted work. The discontinuity comparator (620) computes a scaled distance between the commit dynamics and the enrolled profile. The purpose is not identification. Transcribing a dictated string and composing an answer are different motor tasks, and they produce different timing distributions in the same person; the comparator is directed at that difference.</w:t>
      </w:r>
    </w:p>
    <w:p>
      <w:pPr>
        <w:spacing w:after="140" w:line="274" w:lineRule="auto"/>
        <w:jc w:val="both"/>
      </w:pPr>
      <w:r>
        <w:rPr>
          <w:rFonts w:ascii="Times New Roman" w:hAnsi="Times New Roman" w:cs="Times New Roman"/>
          <w:b/>
          <w:i w:val="0"/>
          <w:sz w:val="22"/>
        </w:rPr>
        <w:t xml:space="preserve">Analog envelope front end (401, 402). </w:t>
      </w:r>
      <w:r>
        <w:rPr>
          <w:rFonts w:ascii="Times New Roman" w:hAnsi="Times New Roman" w:cs="Times New Roman"/>
          <w:b w:val="0"/>
          <w:i w:val="0"/>
          <w:sz w:val="22"/>
        </w:rPr>
        <w:t>Each acoustic channel passes through an analog stage before it is digitised. That stage band-passes the signal to the range of voice fundamental and first-formant frequencies, approximately 80 Hz to 1 kHz, and then rectifies and low-pass filters it to produce an envelope. It is the envelope, not the waveform, that reaches the converter, so the sampling rate at the node is set by the envelope bandwidth and not by the bandwidth of speech; 200 Hz is ample for an envelope whose own content lies below about 50 Hz, and the anti-aliasing requirement is met by the low-pass stage that forms it. This is why the node can be a commodity microcontroller: at no point does it hold a speech waveform.</w:t>
      </w:r>
    </w:p>
    <w:p>
      <w:pPr>
        <w:spacing w:after="140" w:line="274" w:lineRule="auto"/>
        <w:jc w:val="both"/>
      </w:pPr>
      <w:r>
        <w:rPr>
          <w:rFonts w:ascii="Times New Roman" w:hAnsi="Times New Roman" w:cs="Times New Roman"/>
          <w:b/>
          <w:i w:val="0"/>
          <w:sz w:val="22"/>
        </w:rPr>
        <w:t xml:space="preserve">Non-reconstructability of the acoustic representation. </w:t>
      </w:r>
      <w:r>
        <w:rPr>
          <w:rFonts w:ascii="Times New Roman" w:hAnsi="Times New Roman" w:cs="Times New Roman"/>
          <w:b w:val="0"/>
          <w:i w:val="0"/>
          <w:sz w:val="22"/>
        </w:rPr>
        <w:t>What leaves the station node is therefore not an acoustic signal, and could not be reconstructed into one. Within each analysis window the node reduces each acoustic channel to a peak magnitude and a root-mean-square magnitude, and emits only those statistics, a scalar motion magnitude and the derived instants. Two properties make the reduction irreversible, and neither is a retention policy. First, the analog stage has already discarded phase: an envelope detector is insensitive to the phase relations among the components it passes, and phase is not recoverable from magnitude alone. Second, the peak and mean-square of a window are two order statistics of every sample in it; the mapping is many-to-one over an enormous preimage, and no inverse exists rather than none being permitted. Intelligibility requires the spectral detail and the temporal fine structure that both stages remove. The protection is a property of what the apparatus computes, and it holds whether or not the recipient is trusted, and whether or not the emitted statistics are later stored.</w:t>
      </w:r>
    </w:p>
    <w:p>
      <w:pPr>
        <w:spacing w:after="140" w:line="274" w:lineRule="auto"/>
        <w:jc w:val="both"/>
      </w:pPr>
      <w:r>
        <w:rPr>
          <w:rFonts w:ascii="Times New Roman" w:hAnsi="Times New Roman" w:cs="Times New Roman"/>
          <w:b/>
          <w:i w:val="0"/>
          <w:sz w:val="22"/>
        </w:rPr>
        <w:t xml:space="preserve">Causal latency interlock and corroboration value (600, 615, 610, 700, 710). </w:t>
      </w:r>
      <w:r>
        <w:rPr>
          <w:rFonts w:ascii="Times New Roman" w:hAnsi="Times New Roman" w:cs="Times New Roman"/>
          <w:b w:val="0"/>
          <w:i w:val="0"/>
          <w:sz w:val="22"/>
        </w:rPr>
        <w:t>Two intervals are evaluated, and the onset anchor is what makes the first of them computable at all. The consultation-band comparator (615) evaluates T1 minus T0. Its lower bound is a minimum item-apprehension interval: a candidate cannot have read an item and begun to vocalise it inside that interval, so an emission arriving sooner is residual activity carried over from the preceding item rather than a consultation about the present one. Its upper bound is the presentation instant derived for the succeeding item, which is what binds an attributed emission to one identified question rather than to the session at large. In the described embodiment the lower bound is set at 1.0 s and may be varied between 0.5 s and 2.0 s without departing from the invention; Section 8.2 reports the measurement on which that default is set, and Section 9.3 lists its confirmation on physically acquired data among the predictions the planned trial would test. The assistance-band comparator (610) then evaluates whether T2 minus T1 lies within a bounded assistance interval. Its lower bound is the shortest time in which a helper outside the station could have heard the emission, resolved the item and returned an answer, and the candidate could have begun to commit it; its upper bound is the longest interval over which a causal relation between that emission and that commit is asserted. In the described embodiment the lower bound is set at 2.0 s and the upper bound at 30 s, the lower permitted to vary between 1.0 s and 4.0 s and the upper between 15 s and 60 s without departing from the invention; Section 8.2 states the proxy measurement from which those defaults are taken and how little weight it will bear. Removing the onset anchor removes both tests: the first interval cannot be formed, and the second is no longer referable to any particular item. The corroboration value unit (700) combines the interlock outcome with the qualified ocular quantities and the weighted acoustic quantity into an ordinal corroboration value, and the eligibility comparator (710) determines whether the cycle is eligible for output. The value is ordinal by construction. Its function is to order cycles by strength of evidence so that the scheduler may act on the strongest; no protection is sought for the combination as a mathematical method in the abstract, and the value has no meaning in this apparatus except as the input to a physical actuation decision.</w:t>
      </w:r>
    </w:p>
    <w:p>
      <w:pPr>
        <w:spacing w:after="140" w:line="274" w:lineRule="auto"/>
        <w:jc w:val="both"/>
      </w:pPr>
      <w:r>
        <w:rPr>
          <w:rFonts w:ascii="Times New Roman" w:hAnsi="Times New Roman" w:cs="Times New Roman"/>
          <w:b/>
          <w:i w:val="0"/>
          <w:sz w:val="22"/>
        </w:rPr>
        <w:t xml:space="preserve">Graduated enforcement scheduler (800, 810, 820, 830, 840). </w:t>
      </w:r>
      <w:r>
        <w:rPr>
          <w:rFonts w:ascii="Times New Roman" w:hAnsi="Times New Roman" w:cs="Times New Roman"/>
          <w:b w:val="0"/>
          <w:i w:val="0"/>
          <w:sz w:val="22"/>
        </w:rPr>
        <w:t>The scheduler (800) holds a per-candidate enforcement state over the severities observe, advise, notify, gate and hold. Advance requires the same severity to be earned on n consecutive control cycles, counted by the persistence counter (810). A per-candidate cooldown (820) bars repeat actuation upon the same candidate within a fixed interval, and a global session interval (830) bars actuation anywhere in the room within a fixed interval of the last one, so that the total rate of intervention in a hall is bounded independently of how many candidates are flagged at once. The escalation comparator (840) permits a sustained and rising corroboration value to shorten those intervals by a bounded fraction; it may never eliminate them.</w:t>
      </w:r>
    </w:p>
    <w:p>
      <w:pPr>
        <w:spacing w:after="140" w:line="274" w:lineRule="auto"/>
        <w:jc w:val="both"/>
      </w:pPr>
      <w:r>
        <w:rPr>
          <w:rFonts w:ascii="Times New Roman" w:hAnsi="Times New Roman" w:cs="Times New Roman"/>
          <w:b/>
          <w:i w:val="0"/>
          <w:sz w:val="22"/>
        </w:rPr>
        <w:t xml:space="preserve">Dual-channel actuation interlock (850). </w:t>
      </w:r>
      <w:r>
        <w:rPr>
          <w:rFonts w:ascii="Times New Roman" w:hAnsi="Times New Roman" w:cs="Times New Roman"/>
          <w:b w:val="0"/>
          <w:i w:val="0"/>
          <w:sz w:val="22"/>
        </w:rPr>
        <w:t>The two severities that act physically upon the candidate — gate and hold — are conditioned on the dual-channel interlock (850). The interlock is satisfied only where two physically independent sensing modalities have each exceeded their own threshold within the same control cycle; independence is a property of the transducers, so that two quantities derived from the same camera do not constitute two channels. The severities that act only informationally remain available on a single modality. The design position is explicit: an indication to the candidate may be wrong, and an interruption of their keyboard should not be.</w:t>
      </w:r>
    </w:p>
    <w:p>
      <w:pPr>
        <w:spacing w:after="140" w:line="274" w:lineRule="auto"/>
        <w:jc w:val="both"/>
      </w:pPr>
      <w:r>
        <w:rPr>
          <w:rFonts w:ascii="Times New Roman" w:hAnsi="Times New Roman" w:cs="Times New Roman"/>
          <w:b/>
          <w:i w:val="0"/>
          <w:sz w:val="22"/>
        </w:rPr>
        <w:t xml:space="preserve">Actuators and the evidence record (910, 920, 930, 950). </w:t>
      </w:r>
      <w:r>
        <w:rPr>
          <w:rFonts w:ascii="Times New Roman" w:hAnsi="Times New Roman" w:cs="Times New Roman"/>
          <w:b w:val="0"/>
          <w:i w:val="0"/>
          <w:sz w:val="22"/>
        </w:rPr>
        <w:t>The desk indicator (910) provides a private visual or haptic indication to the candidate alone. The in-line gating unit (920) is disposed in series with the candidate keyboard and comprises an analog switch or signal relay in the data pair, whose enable input is driven by the controller. Two properties are enforced in hardware rather than in software. The enable input is held in the passing state by a pull-down resistor, so that the candidate’s input path works whenever the controller is unpowered, held in reset or unresponsive: opening the path is the active state and requires a live controller to assert it. And every assertion is watchdog-bounded, releasing automatically if the decision layer stops refreshing it, so that no failure can hold a candidate’s keyboard open. The session hold latch (930) requires human release. The evidence record store (950) receives every control cycle with its instants, channel quantities, interlock outcome and scheduler decision.</w:t>
      </w:r>
    </w:p>
    <w:p>
      <w:pPr>
        <w:spacing w:before="160" w:after="40"/>
        <w:jc w:val="center"/>
      </w:pPr>
      <w:r>
        <w:drawing>
          <wp:inline xmlns:a="http://schemas.openxmlformats.org/drawingml/2006/main" xmlns:pic="http://schemas.openxmlformats.org/drawingml/2006/picture">
            <wp:extent cx="5852160" cy="3445797"/>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3445797"/>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The in-line gating unit (920). The data pair is opened while bus power and ground pass through, so the device is not power-cycled. Two properties are held in the circuit rather than in software: a pull-down biases the enable input toward continuity, and every assertion is released by a watchdog when the controller stops refreshing it.</w:t>
      </w:r>
    </w:p>
    <w:p>
      <w:pPr>
        <w:spacing w:before="160" w:after="40"/>
        <w:jc w:val="center"/>
      </w:pPr>
      <w:r>
        <w:drawing>
          <wp:inline xmlns:a="http://schemas.openxmlformats.org/drawingml/2006/main" xmlns:pic="http://schemas.openxmlformats.org/drawingml/2006/picture">
            <wp:extent cx="5852160" cy="2939387"/>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2939387"/>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The enforcement ladder and the conditions governing advance along it. The severities that act physically upon the candidate input path are unreachable on the evidence of one sensing modality, and no escalation may eliminate the global session interval.</w:t>
      </w:r>
    </w:p>
    <w:p>
      <w:pPr>
        <w:keepNext/>
        <w:spacing w:before="220" w:after="80"/>
        <w:outlineLvl w:val="1"/>
      </w:pPr>
      <w:r>
        <w:rPr>
          <w:rFonts w:ascii="Times New Roman" w:hAnsi="Times New Roman" w:cs="Times New Roman"/>
          <w:b/>
          <w:i w:val="0"/>
          <w:sz w:val="23"/>
        </w:rPr>
        <w:t>7.1 Alternative Embodiments</w:t>
      </w:r>
    </w:p>
    <w:p>
      <w:pPr>
        <w:spacing w:after="140" w:line="274" w:lineRule="auto"/>
        <w:jc w:val="both"/>
      </w:pPr>
      <w:r>
        <w:rPr>
          <w:rFonts w:ascii="Times New Roman" w:hAnsi="Times New Roman" w:cs="Times New Roman"/>
          <w:b w:val="0"/>
          <w:i w:val="0"/>
          <w:sz w:val="22"/>
        </w:rPr>
        <w:t>The following alternatives are contemplated and are to be read as within the scope of the invention. They are recited so that the disclosure supports claim language broader than the principal embodiment.</w:t>
      </w:r>
    </w:p>
    <w:p>
      <w:pPr>
        <w:spacing w:after="140" w:line="274" w:lineRule="auto"/>
        <w:ind w:left="403"/>
        <w:jc w:val="both"/>
      </w:pPr>
      <w:r>
        <w:rPr>
          <w:rFonts w:ascii="Times New Roman" w:hAnsi="Times New Roman" w:cs="Times New Roman"/>
          <w:b/>
          <w:i w:val="0"/>
          <w:sz w:val="21"/>
        </w:rPr>
        <w:t xml:space="preserve">(a) Onset anchoring. </w:t>
      </w:r>
      <w:r>
        <w:rPr>
          <w:rFonts w:ascii="Times New Roman" w:hAnsi="Times New Roman" w:cs="Times New Roman"/>
          <w:b w:val="0"/>
          <w:i w:val="0"/>
          <w:sz w:val="21"/>
        </w:rPr>
        <w:t>The onset instant may be recovered by a photodiode over a rendered patch; by a photodiode or phototransistor observing panel backlight modulation; by an ambient-light sensor differencing two regions of the panel; by an optical tap on the video interface; or by a line-level tap on the display signal itself. What is required is that the instant be derived from a physical quantity emitted by the display rather than from an event reported by the machine under examination.</w:t>
      </w:r>
    </w:p>
    <w:p>
      <w:pPr>
        <w:spacing w:after="140" w:line="274" w:lineRule="auto"/>
        <w:ind w:left="403"/>
        <w:jc w:val="both"/>
      </w:pPr>
      <w:r>
        <w:rPr>
          <w:rFonts w:ascii="Times New Roman" w:hAnsi="Times New Roman" w:cs="Times New Roman"/>
          <w:b/>
          <w:i w:val="0"/>
          <w:sz w:val="21"/>
        </w:rPr>
        <w:t xml:space="preserve">(b) Emission attribution. </w:t>
      </w:r>
      <w:r>
        <w:rPr>
          <w:rFonts w:ascii="Times New Roman" w:hAnsi="Times New Roman" w:cs="Times New Roman"/>
          <w:b w:val="0"/>
          <w:i w:val="0"/>
          <w:sz w:val="21"/>
        </w:rPr>
        <w:t>Coincidence may be evaluated between a contact piezoelectric transducer and an airborne microphone; between two contact transducers at different points of the desk with a time-difference constraint; between a contact transducer and a throat or bone-conduction sensor; or between a contact transducer and a capacitive or load sensor confirming that the candidate is in contact with the desk. Attribution may also be strengthened by a microphone array steering a null toward adjacent stations.</w:t>
      </w:r>
    </w:p>
    <w:p>
      <w:pPr>
        <w:spacing w:after="140" w:line="274" w:lineRule="auto"/>
        <w:ind w:left="403"/>
        <w:jc w:val="both"/>
      </w:pPr>
      <w:r>
        <w:rPr>
          <w:rFonts w:ascii="Times New Roman" w:hAnsi="Times New Roman" w:cs="Times New Roman"/>
          <w:b/>
          <w:i w:val="0"/>
          <w:sz w:val="21"/>
        </w:rPr>
        <w:t xml:space="preserve">(c) Commit-dynamics channel. </w:t>
      </w:r>
      <w:r>
        <w:rPr>
          <w:rFonts w:ascii="Times New Roman" w:hAnsi="Times New Roman" w:cs="Times New Roman"/>
          <w:b w:val="0"/>
          <w:i w:val="0"/>
          <w:sz w:val="21"/>
        </w:rPr>
        <w:t>The input-dynamics channel may be derived from keystroke hold and inter-key intervals; from pointer velocity, curvature and dwell; from touch-surface pressure and contact area; from stylus dynamics; or from any combination. The comparison against the enrolled profile may use a scaled Manhattan distance, a Mahalanobis distance, a likelihood under a fitted density, or a learned scoring function trained without any example of assisted responding.</w:t>
      </w:r>
    </w:p>
    <w:p>
      <w:pPr>
        <w:spacing w:after="140" w:line="274" w:lineRule="auto"/>
        <w:ind w:left="403"/>
        <w:jc w:val="both"/>
      </w:pPr>
      <w:r>
        <w:rPr>
          <w:rFonts w:ascii="Times New Roman" w:hAnsi="Times New Roman" w:cs="Times New Roman"/>
          <w:b/>
          <w:i w:val="0"/>
          <w:sz w:val="21"/>
        </w:rPr>
        <w:t xml:space="preserve">(d) Latency band. </w:t>
      </w:r>
      <w:r>
        <w:rPr>
          <w:rFonts w:ascii="Times New Roman" w:hAnsi="Times New Roman" w:cs="Times New Roman"/>
          <w:b w:val="0"/>
          <w:i w:val="0"/>
          <w:sz w:val="21"/>
        </w:rPr>
        <w:t>The bounds of the assistance band may be fixed; set per examination from the item type; adapted per candidate from the distribution of unassisted commit intervals observed during enrolment; or expressed as a probability under a fitted latency model with the comparator thresholding that probability. Multiple bands may be evaluated in parallel for different modes of assistance.</w:t>
      </w:r>
    </w:p>
    <w:p>
      <w:pPr>
        <w:spacing w:after="140" w:line="274" w:lineRule="auto"/>
        <w:ind w:left="403"/>
        <w:jc w:val="both"/>
      </w:pPr>
      <w:r>
        <w:rPr>
          <w:rFonts w:ascii="Times New Roman" w:hAnsi="Times New Roman" w:cs="Times New Roman"/>
          <w:b/>
          <w:i w:val="0"/>
          <w:sz w:val="21"/>
        </w:rPr>
        <w:t xml:space="preserve">(e) Reliability transfer. </w:t>
      </w:r>
      <w:r>
        <w:rPr>
          <w:rFonts w:ascii="Times New Roman" w:hAnsi="Times New Roman" w:cs="Times New Roman"/>
          <w:b w:val="0"/>
          <w:i w:val="0"/>
          <w:sz w:val="21"/>
        </w:rPr>
        <w:t>The quantity transferred from the inertial unit may adjust a threshold, a weight, a prior, or the admissibility of an event. The same construction may be applied with other governing quantities: ambient illumination governing the imaging channel, or ambient acoustic level governing the emission channel.</w:t>
      </w:r>
    </w:p>
    <w:p>
      <w:pPr>
        <w:spacing w:after="140" w:line="274" w:lineRule="auto"/>
        <w:ind w:left="403"/>
        <w:jc w:val="both"/>
      </w:pPr>
      <w:r>
        <w:rPr>
          <w:rFonts w:ascii="Times New Roman" w:hAnsi="Times New Roman" w:cs="Times New Roman"/>
          <w:b/>
          <w:i w:val="0"/>
          <w:sz w:val="21"/>
        </w:rPr>
        <w:t xml:space="preserve">(f) Enforcement actuators. </w:t>
      </w:r>
      <w:r>
        <w:rPr>
          <w:rFonts w:ascii="Times New Roman" w:hAnsi="Times New Roman" w:cs="Times New Roman"/>
          <w:b w:val="0"/>
          <w:i w:val="0"/>
          <w:sz w:val="21"/>
        </w:rPr>
        <w:t>The severity that acts upon the input path may open the keyboard data lines by an analog switch or a signal relay; may suspend enumeration of the input device; may interpose a hardware filter that passes navigation but not character entry; or may act upon the display rather than the input, by blanking or watermarking the item. The private indication may be visual, haptic or thermal. In every case the fail-safe and watchdog properties recited above apply.</w:t>
      </w:r>
    </w:p>
    <w:p>
      <w:pPr>
        <w:spacing w:after="140" w:line="274" w:lineRule="auto"/>
        <w:ind w:left="403"/>
        <w:jc w:val="both"/>
      </w:pPr>
      <w:r>
        <w:rPr>
          <w:rFonts w:ascii="Times New Roman" w:hAnsi="Times New Roman" w:cs="Times New Roman"/>
          <w:b/>
          <w:i w:val="0"/>
          <w:sz w:val="21"/>
        </w:rPr>
        <w:t xml:space="preserve">(g) Processing topology. </w:t>
      </w:r>
      <w:r>
        <w:rPr>
          <w:rFonts w:ascii="Times New Roman" w:hAnsi="Times New Roman" w:cs="Times New Roman"/>
          <w:b w:val="0"/>
          <w:i w:val="0"/>
          <w:sz w:val="21"/>
        </w:rPr>
        <w:t>The channel derivation may be performed at a node controller at the station, at a room-local aggregator, or divided between them, with the enforcement scheduler at either. In privacy-preserving embodiments the imaging and acoustic streams are reduced to derived quantities at the point of acquisition and no raw audio or video leaves the station.</w:t>
      </w:r>
    </w:p>
    <w:p>
      <w:pPr>
        <w:spacing w:after="140" w:line="274" w:lineRule="auto"/>
        <w:ind w:left="403"/>
        <w:jc w:val="both"/>
      </w:pPr>
      <w:r>
        <w:rPr>
          <w:rFonts w:ascii="Times New Roman" w:hAnsi="Times New Roman" w:cs="Times New Roman"/>
          <w:b/>
          <w:i w:val="0"/>
          <w:sz w:val="21"/>
        </w:rPr>
        <w:t xml:space="preserve">(h) Contemplated further development. </w:t>
      </w:r>
      <w:r>
        <w:rPr>
          <w:rFonts w:ascii="Times New Roman" w:hAnsi="Times New Roman" w:cs="Times New Roman"/>
          <w:b w:val="0"/>
          <w:i w:val="0"/>
          <w:sz w:val="21"/>
        </w:rPr>
        <w:t>In a further contemplated embodiment the apparatus estimates the direction of arrival of the airborne component and maintains a per-station acoustic map of the room, so that an emission may be assigned to a specific neighbouring station rather than merely refused. This variant is disclosed here to preserve it for possible later claiming and is deliberately not recited among the claims of Section 10, as it has not been reduced to practice.</w:t>
      </w:r>
    </w:p>
    <w:p>
      <w:pPr>
        <w:spacing w:after="140" w:line="274" w:lineRule="auto"/>
        <w:ind w:left="403"/>
        <w:jc w:val="both"/>
      </w:pPr>
      <w:r>
        <w:rPr>
          <w:rFonts w:ascii="Times New Roman" w:hAnsi="Times New Roman" w:cs="Times New Roman"/>
          <w:b/>
          <w:i w:val="0"/>
          <w:sz w:val="21"/>
        </w:rPr>
        <w:t xml:space="preserve">(i) Application environments. </w:t>
      </w:r>
      <w:r>
        <w:rPr>
          <w:rFonts w:ascii="Times New Roman" w:hAnsi="Times New Roman" w:cs="Times New Roman"/>
          <w:b w:val="0"/>
          <w:i w:val="0"/>
          <w:sz w:val="21"/>
        </w:rPr>
        <w:t>Beyond examination halls, the same apparatus applies to professional certification and licensing test centres, secure interview and vetting rooms, recruitment and aptitude testing facilities, defence and public-service selection examinations, and supervised remote-proctoring installations at candidate premises where the station hardware can be provided.</w:t>
      </w:r>
    </w:p>
    <w:p>
      <w:pPr>
        <w:keepNext/>
        <w:spacing w:before="320" w:after="120"/>
        <w:outlineLvl w:val="0"/>
      </w:pPr>
      <w:r>
        <w:rPr>
          <w:rFonts w:ascii="Times New Roman" w:hAnsi="Times New Roman" w:cs="Times New Roman"/>
          <w:b/>
          <w:i w:val="0"/>
          <w:sz w:val="26"/>
        </w:rPr>
        <w:t>8. Validation — Part A: Study on Recorded Human Data</w:t>
      </w:r>
    </w:p>
    <w:p>
      <w:pPr>
        <w:spacing w:after="140" w:line="274" w:lineRule="auto"/>
        <w:jc w:val="both"/>
      </w:pPr>
      <w:r>
        <w:rPr>
          <w:rFonts w:ascii="Times New Roman" w:hAnsi="Times New Roman" w:cs="Times New Roman"/>
          <w:b w:val="0"/>
          <w:i w:val="0"/>
          <w:sz w:val="22"/>
        </w:rPr>
        <w:t>The control layer was evaluated on recorded human data rather than on simulation. Four public corpora of human recordings were used, each standing in for one transducer of the contemplated station, together with a control-law implementation that consumes those recordings through the same code path it will use with live transducers. Detection quality is reported as AUC, the area under the receiver-operating curve, where 1.0 is perfect ordering and 0.5 is chance, and as EER, the equal-error rate.</w:t>
      </w:r>
    </w:p>
    <w:p>
      <w:pPr>
        <w:spacing w:after="140" w:line="274" w:lineRule="auto"/>
        <w:jc w:val="both"/>
      </w:pPr>
      <w:r>
        <w:rPr>
          <w:rFonts w:ascii="Times New Roman" w:hAnsi="Times New Roman" w:cs="Times New Roman"/>
          <w:b w:val="0"/>
          <w:i w:val="0"/>
          <w:sz w:val="22"/>
        </w:rPr>
        <w:t>The nature and the limits of this evidence are stated at the outset. No corpus exists that carries synchronised photodiode, desk-contact, inertial and keystroke channels from one candidate station, because such a corpus can only be produced by the apparatus described here. Every figure below therefore measures a mechanism of the invention on real human recordings of the physical quantity concerned, and no figure below measures the assembled apparatus. What Section 8 establishes is that each mechanism does what the specification says it does, on human data, at stated sample sizes. What it does not establish is field performance. Section 9 specifies the build and the trial that would. Table 2 summarises what follows: every row is a measurement on recorded human data of the physical quantity concerned, and no row is a measurement of the assembled apparatus.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448"/>
          </w:tcPr>
          <w:p>
            <w:pPr>
              <w:keepNext/>
              <w:spacing w:after="40"/>
              <w:jc w:val="center"/>
            </w:pPr>
            <w:r/>
            <w:r>
              <w:rPr>
                <w:rFonts w:ascii="Times New Roman" w:hAnsi="Times New Roman" w:cs="Times New Roman"/>
                <w:b/>
                <w:i w:val="0"/>
                <w:sz w:val="17"/>
              </w:rPr>
              <w:t>Mechanism</w:t>
            </w:r>
          </w:p>
        </w:tc>
        <w:tc>
          <w:tcPr>
            <w:tcW w:type="dxa" w:w="2621"/>
          </w:tcPr>
          <w:p>
            <w:pPr>
              <w:keepNext/>
              <w:spacing w:after="40"/>
              <w:jc w:val="center"/>
            </w:pPr>
            <w:r/>
            <w:r>
              <w:rPr>
                <w:rFonts w:ascii="Times New Roman" w:hAnsi="Times New Roman" w:cs="Times New Roman"/>
                <w:b/>
                <w:i w:val="0"/>
                <w:sz w:val="17"/>
              </w:rPr>
              <w:t>Evidence base</w:t>
            </w:r>
          </w:p>
        </w:tc>
        <w:tc>
          <w:tcPr>
            <w:tcW w:type="dxa" w:w="3024"/>
          </w:tcPr>
          <w:p>
            <w:pPr>
              <w:keepNext/>
              <w:spacing w:after="40"/>
              <w:jc w:val="center"/>
            </w:pPr>
            <w:r/>
            <w:r>
              <w:rPr>
                <w:rFonts w:ascii="Times New Roman" w:hAnsi="Times New Roman" w:cs="Times New Roman"/>
                <w:b/>
                <w:i w:val="0"/>
                <w:sz w:val="17"/>
              </w:rPr>
              <w:t>Headline measurement</w:t>
            </w:r>
          </w:p>
        </w:tc>
        <w:tc>
          <w:tcPr>
            <w:tcW w:type="dxa" w:w="835"/>
          </w:tcPr>
          <w:p>
            <w:pPr>
              <w:keepNext/>
              <w:spacing w:after="40"/>
              <w:jc w:val="center"/>
            </w:pPr>
            <w:r/>
            <w:r>
              <w:rPr>
                <w:rFonts w:ascii="Times New Roman" w:hAnsi="Times New Roman" w:cs="Times New Roman"/>
                <w:b/>
                <w:i w:val="0"/>
                <w:sz w:val="17"/>
              </w:rPr>
              <w:t>Section</w:t>
            </w:r>
          </w:p>
        </w:tc>
      </w:tr>
      <w:tr>
        <w:tc>
          <w:tcPr>
            <w:tcW w:type="dxa" w:w="2448"/>
          </w:tcPr>
          <w:p>
            <w:pPr>
              <w:spacing w:after="40"/>
              <w:jc w:val="left"/>
            </w:pPr>
            <w:r/>
            <w:r>
              <w:rPr>
                <w:rFonts w:ascii="Times New Roman" w:hAnsi="Times New Roman" w:cs="Times New Roman"/>
                <w:b w:val="0"/>
                <w:i w:val="0"/>
                <w:sz w:val="17"/>
              </w:rPr>
              <w:t>Ocular corroboration channels (310, 320, 330)</w:t>
            </w:r>
          </w:p>
        </w:tc>
        <w:tc>
          <w:tcPr>
            <w:tcW w:type="dxa" w:w="2621"/>
          </w:tcPr>
          <w:p>
            <w:pPr>
              <w:spacing w:after="40"/>
              <w:jc w:val="left"/>
            </w:pPr>
            <w:r/>
            <w:r>
              <w:rPr>
                <w:rFonts w:ascii="Times New Roman" w:hAnsi="Times New Roman" w:cs="Times New Roman"/>
                <w:b w:val="0"/>
                <w:i w:val="0"/>
                <w:sz w:val="17"/>
              </w:rPr>
              <w:t>eye-tracking corpus; 11 candidates, 100 recordings, 3,213 windows</w:t>
            </w:r>
          </w:p>
        </w:tc>
        <w:tc>
          <w:tcPr>
            <w:tcW w:type="dxa" w:w="3024"/>
          </w:tcPr>
          <w:p>
            <w:pPr>
              <w:spacing w:after="40"/>
              <w:jc w:val="left"/>
            </w:pPr>
            <w:r/>
            <w:r>
              <w:rPr>
                <w:rFonts w:ascii="Times New Roman" w:hAnsi="Times New Roman" w:cs="Times New Roman"/>
                <w:b w:val="0"/>
                <w:i w:val="0"/>
                <w:sz w:val="17"/>
              </w:rPr>
              <w:t>window AUC 0.594 to 0.733 per channel, 0.780 fused</w:t>
            </w:r>
          </w:p>
        </w:tc>
        <w:tc>
          <w:tcPr>
            <w:tcW w:type="dxa" w:w="835"/>
          </w:tcPr>
          <w:p>
            <w:pPr>
              <w:spacing w:after="40"/>
              <w:jc w:val="center"/>
            </w:pPr>
            <w:r/>
            <w:r>
              <w:rPr>
                <w:rFonts w:ascii="Times New Roman" w:hAnsi="Times New Roman" w:cs="Times New Roman"/>
                <w:b w:val="0"/>
                <w:i w:val="0"/>
                <w:sz w:val="17"/>
              </w:rPr>
              <w:t>8.2</w:t>
            </w:r>
          </w:p>
        </w:tc>
      </w:tr>
      <w:tr>
        <w:tc>
          <w:tcPr>
            <w:tcW w:type="dxa" w:w="2448"/>
          </w:tcPr>
          <w:p>
            <w:pPr>
              <w:spacing w:after="40"/>
              <w:jc w:val="left"/>
            </w:pPr>
            <w:r/>
            <w:r>
              <w:rPr>
                <w:rFonts w:ascii="Times New Roman" w:hAnsi="Times New Roman" w:cs="Times New Roman"/>
                <w:b w:val="0"/>
                <w:i w:val="0"/>
                <w:sz w:val="17"/>
              </w:rPr>
              <w:t>Consultation-band lower bound (615)</w:t>
            </w:r>
          </w:p>
        </w:tc>
        <w:tc>
          <w:tcPr>
            <w:tcW w:type="dxa" w:w="2621"/>
          </w:tcPr>
          <w:p>
            <w:pPr>
              <w:spacing w:after="40"/>
              <w:jc w:val="left"/>
            </w:pPr>
            <w:r/>
            <w:r>
              <w:rPr>
                <w:rFonts w:ascii="Times New Roman" w:hAnsi="Times New Roman" w:cs="Times New Roman"/>
                <w:b w:val="0"/>
                <w:i w:val="0"/>
                <w:sz w:val="17"/>
              </w:rPr>
              <w:t>the same corpus; 2,091 departures</w:t>
            </w:r>
          </w:p>
        </w:tc>
        <w:tc>
          <w:tcPr>
            <w:tcW w:type="dxa" w:w="3024"/>
          </w:tcPr>
          <w:p>
            <w:pPr>
              <w:spacing w:after="40"/>
              <w:jc w:val="left"/>
            </w:pPr>
            <w:r/>
            <w:r>
              <w:rPr>
                <w:rFonts w:ascii="Times New Roman" w:hAnsi="Times New Roman" w:cs="Times New Roman"/>
                <w:b w:val="0"/>
                <w:i w:val="0"/>
                <w:sz w:val="17"/>
              </w:rPr>
              <w:t>7 events (0.335 %) begin within 1,000 ms of the onset anchor</w:t>
            </w:r>
          </w:p>
        </w:tc>
        <w:tc>
          <w:tcPr>
            <w:tcW w:type="dxa" w:w="835"/>
          </w:tcPr>
          <w:p>
            <w:pPr>
              <w:spacing w:after="40"/>
              <w:jc w:val="center"/>
            </w:pPr>
            <w:r/>
            <w:r>
              <w:rPr>
                <w:rFonts w:ascii="Times New Roman" w:hAnsi="Times New Roman" w:cs="Times New Roman"/>
                <w:b w:val="0"/>
                <w:i w:val="0"/>
                <w:sz w:val="17"/>
              </w:rPr>
              <w:t>8.2</w:t>
            </w:r>
          </w:p>
        </w:tc>
      </w:tr>
      <w:tr>
        <w:tc>
          <w:tcPr>
            <w:tcW w:type="dxa" w:w="2448"/>
          </w:tcPr>
          <w:p>
            <w:pPr>
              <w:spacing w:after="40"/>
              <w:jc w:val="left"/>
            </w:pPr>
            <w:r/>
            <w:r>
              <w:rPr>
                <w:rFonts w:ascii="Times New Roman" w:hAnsi="Times New Roman" w:cs="Times New Roman"/>
                <w:b w:val="0"/>
                <w:i w:val="0"/>
                <w:sz w:val="17"/>
              </w:rPr>
              <w:t>Reliability transfer (430), as a decision rule</w:t>
            </w:r>
          </w:p>
        </w:tc>
        <w:tc>
          <w:tcPr>
            <w:tcW w:type="dxa" w:w="2621"/>
          </w:tcPr>
          <w:p>
            <w:pPr>
              <w:spacing w:after="40"/>
              <w:jc w:val="left"/>
            </w:pPr>
            <w:r/>
            <w:r>
              <w:rPr>
                <w:rFonts w:ascii="Times New Roman" w:hAnsi="Times New Roman" w:cs="Times New Roman"/>
                <w:b w:val="0"/>
                <w:i w:val="0"/>
                <w:sz w:val="17"/>
              </w:rPr>
              <w:t>the same corpus; head-pose quantity, not an inertial sensor</w:t>
            </w:r>
          </w:p>
        </w:tc>
        <w:tc>
          <w:tcPr>
            <w:tcW w:type="dxa" w:w="3024"/>
          </w:tcPr>
          <w:p>
            <w:pPr>
              <w:spacing w:after="40"/>
              <w:jc w:val="left"/>
            </w:pPr>
            <w:r/>
            <w:r>
              <w:rPr>
                <w:rFonts w:ascii="Times New Roman" w:hAnsi="Times New Roman" w:cs="Times New Roman"/>
                <w:b w:val="0"/>
                <w:i w:val="0"/>
                <w:sz w:val="17"/>
              </w:rPr>
              <w:t>trial AUC 0.562 to 0.659 from one measurement applied at two points</w:t>
            </w:r>
          </w:p>
        </w:tc>
        <w:tc>
          <w:tcPr>
            <w:tcW w:type="dxa" w:w="835"/>
          </w:tcPr>
          <w:p>
            <w:pPr>
              <w:spacing w:after="40"/>
              <w:jc w:val="center"/>
            </w:pPr>
            <w:r/>
            <w:r>
              <w:rPr>
                <w:rFonts w:ascii="Times New Roman" w:hAnsi="Times New Roman" w:cs="Times New Roman"/>
                <w:b w:val="0"/>
                <w:i w:val="0"/>
                <w:sz w:val="17"/>
              </w:rPr>
              <w:t>8.3</w:t>
            </w:r>
          </w:p>
        </w:tc>
      </w:tr>
      <w:tr>
        <w:tc>
          <w:tcPr>
            <w:tcW w:type="dxa" w:w="2448"/>
          </w:tcPr>
          <w:p>
            <w:pPr>
              <w:spacing w:after="40"/>
              <w:jc w:val="left"/>
            </w:pPr>
            <w:r/>
            <w:r>
              <w:rPr>
                <w:rFonts w:ascii="Times New Roman" w:hAnsi="Times New Roman" w:cs="Times New Roman"/>
                <w:b w:val="0"/>
                <w:i w:val="0"/>
                <w:sz w:val="17"/>
              </w:rPr>
              <w:t>Input-dynamics discontinuity (510, 620)</w:t>
            </w:r>
          </w:p>
        </w:tc>
        <w:tc>
          <w:tcPr>
            <w:tcW w:type="dxa" w:w="2621"/>
          </w:tcPr>
          <w:p>
            <w:pPr>
              <w:spacing w:after="40"/>
              <w:jc w:val="left"/>
            </w:pPr>
            <w:r/>
            <w:r>
              <w:rPr>
                <w:rFonts w:ascii="Times New Roman" w:hAnsi="Times New Roman" w:cs="Times New Roman"/>
                <w:b w:val="0"/>
                <w:i w:val="0"/>
                <w:sz w:val="17"/>
              </w:rPr>
              <w:t>keystroke benchmark; 51 subjects, published protocol</w:t>
            </w:r>
          </w:p>
        </w:tc>
        <w:tc>
          <w:tcPr>
            <w:tcW w:type="dxa" w:w="3024"/>
          </w:tcPr>
          <w:p>
            <w:pPr>
              <w:spacing w:after="40"/>
              <w:jc w:val="left"/>
            </w:pPr>
            <w:r/>
            <w:r>
              <w:rPr>
                <w:rFonts w:ascii="Times New Roman" w:hAnsi="Times New Roman" w:cs="Times New Roman"/>
                <w:b w:val="0"/>
                <w:i w:val="0"/>
                <w:sz w:val="17"/>
              </w:rPr>
              <w:t>equal-error rate 9.60 %, AUC 0.954</w:t>
            </w:r>
          </w:p>
        </w:tc>
        <w:tc>
          <w:tcPr>
            <w:tcW w:type="dxa" w:w="835"/>
          </w:tcPr>
          <w:p>
            <w:pPr>
              <w:spacing w:after="40"/>
              <w:jc w:val="center"/>
            </w:pPr>
            <w:r/>
            <w:r>
              <w:rPr>
                <w:rFonts w:ascii="Times New Roman" w:hAnsi="Times New Roman" w:cs="Times New Roman"/>
                <w:b w:val="0"/>
                <w:i w:val="0"/>
                <w:sz w:val="17"/>
              </w:rPr>
              <w:t>8.4</w:t>
            </w:r>
          </w:p>
        </w:tc>
      </w:tr>
      <w:tr>
        <w:tc>
          <w:tcPr>
            <w:tcW w:type="dxa" w:w="2448"/>
          </w:tcPr>
          <w:p>
            <w:pPr>
              <w:spacing w:after="40"/>
              <w:jc w:val="left"/>
            </w:pPr>
            <w:r/>
            <w:r>
              <w:rPr>
                <w:rFonts w:ascii="Times New Roman" w:hAnsi="Times New Roman" w:cs="Times New Roman"/>
                <w:b w:val="0"/>
                <w:i w:val="0"/>
                <w:sz w:val="17"/>
              </w:rPr>
              <w:t>Persistence counter (810)</w:t>
            </w:r>
          </w:p>
        </w:tc>
        <w:tc>
          <w:tcPr>
            <w:tcW w:type="dxa" w:w="2621"/>
          </w:tcPr>
          <w:p>
            <w:pPr>
              <w:spacing w:after="40"/>
              <w:jc w:val="left"/>
            </w:pPr>
            <w:r/>
            <w:r>
              <w:rPr>
                <w:rFonts w:ascii="Times New Roman" w:hAnsi="Times New Roman" w:cs="Times New Roman"/>
                <w:b w:val="0"/>
                <w:i w:val="0"/>
                <w:sz w:val="17"/>
              </w:rPr>
              <w:t>the same corpus</w:t>
            </w:r>
          </w:p>
        </w:tc>
        <w:tc>
          <w:tcPr>
            <w:tcW w:type="dxa" w:w="3024"/>
          </w:tcPr>
          <w:p>
            <w:pPr>
              <w:spacing w:after="40"/>
              <w:jc w:val="left"/>
            </w:pPr>
            <w:r/>
            <w:r>
              <w:rPr>
                <w:rFonts w:ascii="Times New Roman" w:hAnsi="Times New Roman" w:cs="Times New Roman"/>
                <w:b w:val="0"/>
                <w:i w:val="0"/>
                <w:sz w:val="17"/>
              </w:rPr>
              <w:t>9.60 % at n = 1 falling to 5.07 % at n = 5</w:t>
            </w:r>
          </w:p>
        </w:tc>
        <w:tc>
          <w:tcPr>
            <w:tcW w:type="dxa" w:w="835"/>
          </w:tcPr>
          <w:p>
            <w:pPr>
              <w:spacing w:after="40"/>
              <w:jc w:val="center"/>
            </w:pPr>
            <w:r/>
            <w:r>
              <w:rPr>
                <w:rFonts w:ascii="Times New Roman" w:hAnsi="Times New Roman" w:cs="Times New Roman"/>
                <w:b w:val="0"/>
                <w:i w:val="0"/>
                <w:sz w:val="17"/>
              </w:rPr>
              <w:t>8.4</w:t>
            </w:r>
          </w:p>
        </w:tc>
      </w:tr>
      <w:tr>
        <w:tc>
          <w:tcPr>
            <w:tcW w:type="dxa" w:w="2448"/>
          </w:tcPr>
          <w:p>
            <w:pPr>
              <w:spacing w:after="40"/>
              <w:jc w:val="left"/>
            </w:pPr>
            <w:r/>
            <w:r>
              <w:rPr>
                <w:rFonts w:ascii="Times New Roman" w:hAnsi="Times New Roman" w:cs="Times New Roman"/>
                <w:b w:val="0"/>
                <w:i w:val="0"/>
                <w:sz w:val="17"/>
              </w:rPr>
              <w:t>Desk inertial channel (410)</w:t>
            </w:r>
          </w:p>
        </w:tc>
        <w:tc>
          <w:tcPr>
            <w:tcW w:type="dxa" w:w="2621"/>
          </w:tcPr>
          <w:p>
            <w:pPr>
              <w:spacing w:after="40"/>
              <w:jc w:val="left"/>
            </w:pPr>
            <w:r/>
            <w:r>
              <w:rPr>
                <w:rFonts w:ascii="Times New Roman" w:hAnsi="Times New Roman" w:cs="Times New Roman"/>
                <w:b w:val="0"/>
                <w:i w:val="0"/>
                <w:sz w:val="17"/>
              </w:rPr>
              <w:t>human motion corpus; 24 subjects at 50 Hz</w:t>
            </w:r>
          </w:p>
        </w:tc>
        <w:tc>
          <w:tcPr>
            <w:tcW w:type="dxa" w:w="3024"/>
          </w:tcPr>
          <w:p>
            <w:pPr>
              <w:spacing w:after="40"/>
              <w:jc w:val="left"/>
            </w:pPr>
            <w:r/>
            <w:r>
              <w:rPr>
                <w:rFonts w:ascii="Times New Roman" w:hAnsi="Times New Roman" w:cs="Times New Roman"/>
                <w:b w:val="0"/>
                <w:i w:val="0"/>
                <w:sz w:val="17"/>
              </w:rPr>
              <w:t>seated noise floor 0.178 m/s² median, 1.832 m/s² at p99</w:t>
            </w:r>
          </w:p>
        </w:tc>
        <w:tc>
          <w:tcPr>
            <w:tcW w:type="dxa" w:w="835"/>
          </w:tcPr>
          <w:p>
            <w:pPr>
              <w:spacing w:after="40"/>
              <w:jc w:val="center"/>
            </w:pPr>
            <w:r/>
            <w:r>
              <w:rPr>
                <w:rFonts w:ascii="Times New Roman" w:hAnsi="Times New Roman" w:cs="Times New Roman"/>
                <w:b w:val="0"/>
                <w:i w:val="0"/>
                <w:sz w:val="17"/>
              </w:rPr>
              <w:t>8.5</w:t>
            </w:r>
          </w:p>
        </w:tc>
      </w:tr>
      <w:tr>
        <w:tc>
          <w:tcPr>
            <w:tcW w:type="dxa" w:w="2448"/>
          </w:tcPr>
          <w:p>
            <w:pPr>
              <w:spacing w:after="40"/>
              <w:jc w:val="left"/>
            </w:pPr>
            <w:r/>
            <w:r>
              <w:rPr>
                <w:rFonts w:ascii="Times New Roman" w:hAnsi="Times New Roman" w:cs="Times New Roman"/>
                <w:b w:val="0"/>
                <w:i w:val="0"/>
                <w:sz w:val="17"/>
              </w:rPr>
              <w:t>Two-channel agreement rule (850), not the claimed two-transducer interlock</w:t>
            </w:r>
          </w:p>
        </w:tc>
        <w:tc>
          <w:tcPr>
            <w:tcW w:type="dxa" w:w="2621"/>
          </w:tcPr>
          <w:p>
            <w:pPr>
              <w:spacing w:after="40"/>
              <w:jc w:val="left"/>
            </w:pPr>
            <w:r/>
            <w:r>
              <w:rPr>
                <w:rFonts w:ascii="Times New Roman" w:hAnsi="Times New Roman" w:cs="Times New Roman"/>
                <w:b w:val="0"/>
                <w:i w:val="0"/>
                <w:sz w:val="17"/>
              </w:rPr>
              <w:t>replay of 3,213 cycles; both channels from one instrument</w:t>
            </w:r>
          </w:p>
        </w:tc>
        <w:tc>
          <w:tcPr>
            <w:tcW w:type="dxa" w:w="3024"/>
          </w:tcPr>
          <w:p>
            <w:pPr>
              <w:spacing w:after="40"/>
              <w:jc w:val="left"/>
            </w:pPr>
            <w:r/>
            <w:r>
              <w:rPr>
                <w:rFonts w:ascii="Times New Roman" w:hAnsi="Times New Roman" w:cs="Times New Roman"/>
                <w:b w:val="0"/>
                <w:i w:val="0"/>
                <w:sz w:val="17"/>
              </w:rPr>
              <w:t>false gating 30.58/h to 9.31/h, a fall of 69.6 %</w:t>
            </w:r>
          </w:p>
        </w:tc>
        <w:tc>
          <w:tcPr>
            <w:tcW w:type="dxa" w:w="835"/>
          </w:tcPr>
          <w:p>
            <w:pPr>
              <w:spacing w:after="40"/>
              <w:jc w:val="center"/>
            </w:pPr>
            <w:r/>
            <w:r>
              <w:rPr>
                <w:rFonts w:ascii="Times New Roman" w:hAnsi="Times New Roman" w:cs="Times New Roman"/>
                <w:b w:val="0"/>
                <w:i w:val="0"/>
                <w:sz w:val="17"/>
              </w:rPr>
              <w:t>8.6</w:t>
            </w:r>
          </w:p>
        </w:tc>
      </w:tr>
      <w:tr>
        <w:tc>
          <w:tcPr>
            <w:tcW w:type="dxa" w:w="2448"/>
          </w:tcPr>
          <w:p>
            <w:pPr>
              <w:spacing w:after="40"/>
              <w:jc w:val="left"/>
            </w:pPr>
            <w:r/>
            <w:r>
              <w:rPr>
                <w:rFonts w:ascii="Times New Roman" w:hAnsi="Times New Roman" w:cs="Times New Roman"/>
                <w:b w:val="0"/>
                <w:i w:val="0"/>
                <w:sz w:val="17"/>
              </w:rPr>
              <w:t>Enforcement scheduler (800 to 840)</w:t>
            </w:r>
          </w:p>
        </w:tc>
        <w:tc>
          <w:tcPr>
            <w:tcW w:type="dxa" w:w="2621"/>
          </w:tcPr>
          <w:p>
            <w:pPr>
              <w:spacing w:after="40"/>
              <w:jc w:val="left"/>
            </w:pPr>
            <w:r/>
            <w:r>
              <w:rPr>
                <w:rFonts w:ascii="Times New Roman" w:hAnsi="Times New Roman" w:cs="Times New Roman"/>
                <w:b w:val="0"/>
                <w:i w:val="0"/>
                <w:sz w:val="17"/>
              </w:rPr>
              <w:t>the same replay</w:t>
            </w:r>
          </w:p>
        </w:tc>
        <w:tc>
          <w:tcPr>
            <w:tcW w:type="dxa" w:w="3024"/>
          </w:tcPr>
          <w:p>
            <w:pPr>
              <w:spacing w:after="40"/>
              <w:jc w:val="left"/>
            </w:pPr>
            <w:r/>
            <w:r>
              <w:rPr>
                <w:rFonts w:ascii="Times New Roman" w:hAnsi="Times New Roman" w:cs="Times New Roman"/>
                <w:b w:val="0"/>
                <w:i w:val="0"/>
                <w:sz w:val="17"/>
              </w:rPr>
              <w:t>419 eligible cycles held to 83 actuations, a reduction of 80.2 %</w:t>
            </w:r>
          </w:p>
        </w:tc>
        <w:tc>
          <w:tcPr>
            <w:tcW w:type="dxa" w:w="835"/>
          </w:tcPr>
          <w:p>
            <w:pPr>
              <w:spacing w:after="40"/>
              <w:jc w:val="center"/>
            </w:pPr>
            <w:r/>
            <w:r>
              <w:rPr>
                <w:rFonts w:ascii="Times New Roman" w:hAnsi="Times New Roman" w:cs="Times New Roman"/>
                <w:b w:val="0"/>
                <w:i w:val="0"/>
                <w:sz w:val="17"/>
              </w:rPr>
              <w:t>8.6</w:t>
            </w:r>
          </w:p>
        </w:tc>
      </w:tr>
      <w:tr>
        <w:tc>
          <w:tcPr>
            <w:tcW w:type="dxa" w:w="2448"/>
          </w:tcPr>
          <w:p>
            <w:pPr>
              <w:keepNext/>
              <w:spacing w:after="40"/>
              <w:jc w:val="left"/>
            </w:pPr>
            <w:r/>
            <w:r>
              <w:rPr>
                <w:rFonts w:ascii="Times New Roman" w:hAnsi="Times New Roman" w:cs="Times New Roman"/>
                <w:b w:val="0"/>
                <w:i w:val="0"/>
                <w:sz w:val="17"/>
              </w:rPr>
              <w:t>Control path (600, 700, 800)</w:t>
            </w:r>
          </w:p>
        </w:tc>
        <w:tc>
          <w:tcPr>
            <w:tcW w:type="dxa" w:w="2621"/>
          </w:tcPr>
          <w:p>
            <w:pPr>
              <w:keepNext/>
              <w:spacing w:after="40"/>
              <w:jc w:val="left"/>
            </w:pPr>
            <w:r/>
            <w:r>
              <w:rPr>
                <w:rFonts w:ascii="Times New Roman" w:hAnsi="Times New Roman" w:cs="Times New Roman"/>
                <w:b w:val="0"/>
                <w:i w:val="0"/>
                <w:sz w:val="17"/>
              </w:rPr>
              <w:t>recorded corpus timed on a commodity host</w:t>
            </w:r>
          </w:p>
        </w:tc>
        <w:tc>
          <w:tcPr>
            <w:tcW w:type="dxa" w:w="3024"/>
          </w:tcPr>
          <w:p>
            <w:pPr>
              <w:keepNext/>
              <w:spacing w:after="40"/>
              <w:jc w:val="left"/>
            </w:pPr>
            <w:r/>
            <w:r>
              <w:rPr>
                <w:rFonts w:ascii="Times New Roman" w:hAnsi="Times New Roman" w:cs="Times New Roman"/>
                <w:b w:val="0"/>
                <w:i w:val="0"/>
                <w:sz w:val="17"/>
              </w:rPr>
              <w:t>software path 1.588 ms median, 0.06 % of the cycle budget</w:t>
            </w:r>
          </w:p>
        </w:tc>
        <w:tc>
          <w:tcPr>
            <w:tcW w:type="dxa" w:w="835"/>
          </w:tcPr>
          <w:p>
            <w:pPr>
              <w:keepNext/>
              <w:spacing w:after="40"/>
              <w:jc w:val="center"/>
            </w:pPr>
            <w:r/>
            <w:r>
              <w:rPr>
                <w:rFonts w:ascii="Times New Roman" w:hAnsi="Times New Roman" w:cs="Times New Roman"/>
                <w:b w:val="0"/>
                <w:i w:val="0"/>
                <w:sz w:val="17"/>
              </w:rPr>
              <w:t>8.7</w:t>
            </w:r>
          </w:p>
        </w:tc>
      </w:tr>
    </w:tbl>
    <w:p>
      <w:pPr>
        <w:spacing w:before="60" w:after="240"/>
        <w:jc w:val="center"/>
      </w:pPr>
      <w:r>
        <w:rPr>
          <w:rFonts w:ascii="Times New Roman" w:hAnsi="Times New Roman" w:cs="Times New Roman"/>
          <w:b/>
          <w:i w:val="0"/>
          <w:sz w:val="21"/>
        </w:rPr>
        <w:t>Table 2: What Section 8 Establishes, Mechanism by Mechanism</w:t>
      </w:r>
    </w:p>
    <w:p>
      <w:pPr>
        <w:keepNext/>
        <w:spacing w:before="220" w:after="80"/>
        <w:outlineLvl w:val="1"/>
      </w:pPr>
      <w:r>
        <w:rPr>
          <w:rFonts w:ascii="Times New Roman" w:hAnsi="Times New Roman" w:cs="Times New Roman"/>
          <w:b/>
          <w:i w:val="0"/>
          <w:sz w:val="23"/>
        </w:rPr>
        <w:t>8.1 Corpora and what each stands in for</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1944"/>
          </w:tcPr>
          <w:p>
            <w:pPr>
              <w:keepNext/>
              <w:spacing w:after="40"/>
              <w:jc w:val="center"/>
            </w:pPr>
            <w:r/>
            <w:r>
              <w:rPr>
                <w:rFonts w:ascii="Times New Roman" w:hAnsi="Times New Roman" w:cs="Times New Roman"/>
                <w:b/>
                <w:i w:val="0"/>
                <w:sz w:val="17"/>
              </w:rPr>
              <w:t>Corpus</w:t>
            </w:r>
          </w:p>
        </w:tc>
        <w:tc>
          <w:tcPr>
            <w:tcW w:type="dxa" w:w="2664"/>
          </w:tcPr>
          <w:p>
            <w:pPr>
              <w:keepNext/>
              <w:spacing w:after="40"/>
              <w:jc w:val="center"/>
            </w:pPr>
            <w:r/>
            <w:r>
              <w:rPr>
                <w:rFonts w:ascii="Times New Roman" w:hAnsi="Times New Roman" w:cs="Times New Roman"/>
                <w:b/>
                <w:i w:val="0"/>
                <w:sz w:val="17"/>
              </w:rPr>
              <w:t>Contents</w:t>
            </w:r>
          </w:p>
        </w:tc>
        <w:tc>
          <w:tcPr>
            <w:tcW w:type="dxa" w:w="2520"/>
          </w:tcPr>
          <w:p>
            <w:pPr>
              <w:keepNext/>
              <w:spacing w:after="40"/>
              <w:jc w:val="center"/>
            </w:pPr>
            <w:r/>
            <w:r>
              <w:rPr>
                <w:rFonts w:ascii="Times New Roman" w:hAnsi="Times New Roman" w:cs="Times New Roman"/>
                <w:b/>
                <w:i w:val="0"/>
                <w:sz w:val="17"/>
              </w:rPr>
              <w:t>Channel it stands in for</w:t>
            </w:r>
          </w:p>
        </w:tc>
        <w:tc>
          <w:tcPr>
            <w:tcW w:type="dxa" w:w="2664"/>
          </w:tcPr>
          <w:p>
            <w:pPr>
              <w:keepNext/>
              <w:spacing w:after="40"/>
              <w:jc w:val="center"/>
            </w:pPr>
            <w:r/>
            <w:r>
              <w:rPr>
                <w:rFonts w:ascii="Times New Roman" w:hAnsi="Times New Roman" w:cs="Times New Roman"/>
                <w:b/>
                <w:i w:val="0"/>
                <w:sz w:val="17"/>
              </w:rPr>
              <w:t>What it cannot supply</w:t>
            </w:r>
          </w:p>
        </w:tc>
      </w:tr>
      <w:tr>
        <w:tc>
          <w:tcPr>
            <w:tcW w:type="dxa" w:w="1944"/>
          </w:tcPr>
          <w:p>
            <w:pPr>
              <w:spacing w:after="40"/>
              <w:jc w:val="left"/>
            </w:pPr>
            <w:r/>
            <w:r>
              <w:rPr>
                <w:rFonts w:ascii="Times New Roman" w:hAnsi="Times New Roman" w:cs="Times New Roman"/>
                <w:b w:val="0"/>
                <w:i w:val="0"/>
                <w:sz w:val="17"/>
              </w:rPr>
              <w:t>Academic-reading eye-tracking corpus (Tobii / iMotions exports)</w:t>
            </w:r>
          </w:p>
        </w:tc>
        <w:tc>
          <w:tcPr>
            <w:tcW w:type="dxa" w:w="2664"/>
          </w:tcPr>
          <w:p>
            <w:pPr>
              <w:spacing w:after="40"/>
              <w:jc w:val="left"/>
            </w:pPr>
            <w:r/>
            <w:r>
              <w:rPr>
                <w:rFonts w:ascii="Times New Roman" w:hAnsi="Times New Roman" w:cs="Times New Roman"/>
                <w:b w:val="0"/>
                <w:i w:val="0"/>
                <w:sz w:val="17"/>
              </w:rPr>
              <w:t>150 recordings, 60.04 Hz gaze and pupil, labelled assisted / unassisted per trial, with stimulus onset and offset markers</w:t>
            </w:r>
          </w:p>
        </w:tc>
        <w:tc>
          <w:tcPr>
            <w:tcW w:type="dxa" w:w="2520"/>
          </w:tcPr>
          <w:p>
            <w:pPr>
              <w:spacing w:after="40"/>
              <w:jc w:val="left"/>
            </w:pPr>
            <w:r/>
            <w:r>
              <w:rPr>
                <w:rFonts w:ascii="Times New Roman" w:hAnsi="Times New Roman" w:cs="Times New Roman"/>
                <w:b w:val="0"/>
                <w:i w:val="0"/>
                <w:sz w:val="17"/>
              </w:rPr>
              <w:t>Imaging sensor (300) and the ocular channels (310, 320, 330); the stimulus marker stands in for the onset anchor T0</w:t>
            </w:r>
          </w:p>
        </w:tc>
        <w:tc>
          <w:tcPr>
            <w:tcW w:type="dxa" w:w="2664"/>
          </w:tcPr>
          <w:p>
            <w:pPr>
              <w:spacing w:after="40"/>
              <w:jc w:val="left"/>
            </w:pPr>
            <w:r/>
            <w:r>
              <w:rPr>
                <w:rFonts w:ascii="Times New Roman" w:hAnsi="Times New Roman" w:cs="Times New Roman"/>
                <w:b w:val="0"/>
                <w:i w:val="0"/>
                <w:sz w:val="17"/>
              </w:rPr>
              <w:t>The onset marker is a software log line, not a photometric measurement. This is the substitution the build removes.</w:t>
            </w:r>
          </w:p>
        </w:tc>
      </w:tr>
      <w:tr>
        <w:tc>
          <w:tcPr>
            <w:tcW w:type="dxa" w:w="1944"/>
          </w:tcPr>
          <w:p>
            <w:pPr>
              <w:spacing w:after="40"/>
              <w:jc w:val="left"/>
            </w:pPr>
            <w:r/>
            <w:r>
              <w:rPr>
                <w:rFonts w:ascii="Times New Roman" w:hAnsi="Times New Roman" w:cs="Times New Roman"/>
                <w:b w:val="0"/>
                <w:i w:val="0"/>
                <w:sz w:val="17"/>
              </w:rPr>
              <w:t>Keystroke-dynamics benchmark corpus</w:t>
            </w:r>
          </w:p>
        </w:tc>
        <w:tc>
          <w:tcPr>
            <w:tcW w:type="dxa" w:w="2664"/>
          </w:tcPr>
          <w:p>
            <w:pPr>
              <w:spacing w:after="40"/>
              <w:jc w:val="left"/>
            </w:pPr>
            <w:r/>
            <w:r>
              <w:rPr>
                <w:rFonts w:ascii="Times New Roman" w:hAnsi="Times New Roman" w:cs="Times New Roman"/>
                <w:b w:val="0"/>
                <w:i w:val="0"/>
                <w:sz w:val="17"/>
              </w:rPr>
              <w:t>51 subjects, 8 sessions of 50 repetitions, 31 timing features per repetition, published evaluation protocol</w:t>
            </w:r>
          </w:p>
        </w:tc>
        <w:tc>
          <w:tcPr>
            <w:tcW w:type="dxa" w:w="2520"/>
          </w:tcPr>
          <w:p>
            <w:pPr>
              <w:spacing w:after="40"/>
              <w:jc w:val="left"/>
            </w:pPr>
            <w:r/>
            <w:r>
              <w:rPr>
                <w:rFonts w:ascii="Times New Roman" w:hAnsi="Times New Roman" w:cs="Times New Roman"/>
                <w:b w:val="0"/>
                <w:i w:val="0"/>
                <w:sz w:val="17"/>
              </w:rPr>
              <w:t>Input-device interface (500), enrolled profile store (510) and the discontinuity comparator (620)</w:t>
            </w:r>
          </w:p>
        </w:tc>
        <w:tc>
          <w:tcPr>
            <w:tcW w:type="dxa" w:w="2664"/>
          </w:tcPr>
          <w:p>
            <w:pPr>
              <w:spacing w:after="40"/>
              <w:jc w:val="left"/>
            </w:pPr>
            <w:r/>
            <w:r>
              <w:rPr>
                <w:rFonts w:ascii="Times New Roman" w:hAnsi="Times New Roman" w:cs="Times New Roman"/>
                <w:b w:val="0"/>
                <w:i w:val="0"/>
                <w:sz w:val="17"/>
              </w:rPr>
              <w:t>Impostor repetitions stand in for transcription. A different person typing is not the same as the same person transcribing.</w:t>
            </w:r>
          </w:p>
        </w:tc>
      </w:tr>
      <w:tr>
        <w:tc>
          <w:tcPr>
            <w:tcW w:type="dxa" w:w="1944"/>
          </w:tcPr>
          <w:p>
            <w:pPr>
              <w:spacing w:after="40"/>
              <w:jc w:val="left"/>
            </w:pPr>
            <w:r/>
            <w:r>
              <w:rPr>
                <w:rFonts w:ascii="Times New Roman" w:hAnsi="Times New Roman" w:cs="Times New Roman"/>
                <w:b w:val="0"/>
                <w:i w:val="0"/>
                <w:sz w:val="17"/>
              </w:rPr>
              <w:t>Inertial corpus, 50 Hz tri-axial accelerometer and gyroscope</w:t>
            </w:r>
          </w:p>
        </w:tc>
        <w:tc>
          <w:tcPr>
            <w:tcW w:type="dxa" w:w="2664"/>
          </w:tcPr>
          <w:p>
            <w:pPr>
              <w:spacing w:after="40"/>
              <w:jc w:val="left"/>
            </w:pPr>
            <w:r/>
            <w:r>
              <w:rPr>
                <w:rFonts w:ascii="Times New Roman" w:hAnsi="Times New Roman" w:cs="Times New Roman"/>
                <w:b w:val="0"/>
                <w:i w:val="0"/>
                <w:sz w:val="17"/>
              </w:rPr>
              <w:t>24 subjects across sitting, standing, walking, stairs and jogging</w:t>
            </w:r>
          </w:p>
        </w:tc>
        <w:tc>
          <w:tcPr>
            <w:tcW w:type="dxa" w:w="2520"/>
          </w:tcPr>
          <w:p>
            <w:pPr>
              <w:spacing w:after="40"/>
              <w:jc w:val="left"/>
            </w:pPr>
            <w:r/>
            <w:r>
              <w:rPr>
                <w:rFonts w:ascii="Times New Roman" w:hAnsi="Times New Roman" w:cs="Times New Roman"/>
                <w:b w:val="0"/>
                <w:i w:val="0"/>
                <w:sz w:val="17"/>
              </w:rPr>
              <w:t>Desk inertial unit (410) and the reliability-transfer unit (430), in real physical units</w:t>
            </w:r>
          </w:p>
        </w:tc>
        <w:tc>
          <w:tcPr>
            <w:tcW w:type="dxa" w:w="2664"/>
          </w:tcPr>
          <w:p>
            <w:pPr>
              <w:spacing w:after="40"/>
              <w:jc w:val="left"/>
            </w:pPr>
            <w:r/>
            <w:r>
              <w:rPr>
                <w:rFonts w:ascii="Times New Roman" w:hAnsi="Times New Roman" w:cs="Times New Roman"/>
                <w:b w:val="0"/>
                <w:i w:val="0"/>
                <w:sz w:val="17"/>
              </w:rPr>
              <w:t>The sensor is body-worn, not desk-mounted. It bounds the seated noise floor; it does not measure desk coupling.</w:t>
            </w:r>
          </w:p>
        </w:tc>
      </w:tr>
      <w:tr>
        <w:tc>
          <w:tcPr>
            <w:tcW w:type="dxa" w:w="1944"/>
          </w:tcPr>
          <w:p>
            <w:pPr>
              <w:keepNext/>
              <w:spacing w:after="40"/>
              <w:jc w:val="left"/>
            </w:pPr>
            <w:r/>
            <w:r>
              <w:rPr>
                <w:rFonts w:ascii="Times New Roman" w:hAnsi="Times New Roman" w:cs="Times New Roman"/>
                <w:b w:val="0"/>
                <w:i w:val="0"/>
                <w:sz w:val="17"/>
              </w:rPr>
              <w:t>Pointer-dynamics corpus</w:t>
            </w:r>
          </w:p>
        </w:tc>
        <w:tc>
          <w:tcPr>
            <w:tcW w:type="dxa" w:w="2664"/>
          </w:tcPr>
          <w:p>
            <w:pPr>
              <w:keepNext/>
              <w:spacing w:after="40"/>
              <w:jc w:val="left"/>
            </w:pPr>
            <w:r/>
            <w:r>
              <w:rPr>
                <w:rFonts w:ascii="Times New Roman" w:hAnsi="Times New Roman" w:cs="Times New Roman"/>
                <w:b w:val="0"/>
                <w:i w:val="0"/>
                <w:sz w:val="17"/>
              </w:rPr>
              <w:t>1,033 windows of speed and curvature statistics from ordinary daily use</w:t>
            </w:r>
          </w:p>
        </w:tc>
        <w:tc>
          <w:tcPr>
            <w:tcW w:type="dxa" w:w="2520"/>
          </w:tcPr>
          <w:p>
            <w:pPr>
              <w:keepNext/>
              <w:spacing w:after="40"/>
              <w:jc w:val="left"/>
            </w:pPr>
            <w:r/>
            <w:r>
              <w:rPr>
                <w:rFonts w:ascii="Times New Roman" w:hAnsi="Times New Roman" w:cs="Times New Roman"/>
                <w:b w:val="0"/>
                <w:i w:val="0"/>
                <w:sz w:val="17"/>
              </w:rPr>
              <w:t>Second input-dynamics channel under Section 7.1(c)</w:t>
            </w:r>
          </w:p>
        </w:tc>
        <w:tc>
          <w:tcPr>
            <w:tcW w:type="dxa" w:w="2664"/>
          </w:tcPr>
          <w:p>
            <w:pPr>
              <w:keepNext/>
              <w:spacing w:after="40"/>
              <w:jc w:val="left"/>
            </w:pPr>
            <w:r/>
            <w:r>
              <w:rPr>
                <w:rFonts w:ascii="Times New Roman" w:hAnsi="Times New Roman" w:cs="Times New Roman"/>
                <w:b w:val="0"/>
                <w:i w:val="0"/>
                <w:sz w:val="17"/>
              </w:rPr>
              <w:t>Unlabelled for assistance; used to characterise ordinary variation only.</w:t>
            </w:r>
          </w:p>
        </w:tc>
      </w:tr>
    </w:tbl>
    <w:p>
      <w:pPr>
        <w:spacing w:before="60" w:after="240"/>
        <w:jc w:val="center"/>
      </w:pPr>
      <w:r>
        <w:rPr>
          <w:rFonts w:ascii="Times New Roman" w:hAnsi="Times New Roman" w:cs="Times New Roman"/>
          <w:b/>
          <w:i w:val="0"/>
          <w:sz w:val="21"/>
        </w:rPr>
        <w:t>Table 3: Recorded Human Corpora and the Station Channel Each Stands In For</w:t>
      </w:r>
    </w:p>
    <w:p>
      <w:pPr>
        <w:spacing w:after="140" w:line="274" w:lineRule="auto"/>
        <w:jc w:val="both"/>
      </w:pPr>
      <w:r>
        <w:rPr>
          <w:rFonts w:ascii="Times New Roman" w:hAnsi="Times New Roman" w:cs="Times New Roman"/>
          <w:b w:val="0"/>
          <w:i w:val="0"/>
          <w:sz w:val="22"/>
        </w:rPr>
        <w:t>One methodological finding governs everything that follows and is reported first because it bounds the rest. The eye-tracking corpus was exported under three incompatible schemas, and detection performance is not comparable across them: restricted to the 55-column export the window-level AUC is 0.705, on the 46-column export it is 0.498, and on the 118-column export it is 0.292. A figure computed by pooling all three is partly a measurement of export protocol rather than of candidate behaviour. All ocular figures in this section are accordingly restricted to the 55-column protocol: 100 recordings, 11 candidates, 63 assisted and 37 unassisted trials, 3,213 observation windows of 20 s at a 2.5 s hop. Evaluation is by participant-disjoint five-fold cross-validation, so no candidate contributes to both the training and the evaluation of any fold. The consequence is a small evaluation: eleven candidates cannot resolve fine differences between configurations, and the ocular figures below are reported as a range across configurations rather than as a selected best.</w:t>
      </w:r>
    </w:p>
    <w:p>
      <w:pPr>
        <w:keepNext/>
        <w:spacing w:before="220" w:after="80"/>
        <w:outlineLvl w:val="1"/>
      </w:pPr>
      <w:r>
        <w:rPr>
          <w:rFonts w:ascii="Times New Roman" w:hAnsi="Times New Roman" w:cs="Times New Roman"/>
          <w:b/>
          <w:i w:val="0"/>
          <w:sz w:val="23"/>
        </w:rPr>
        <w:t>8.2 Ocular corroboration channels</w:t>
      </w:r>
    </w:p>
    <w:p>
      <w:pPr>
        <w:spacing w:after="140" w:line="274" w:lineRule="auto"/>
        <w:jc w:val="both"/>
      </w:pPr>
      <w:r>
        <w:rPr>
          <w:rFonts w:ascii="Times New Roman" w:hAnsi="Times New Roman" w:cs="Times New Roman"/>
          <w:b w:val="0"/>
          <w:i w:val="0"/>
          <w:sz w:val="22"/>
        </w:rPr>
        <w:t>Six channels were derived from the imaging corpus and evaluated singly and in combination. The causal-loop channel, which describes the geometry of consulting a fixed external source — the angular concentration of exit bearings, the landing position and dispersion on return, the count of bounded departure-and-return pairs, and periodic structure in the away signal within the assistance band — reaches 0.723 and is among the strongest single channels. The fused configuration reaches 0.780 at window level, with question-level figures between 0.695 and 0.775 depending on how windows are aggregated.</w:t>
      </w:r>
    </w:p>
    <w:p>
      <w:pPr>
        <w:spacing w:before="160" w:after="40"/>
        <w:jc w:val="center"/>
      </w:pPr>
      <w:r>
        <w:drawing>
          <wp:inline xmlns:a="http://schemas.openxmlformats.org/drawingml/2006/main" xmlns:pic="http://schemas.openxmlformats.org/drawingml/2006/picture">
            <wp:extent cx="5943600" cy="2173153"/>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943600" cy="2173153"/>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Ocular corroboration channels on the 55-column protocol, 11 candidates, participant-disjoint five-fold cross-validation. (a) window-level AUC of each channel taken singly, against the fused configuration; (b) the AUC lost when each channel is removed from the fused configuration.</w:t>
      </w:r>
    </w:p>
    <w:p>
      <w:pPr>
        <w:spacing w:after="140" w:line="274" w:lineRule="auto"/>
        <w:jc w:val="both"/>
      </w:pPr>
      <w:r>
        <w:rPr>
          <w:rFonts w:ascii="Times New Roman" w:hAnsi="Times New Roman" w:cs="Times New Roman"/>
          <w:b w:val="0"/>
          <w:i w:val="0"/>
          <w:sz w:val="22"/>
        </w:rPr>
        <w:t>Removing any single channel costs between 0.048 and 0.084 AUC, so no channel is redundant and none dominates. That pattern supports the fusion recited in the claims, and it equally bounds what fusion delivers: six channels together reach 0.780, which is a useful ordering of candidates and is not an adjudication of any one of them. Two negative results are reported because they constrain the claims. Question-onset phase structure — whether behaviour differs systematically as a function of elapsed time since presentation — was tested and rejected, at AUC 0.485 to 0.519, and is not claimed. And the contribution of an ocular enrolment baseline is unstable: under the fused model an enrolment-deviation term reduces AUC from 0.780 to 0.713 and taken alone reaches only 0.585, while under a separate held-out construction it raises window AUC from 0.673 to 0.712. Because the direction of the effect depends on the construction, and because only 6 of the 11 candidates carry a usable unassisted baseline, ocular enrolment is not claimed. Enrolment is claimed where its benefit is stable and measured, which is the input-dynamics channel of Section 8.4.</w:t>
      </w:r>
    </w:p>
    <w:p>
      <w:pPr>
        <w:spacing w:after="140" w:line="274" w:lineRule="auto"/>
        <w:jc w:val="both"/>
      </w:pPr>
      <w:r>
        <w:rPr>
          <w:rFonts w:ascii="Times New Roman" w:hAnsi="Times New Roman" w:cs="Times New Roman"/>
          <w:b/>
          <w:i w:val="0"/>
          <w:sz w:val="22"/>
        </w:rPr>
        <w:t xml:space="preserve">Where the consultation bound may be set. </w:t>
      </w:r>
      <w:r>
        <w:rPr>
          <w:rFonts w:ascii="Times New Roman" w:hAnsi="Times New Roman" w:cs="Times New Roman"/>
          <w:b w:val="0"/>
          <w:i w:val="0"/>
          <w:sz w:val="22"/>
        </w:rPr>
        <w:t>The same corpus fixes where the lower bound of the consultation interval (615) may be placed. Across 2,091 gaze departures in the 55-column protocol, 7 — 0.335 % — begin within 1,000 ms of the stimulus onset marker that stands in for the anchor T0, and those few fall disproportionately in unassisted recordings: 0.62 % of unassisted departures against 0.21 % of assisted ones, which is the signature of activity carried over from the preceding item rather than of a consultation about the present one. The first departure of a trial has a fifth percentile of 997 ms in assisted recordings against 0 ms in unassisted ones, and a first percentile over all departures of 2,381 ms assisted against 1,295 ms unassisted. A lower bound of one second therefore discards almost no departure that could be a consultation while excluding the class of events arriving too early to be a reading of the item then displayed. Seven events is a small number. The bound is accordingly stated in Section 7 as a default with a permitted range, subject to confirmation on physically acquired data, and not as a measured optimum. A gaze departure is a proxy for an acoustic emission here, and the substitution is recorded as such.</w:t>
      </w:r>
    </w:p>
    <w:p>
      <w:pPr>
        <w:spacing w:after="140" w:line="274" w:lineRule="auto"/>
        <w:jc w:val="both"/>
      </w:pPr>
      <w:r>
        <w:rPr>
          <w:rFonts w:ascii="Times New Roman" w:hAnsi="Times New Roman" w:cs="Times New Roman"/>
          <w:b/>
          <w:i w:val="0"/>
          <w:sz w:val="22"/>
        </w:rPr>
        <w:t xml:space="preserve">Where the assistance band may be set, and how weakly. </w:t>
      </w:r>
      <w:r>
        <w:rPr>
          <w:rFonts w:ascii="Times New Roman" w:hAnsi="Times New Roman" w:cs="Times New Roman"/>
          <w:b w:val="0"/>
          <w:i w:val="0"/>
          <w:sz w:val="22"/>
        </w:rPr>
        <w:t>The assistance band of Section 7 is on weaker ground and the difference is stated rather than smoothed over. No corpus available here contains an attributed acoustic emission, so the interval T2 minus T1 has never been observed. What the eye-tracking corpus does supply is the duration of each departure from the display, which brackets an external consultation and therefore bounds how long one takes. Assisted departures are the longer: median 816 ms against 741 ms, but separating in the upper tail, 1,899 ms against 1,440 ms at the seventy-fifth percentile, 4,500 ms against 2,987 ms at the ninetieth and 6,651 ms against 4,562 ms at the ninety-fifth. Taking 2 s to 30 s as the band, 24.1 % of assisted departures fall inside it against 16.4 % of unassisted ones, an enrichment of 1.47 times. That is a weak separation and it is a bound on consultation duration rather than a measurement of helper latency. The defaults of Section 7 are accordingly presented as derived starting values with a permitted range, to be replaced by the distribution the staged trial of Section 9.2 would produce. Until then the assistance band is the least evidenced numeric parameter in the disclosure, and it should not be quoted as a measured quantity.</w:t>
      </w:r>
    </w:p>
    <w:p>
      <w:pPr>
        <w:keepNext/>
        <w:spacing w:before="220" w:after="80"/>
        <w:outlineLvl w:val="1"/>
      </w:pPr>
      <w:r>
        <w:rPr>
          <w:rFonts w:ascii="Times New Roman" w:hAnsi="Times New Roman" w:cs="Times New Roman"/>
          <w:b/>
          <w:i w:val="0"/>
          <w:sz w:val="23"/>
        </w:rPr>
        <w:t>8.3 Reliability transfer: one measurement applied at two points</w:t>
      </w:r>
    </w:p>
    <w:p>
      <w:pPr>
        <w:spacing w:after="140" w:line="274" w:lineRule="auto"/>
        <w:jc w:val="both"/>
      </w:pPr>
      <w:r>
        <w:rPr>
          <w:rFonts w:ascii="Times New Roman" w:hAnsi="Times New Roman" w:cs="Times New Roman"/>
          <w:b w:val="0"/>
          <w:i w:val="0"/>
          <w:sz w:val="22"/>
        </w:rPr>
        <w:t>One matter must be settled before this subsection is read, because it governs what the result means. The eye-tracking corpus contains no inertial sensor. The motion quantity used here is derived from the eye tracker’s own camera-relative eye position and range channels — it is a head-pose quantity, not an accelerometer reading, and it comes from the same instrument as the gaze channel it qualifies. What follows is therefore a test of the coupling as a decision rule, on human data, between two quantities that are statistically distinct but not physically independent. It is not a measurement of the desk inertial unit (410), which is characterised separately at Section 8.5 on a corpus that has no gaze channel. The two have never been observed together, because no corpus carries both.</w:t>
      </w:r>
    </w:p>
    <w:p>
      <w:pPr>
        <w:spacing w:after="140" w:line="274" w:lineRule="auto"/>
        <w:jc w:val="both"/>
      </w:pPr>
      <w:r>
        <w:rPr>
          <w:rFonts w:ascii="Times New Roman" w:hAnsi="Times New Roman" w:cs="Times New Roman"/>
          <w:b w:val="0"/>
          <w:i w:val="0"/>
          <w:sz w:val="22"/>
        </w:rPr>
        <w:t>The coupling recited at element (e) of Section 4.1 was evaluated independently of the fused model. Gaze departures were qualified by requiring the head-pose channel to show that the candidate physically moved at the same time, with the qualification threshold set at the ninetieth percentile of departure-associated motion peaks in unassisted trials. Qualified-departure count alone lifts trial-level AUC from 0.562 to 0.659, an improvement of 0.097 obtained without adding any new sensing channel to the decision — the inertial measurement was already present, and the gain comes from applying it to the admissibility of the ocular channel rather than as a detector in its own right. This is the measured form of the argument that the two-point application is not an obvious combination: used as a third detector, the same signal contributes far less.</w:t>
      </w:r>
    </w:p>
    <w:p>
      <w:pPr>
        <w:spacing w:after="140" w:line="274" w:lineRule="auto"/>
        <w:jc w:val="both"/>
      </w:pPr>
      <w:r>
        <w:rPr>
          <w:rFonts w:ascii="Times New Roman" w:hAnsi="Times New Roman" w:cs="Times New Roman"/>
          <w:b w:val="0"/>
          <w:i w:val="0"/>
          <w:sz w:val="22"/>
        </w:rPr>
        <w:t>The finding also corrects an error that a threshold alone would have concealed. In the raw corpus the fraction of samples away from the display region is 38 % to 49 % even in unassisted trials, which is not glancing behaviour but tracker dropout. Requiring inertial corroboration separates a departure that the candidate physically made from a gap in the eye-tracker record, and it is what makes the ocular departure channel usable at all.</w:t>
      </w:r>
    </w:p>
    <w:p>
      <w:pPr>
        <w:keepNext/>
        <w:spacing w:before="220" w:after="80"/>
        <w:outlineLvl w:val="1"/>
      </w:pPr>
      <w:r>
        <w:rPr>
          <w:rFonts w:ascii="Times New Roman" w:hAnsi="Times New Roman" w:cs="Times New Roman"/>
          <w:b/>
          <w:i w:val="0"/>
          <w:sz w:val="23"/>
        </w:rPr>
        <w:t>8.4 Input-dynamics discontinuity and the persistence counter</w:t>
      </w:r>
    </w:p>
    <w:p>
      <w:pPr>
        <w:spacing w:after="140" w:line="274" w:lineRule="auto"/>
        <w:jc w:val="both"/>
      </w:pPr>
      <w:r>
        <w:rPr>
          <w:rFonts w:ascii="Times New Roman" w:hAnsi="Times New Roman" w:cs="Times New Roman"/>
          <w:b w:val="0"/>
          <w:i w:val="0"/>
          <w:sz w:val="22"/>
        </w:rPr>
        <w:t>The discontinuity comparator (620) was evaluated on the keystroke benchmark under its published protocol: the enrolled profile is built from the first four sessions of a subject, genuine trials are that subject’s later sessions, and the contrasting set is drawn from other subjects’ first five repetitions. Three scaled-distance detectors were compared.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3744"/>
          </w:tcPr>
          <w:p>
            <w:pPr>
              <w:keepNext/>
              <w:spacing w:after="40"/>
              <w:jc w:val="center"/>
            </w:pPr>
            <w:r/>
            <w:r>
              <w:rPr>
                <w:rFonts w:ascii="Times New Roman" w:hAnsi="Times New Roman" w:cs="Times New Roman"/>
                <w:b/>
                <w:i w:val="0"/>
                <w:sz w:val="19"/>
              </w:rPr>
              <w:t>Detector</w:t>
            </w:r>
          </w:p>
        </w:tc>
        <w:tc>
          <w:tcPr>
            <w:tcW w:type="dxa" w:w="2376"/>
          </w:tcPr>
          <w:p>
            <w:pPr>
              <w:keepNext/>
              <w:spacing w:after="40"/>
              <w:jc w:val="center"/>
            </w:pPr>
            <w:r/>
            <w:r>
              <w:rPr>
                <w:rFonts w:ascii="Times New Roman" w:hAnsi="Times New Roman" w:cs="Times New Roman"/>
                <w:b/>
                <w:i w:val="0"/>
                <w:sz w:val="19"/>
              </w:rPr>
              <w:t>EER, mean across 51 subjects</w:t>
            </w:r>
          </w:p>
        </w:tc>
        <w:tc>
          <w:tcPr>
            <w:tcW w:type="dxa" w:w="1584"/>
          </w:tcPr>
          <w:p>
            <w:pPr>
              <w:keepNext/>
              <w:spacing w:after="40"/>
              <w:jc w:val="center"/>
            </w:pPr>
            <w:r/>
            <w:r>
              <w:rPr>
                <w:rFonts w:ascii="Times New Roman" w:hAnsi="Times New Roman" w:cs="Times New Roman"/>
                <w:b/>
                <w:i w:val="0"/>
                <w:sz w:val="19"/>
              </w:rPr>
              <w:t>EER, median</w:t>
            </w:r>
          </w:p>
        </w:tc>
        <w:tc>
          <w:tcPr>
            <w:tcW w:type="dxa" w:w="2088"/>
          </w:tcPr>
          <w:p>
            <w:pPr>
              <w:keepNext/>
              <w:spacing w:after="40"/>
              <w:jc w:val="center"/>
            </w:pPr>
            <w:r/>
            <w:r>
              <w:rPr>
                <w:rFonts w:ascii="Times New Roman" w:hAnsi="Times New Roman" w:cs="Times New Roman"/>
                <w:b/>
                <w:i w:val="0"/>
                <w:sz w:val="19"/>
              </w:rPr>
              <w:t>AUC</w:t>
            </w:r>
          </w:p>
        </w:tc>
      </w:tr>
      <w:tr>
        <w:tc>
          <w:tcPr>
            <w:tcW w:type="dxa" w:w="3744"/>
          </w:tcPr>
          <w:p>
            <w:pPr>
              <w:spacing w:after="40"/>
              <w:jc w:val="left"/>
            </w:pPr>
            <w:r/>
            <w:r>
              <w:rPr>
                <w:rFonts w:ascii="Times New Roman" w:hAnsi="Times New Roman" w:cs="Times New Roman"/>
                <w:b w:val="0"/>
                <w:i w:val="0"/>
                <w:sz w:val="19"/>
              </w:rPr>
              <w:t>Manhattan scaled</w:t>
            </w:r>
          </w:p>
        </w:tc>
        <w:tc>
          <w:tcPr>
            <w:tcW w:type="dxa" w:w="2376"/>
          </w:tcPr>
          <w:p>
            <w:pPr>
              <w:spacing w:after="40"/>
              <w:jc w:val="center"/>
            </w:pPr>
            <w:r/>
            <w:r>
              <w:rPr>
                <w:rFonts w:ascii="Times New Roman" w:hAnsi="Times New Roman" w:cs="Times New Roman"/>
                <w:b w:val="0"/>
                <w:i w:val="0"/>
                <w:sz w:val="19"/>
              </w:rPr>
              <w:t>9.60 % (SD 6.87)</w:t>
            </w:r>
          </w:p>
        </w:tc>
        <w:tc>
          <w:tcPr>
            <w:tcW w:type="dxa" w:w="1584"/>
          </w:tcPr>
          <w:p>
            <w:pPr>
              <w:spacing w:after="40"/>
              <w:jc w:val="center"/>
            </w:pPr>
            <w:r/>
            <w:r>
              <w:rPr>
                <w:rFonts w:ascii="Times New Roman" w:hAnsi="Times New Roman" w:cs="Times New Roman"/>
                <w:b w:val="0"/>
                <w:i w:val="0"/>
                <w:sz w:val="19"/>
              </w:rPr>
              <w:t>8.00 %</w:t>
            </w:r>
          </w:p>
        </w:tc>
        <w:tc>
          <w:tcPr>
            <w:tcW w:type="dxa" w:w="2088"/>
          </w:tcPr>
          <w:p>
            <w:pPr>
              <w:spacing w:after="40"/>
              <w:jc w:val="center"/>
            </w:pPr>
            <w:r/>
            <w:r>
              <w:rPr>
                <w:rFonts w:ascii="Times New Roman" w:hAnsi="Times New Roman" w:cs="Times New Roman"/>
                <w:b w:val="0"/>
                <w:i w:val="0"/>
                <w:sz w:val="19"/>
              </w:rPr>
              <w:t>0.954 (SD 0.049)</w:t>
            </w:r>
          </w:p>
        </w:tc>
      </w:tr>
      <w:tr>
        <w:tc>
          <w:tcPr>
            <w:tcW w:type="dxa" w:w="3744"/>
          </w:tcPr>
          <w:p>
            <w:pPr>
              <w:spacing w:after="40"/>
              <w:jc w:val="left"/>
            </w:pPr>
            <w:r/>
            <w:r>
              <w:rPr>
                <w:rFonts w:ascii="Times New Roman" w:hAnsi="Times New Roman" w:cs="Times New Roman"/>
                <w:b w:val="0"/>
                <w:i w:val="0"/>
                <w:sz w:val="19"/>
              </w:rPr>
              <w:t>Mahalanobis</w:t>
            </w:r>
          </w:p>
        </w:tc>
        <w:tc>
          <w:tcPr>
            <w:tcW w:type="dxa" w:w="2376"/>
          </w:tcPr>
          <w:p>
            <w:pPr>
              <w:spacing w:after="40"/>
              <w:jc w:val="center"/>
            </w:pPr>
            <w:r/>
            <w:r>
              <w:rPr>
                <w:rFonts w:ascii="Times New Roman" w:hAnsi="Times New Roman" w:cs="Times New Roman"/>
                <w:b w:val="0"/>
                <w:i w:val="0"/>
                <w:sz w:val="19"/>
              </w:rPr>
              <w:t>11.12 % (SD 6.29)</w:t>
            </w:r>
          </w:p>
        </w:tc>
        <w:tc>
          <w:tcPr>
            <w:tcW w:type="dxa" w:w="1584"/>
          </w:tcPr>
          <w:p>
            <w:pPr>
              <w:spacing w:after="40"/>
              <w:jc w:val="center"/>
            </w:pPr>
            <w:r/>
            <w:r>
              <w:rPr>
                <w:rFonts w:ascii="Times New Roman" w:hAnsi="Times New Roman" w:cs="Times New Roman"/>
                <w:b w:val="0"/>
                <w:i w:val="0"/>
                <w:sz w:val="19"/>
              </w:rPr>
              <w:t>10.45 %</w:t>
            </w:r>
          </w:p>
        </w:tc>
        <w:tc>
          <w:tcPr>
            <w:tcW w:type="dxa" w:w="2088"/>
          </w:tcPr>
          <w:p>
            <w:pPr>
              <w:spacing w:after="40"/>
              <w:jc w:val="center"/>
            </w:pPr>
            <w:r/>
            <w:r>
              <w:rPr>
                <w:rFonts w:ascii="Times New Roman" w:hAnsi="Times New Roman" w:cs="Times New Roman"/>
                <w:b w:val="0"/>
                <w:i w:val="0"/>
                <w:sz w:val="19"/>
              </w:rPr>
              <w:t>0.945 (SD 0.045)</w:t>
            </w:r>
          </w:p>
        </w:tc>
      </w:tr>
      <w:tr>
        <w:tc>
          <w:tcPr>
            <w:tcW w:type="dxa" w:w="3744"/>
          </w:tcPr>
          <w:p>
            <w:pPr>
              <w:spacing w:after="40"/>
              <w:jc w:val="left"/>
            </w:pPr>
            <w:r/>
            <w:r>
              <w:rPr>
                <w:rFonts w:ascii="Times New Roman" w:hAnsi="Times New Roman" w:cs="Times New Roman"/>
                <w:b w:val="0"/>
                <w:i w:val="0"/>
                <w:sz w:val="19"/>
              </w:rPr>
              <w:t>Euclidean</w:t>
            </w:r>
          </w:p>
        </w:tc>
        <w:tc>
          <w:tcPr>
            <w:tcW w:type="dxa" w:w="2376"/>
          </w:tcPr>
          <w:p>
            <w:pPr>
              <w:spacing w:after="40"/>
              <w:jc w:val="center"/>
            </w:pPr>
            <w:r/>
            <w:r>
              <w:rPr>
                <w:rFonts w:ascii="Times New Roman" w:hAnsi="Times New Roman" w:cs="Times New Roman"/>
                <w:b w:val="0"/>
                <w:i w:val="0"/>
                <w:sz w:val="19"/>
              </w:rPr>
              <w:t>17.05 % (SD 9.42)</w:t>
            </w:r>
          </w:p>
        </w:tc>
        <w:tc>
          <w:tcPr>
            <w:tcW w:type="dxa" w:w="1584"/>
          </w:tcPr>
          <w:p>
            <w:pPr>
              <w:spacing w:after="40"/>
              <w:jc w:val="center"/>
            </w:pPr>
            <w:r/>
            <w:r>
              <w:rPr>
                <w:rFonts w:ascii="Times New Roman" w:hAnsi="Times New Roman" w:cs="Times New Roman"/>
                <w:b w:val="0"/>
                <w:i w:val="0"/>
                <w:sz w:val="19"/>
              </w:rPr>
              <w:t>15.55 %</w:t>
            </w:r>
          </w:p>
        </w:tc>
        <w:tc>
          <w:tcPr>
            <w:tcW w:type="dxa" w:w="2088"/>
          </w:tcPr>
          <w:p>
            <w:pPr>
              <w:spacing w:after="40"/>
              <w:jc w:val="center"/>
            </w:pPr>
            <w:r/>
            <w:r>
              <w:rPr>
                <w:rFonts w:ascii="Times New Roman" w:hAnsi="Times New Roman" w:cs="Times New Roman"/>
                <w:b w:val="0"/>
                <w:i w:val="0"/>
                <w:sz w:val="19"/>
              </w:rPr>
              <w:t>0.879 (SD 0.097)</w:t>
            </w:r>
          </w:p>
        </w:tc>
      </w:tr>
      <w:tr>
        <w:tc>
          <w:tcPr>
            <w:tcW w:type="dxa" w:w="3744"/>
          </w:tcPr>
          <w:p>
            <w:pPr>
              <w:keepNext/>
              <w:spacing w:after="40"/>
              <w:jc w:val="left"/>
            </w:pPr>
            <w:r/>
            <w:r>
              <w:rPr>
                <w:rFonts w:ascii="Times New Roman" w:hAnsi="Times New Roman" w:cs="Times New Roman"/>
                <w:b w:val="0"/>
                <w:i w:val="0"/>
                <w:sz w:val="19"/>
              </w:rPr>
              <w:t>Manhattan scaled, stricter contrast set drawn from all sessions</w:t>
            </w:r>
          </w:p>
        </w:tc>
        <w:tc>
          <w:tcPr>
            <w:tcW w:type="dxa" w:w="2376"/>
          </w:tcPr>
          <w:p>
            <w:pPr>
              <w:keepNext/>
              <w:spacing w:after="40"/>
              <w:jc w:val="center"/>
            </w:pPr>
            <w:r/>
            <w:r>
              <w:rPr>
                <w:rFonts w:ascii="Times New Roman" w:hAnsi="Times New Roman" w:cs="Times New Roman"/>
                <w:b w:val="0"/>
                <w:i w:val="0"/>
                <w:sz w:val="19"/>
              </w:rPr>
              <w:t>14.22 %</w:t>
            </w:r>
          </w:p>
        </w:tc>
        <w:tc>
          <w:tcPr>
            <w:tcW w:type="dxa" w:w="1584"/>
          </w:tcPr>
          <w:p>
            <w:pPr>
              <w:keepNext/>
              <w:spacing w:after="40"/>
              <w:jc w:val="center"/>
            </w:pPr>
            <w:r/>
            <w:r>
              <w:rPr>
                <w:rFonts w:ascii="Times New Roman" w:hAnsi="Times New Roman" w:cs="Times New Roman"/>
                <w:b w:val="0"/>
                <w:i w:val="0"/>
                <w:sz w:val="19"/>
              </w:rPr>
              <w:t>—</w:t>
            </w:r>
          </w:p>
        </w:tc>
        <w:tc>
          <w:tcPr>
            <w:tcW w:type="dxa" w:w="2088"/>
          </w:tcPr>
          <w:p>
            <w:pPr>
              <w:keepNext/>
              <w:spacing w:after="40"/>
              <w:jc w:val="center"/>
            </w:pPr>
            <w:r/>
            <w:r>
              <w:rPr>
                <w:rFonts w:ascii="Times New Roman" w:hAnsi="Times New Roman" w:cs="Times New Roman"/>
                <w:b w:val="0"/>
                <w:i w:val="0"/>
                <w:sz w:val="19"/>
              </w:rPr>
              <w:t>—</w:t>
            </w:r>
          </w:p>
        </w:tc>
      </w:tr>
    </w:tbl>
    <w:p>
      <w:pPr>
        <w:spacing w:before="60" w:after="240"/>
        <w:jc w:val="center"/>
      </w:pPr>
      <w:r>
        <w:rPr>
          <w:rFonts w:ascii="Times New Roman" w:hAnsi="Times New Roman" w:cs="Times New Roman"/>
          <w:b/>
          <w:i w:val="0"/>
          <w:sz w:val="21"/>
        </w:rPr>
        <w:t>Table 4: Discontinuity Detectors Against the Enrolled Profile (510)</w:t>
      </w:r>
    </w:p>
    <w:p>
      <w:pPr>
        <w:spacing w:after="140" w:line="274" w:lineRule="auto"/>
        <w:jc w:val="both"/>
      </w:pPr>
      <w:r>
        <w:rPr>
          <w:rFonts w:ascii="Times New Roman" w:hAnsi="Times New Roman" w:cs="Times New Roman"/>
          <w:b w:val="0"/>
          <w:i w:val="0"/>
          <w:sz w:val="22"/>
        </w:rPr>
        <w:t>The persistence counter (810) is a parameter of the enforcement scheduler, and the value it should take is a measurement rather than a preference. Requiring the departure to hold across consecutive commit events, with the events grouped so that a run always concerns the same contrasting party, gives an equal-error rate of 9.60 % at n = 1, 7.22 % at n = 2, 5.38 % at n = 3 and 5.07 % at n = 5. The curve is the justification for requiring persistence before advancing a severity, and it also shows where the benefit stops: past n = 3 the return is small and the latency cost is not.</w:t>
      </w:r>
    </w:p>
    <w:p>
      <w:pPr>
        <w:spacing w:before="160" w:after="40"/>
        <w:jc w:val="center"/>
      </w:pPr>
      <w:r>
        <w:drawing>
          <wp:inline xmlns:a="http://schemas.openxmlformats.org/drawingml/2006/main" xmlns:pic="http://schemas.openxmlformats.org/drawingml/2006/picture">
            <wp:extent cx="5943600" cy="2146208"/>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943600" cy="2146208"/>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Input-dynamics discontinuity against the enrolled profile. (a) three scaled-distance detectors, 51 subjects; (b) equal-error rate as a function of the number of consecutive commit events required, which is the measured basis for the persistence counter (810).</w:t>
      </w:r>
    </w:p>
    <w:p>
      <w:pPr>
        <w:spacing w:after="140" w:line="274" w:lineRule="auto"/>
        <w:jc w:val="both"/>
      </w:pPr>
      <w:r>
        <w:rPr>
          <w:rFonts w:ascii="Times New Roman" w:hAnsi="Times New Roman" w:cs="Times New Roman"/>
          <w:b w:val="0"/>
          <w:i w:val="0"/>
          <w:sz w:val="22"/>
        </w:rPr>
        <w:t>Physical timing scales recovered from the same corpus fix the units the comparator works in: median key hold 86.1 ms, with a fifth-to-ninety-fifth percentile range of 49.3 to 144.8 ms, and median down-to-down interval 191.1 ms. One limitation is stated plainly. In this corpus the contrasting set is a different person typing the same string, which is not the same thing as the same person transcribing a dictated answer. The corpus establishes that a scaled distance from an enrolled profile separates typing that did not come from the enrolled motor pattern, and that persistence sharpens that separation as the scheduler assumes. It does not establish the magnitude of the transcription effect, which the trial of Section 9 is specified to measure.</w:t>
      </w:r>
    </w:p>
    <w:p>
      <w:pPr>
        <w:keepNext/>
        <w:spacing w:before="220" w:after="80"/>
        <w:outlineLvl w:val="1"/>
      </w:pPr>
      <w:r>
        <w:rPr>
          <w:rFonts w:ascii="Times New Roman" w:hAnsi="Times New Roman" w:cs="Times New Roman"/>
          <w:b/>
          <w:i w:val="0"/>
          <w:sz w:val="23"/>
        </w:rPr>
        <w:t>8.5 Inertial channel in physical units</w:t>
      </w:r>
    </w:p>
    <w:p>
      <w:pPr>
        <w:spacing w:after="140" w:line="274" w:lineRule="auto"/>
        <w:jc w:val="both"/>
      </w:pPr>
      <w:r>
        <w:rPr>
          <w:rFonts w:ascii="Times New Roman" w:hAnsi="Times New Roman" w:cs="Times New Roman"/>
          <w:b w:val="0"/>
          <w:i w:val="0"/>
          <w:sz w:val="22"/>
        </w:rPr>
        <w:t>The desk inertial channel was characterised on a 50 Hz human motion corpus so that the thresholds recited in the specification are expressed in real units rather than in arbitrary ones. The seated noise floor has a median combined magnitude of 0.178 m/s², a ninety-fifth percentile of 0.966 m/s² and a ninety-ninth percentile of 1.832 m/s². Separation of seated from walking is essentially complete at AUC 0.9995 and from standing is partial at 0.792, which is the expected ordering and confirms the channel is measuring gross posture change rather than noise.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trPr>
        <w:tc>
          <w:tcPr>
            <w:tcW w:type="dxa" w:w="2952"/>
          </w:tcPr>
          <w:p>
            <w:pPr>
              <w:keepNext/>
              <w:spacing w:after="40"/>
              <w:jc w:val="center"/>
            </w:pPr>
            <w:r/>
            <w:r>
              <w:rPr>
                <w:rFonts w:ascii="Times New Roman" w:hAnsi="Times New Roman" w:cs="Times New Roman"/>
                <w:b/>
                <w:i w:val="0"/>
                <w:sz w:val="18"/>
              </w:rPr>
              <w:t>Property</w:t>
            </w:r>
          </w:p>
        </w:tc>
        <w:tc>
          <w:tcPr>
            <w:tcW w:type="dxa" w:w="2664"/>
          </w:tcPr>
          <w:p>
            <w:pPr>
              <w:keepNext/>
              <w:spacing w:after="40"/>
              <w:jc w:val="center"/>
            </w:pPr>
            <w:r/>
            <w:r>
              <w:rPr>
                <w:rFonts w:ascii="Times New Roman" w:hAnsi="Times New Roman" w:cs="Times New Roman"/>
                <w:b/>
                <w:i w:val="0"/>
                <w:sz w:val="18"/>
              </w:rPr>
              <w:t>Measured value</w:t>
            </w:r>
          </w:p>
        </w:tc>
        <w:tc>
          <w:tcPr>
            <w:tcW w:type="dxa" w:w="4176"/>
          </w:tcPr>
          <w:p>
            <w:pPr>
              <w:keepNext/>
              <w:spacing w:after="40"/>
              <w:jc w:val="center"/>
            </w:pPr>
            <w:r/>
            <w:r>
              <w:rPr>
                <w:rFonts w:ascii="Times New Roman" w:hAnsi="Times New Roman" w:cs="Times New Roman"/>
                <w:b/>
                <w:i w:val="0"/>
                <w:sz w:val="18"/>
              </w:rPr>
              <w:t>What it fixes in the specification</w:t>
            </w:r>
          </w:p>
        </w:tc>
      </w:tr>
      <w:tr>
        <w:tc>
          <w:tcPr>
            <w:tcW w:type="dxa" w:w="2952"/>
          </w:tcPr>
          <w:p>
            <w:pPr>
              <w:spacing w:after="40"/>
              <w:jc w:val="left"/>
            </w:pPr>
            <w:r/>
            <w:r>
              <w:rPr>
                <w:rFonts w:ascii="Times New Roman" w:hAnsi="Times New Roman" w:cs="Times New Roman"/>
                <w:b w:val="0"/>
                <w:i w:val="0"/>
                <w:sz w:val="18"/>
              </w:rPr>
              <w:t>Seated combined magnitude, median / p95 / p99</w:t>
            </w:r>
          </w:p>
        </w:tc>
        <w:tc>
          <w:tcPr>
            <w:tcW w:type="dxa" w:w="2664"/>
          </w:tcPr>
          <w:p>
            <w:pPr>
              <w:spacing w:after="40"/>
              <w:jc w:val="left"/>
            </w:pPr>
            <w:r/>
            <w:r>
              <w:rPr>
                <w:rFonts w:ascii="Times New Roman" w:hAnsi="Times New Roman" w:cs="Times New Roman"/>
                <w:b w:val="0"/>
                <w:i w:val="0"/>
                <w:sz w:val="18"/>
              </w:rPr>
              <w:t>0.178 / 0.966 / 1.832 m/s²</w:t>
            </w:r>
          </w:p>
        </w:tc>
        <w:tc>
          <w:tcPr>
            <w:tcW w:type="dxa" w:w="4176"/>
          </w:tcPr>
          <w:p>
            <w:pPr>
              <w:spacing w:after="40"/>
              <w:jc w:val="left"/>
            </w:pPr>
            <w:r/>
            <w:r>
              <w:rPr>
                <w:rFonts w:ascii="Times New Roman" w:hAnsi="Times New Roman" w:cs="Times New Roman"/>
                <w:b w:val="0"/>
                <w:i w:val="0"/>
                <w:sz w:val="18"/>
              </w:rPr>
              <w:t>The threshold above which desk motion qualifies a gaze departure, and the scale of the weight applied to the acoustic channel</w:t>
            </w:r>
          </w:p>
        </w:tc>
      </w:tr>
      <w:tr>
        <w:tc>
          <w:tcPr>
            <w:tcW w:type="dxa" w:w="2952"/>
          </w:tcPr>
          <w:p>
            <w:pPr>
              <w:spacing w:after="40"/>
              <w:jc w:val="left"/>
            </w:pPr>
            <w:r/>
            <w:r>
              <w:rPr>
                <w:rFonts w:ascii="Times New Roman" w:hAnsi="Times New Roman" w:cs="Times New Roman"/>
                <w:b w:val="0"/>
                <w:i w:val="0"/>
                <w:sz w:val="18"/>
              </w:rPr>
              <w:t>Onset confirmation latency, N = 1 to N = 8 samples at 50 Hz</w:t>
            </w:r>
          </w:p>
        </w:tc>
        <w:tc>
          <w:tcPr>
            <w:tcW w:type="dxa" w:w="2664"/>
          </w:tcPr>
          <w:p>
            <w:pPr>
              <w:spacing w:after="40"/>
              <w:jc w:val="left"/>
            </w:pPr>
            <w:r/>
            <w:r>
              <w:rPr>
                <w:rFonts w:ascii="Times New Roman" w:hAnsi="Times New Roman" w:cs="Times New Roman"/>
                <w:b w:val="0"/>
                <w:i w:val="0"/>
                <w:sz w:val="18"/>
              </w:rPr>
              <w:t>20 ms to 160 ms</w:t>
            </w:r>
          </w:p>
        </w:tc>
        <w:tc>
          <w:tcPr>
            <w:tcW w:type="dxa" w:w="4176"/>
          </w:tcPr>
          <w:p>
            <w:pPr>
              <w:spacing w:after="40"/>
              <w:jc w:val="left"/>
            </w:pPr>
            <w:r/>
            <w:r>
              <w:rPr>
                <w:rFonts w:ascii="Times New Roman" w:hAnsi="Times New Roman" w:cs="Times New Roman"/>
                <w:b w:val="0"/>
                <w:i w:val="0"/>
                <w:sz w:val="18"/>
              </w:rPr>
              <w:t>The delay the reliability transfer adds to the control cycle</w:t>
            </w:r>
          </w:p>
        </w:tc>
      </w:tr>
      <w:tr>
        <w:tc>
          <w:tcPr>
            <w:tcW w:type="dxa" w:w="2952"/>
          </w:tcPr>
          <w:p>
            <w:pPr>
              <w:spacing w:after="40"/>
              <w:jc w:val="left"/>
            </w:pPr>
            <w:r/>
            <w:r>
              <w:rPr>
                <w:rFonts w:ascii="Times New Roman" w:hAnsi="Times New Roman" w:cs="Times New Roman"/>
                <w:b w:val="0"/>
                <w:i w:val="0"/>
                <w:sz w:val="18"/>
              </w:rPr>
              <w:t>False-onset rate over the same range</w:t>
            </w:r>
          </w:p>
        </w:tc>
        <w:tc>
          <w:tcPr>
            <w:tcW w:type="dxa" w:w="2664"/>
          </w:tcPr>
          <w:p>
            <w:pPr>
              <w:spacing w:after="40"/>
              <w:jc w:val="left"/>
            </w:pPr>
            <w:r/>
            <w:r>
              <w:rPr>
                <w:rFonts w:ascii="Times New Roman" w:hAnsi="Times New Roman" w:cs="Times New Roman"/>
                <w:b w:val="0"/>
                <w:i w:val="0"/>
                <w:sz w:val="18"/>
              </w:rPr>
              <w:t>1.000 % falling to 0.598 %</w:t>
            </w:r>
          </w:p>
        </w:tc>
        <w:tc>
          <w:tcPr>
            <w:tcW w:type="dxa" w:w="4176"/>
          </w:tcPr>
          <w:p>
            <w:pPr>
              <w:spacing w:after="40"/>
              <w:jc w:val="left"/>
            </w:pPr>
            <w:r/>
            <w:r>
              <w:rPr>
                <w:rFonts w:ascii="Times New Roman" w:hAnsi="Times New Roman" w:cs="Times New Roman"/>
                <w:b w:val="0"/>
                <w:i w:val="0"/>
                <w:sz w:val="18"/>
              </w:rPr>
              <w:t>The cost of confirming motion before qualifying a departure</w:t>
            </w:r>
          </w:p>
        </w:tc>
      </w:tr>
      <w:tr>
        <w:tc>
          <w:tcPr>
            <w:tcW w:type="dxa" w:w="2952"/>
          </w:tcPr>
          <w:p>
            <w:pPr>
              <w:keepNext/>
              <w:spacing w:after="40"/>
              <w:jc w:val="left"/>
            </w:pPr>
            <w:r/>
            <w:r>
              <w:rPr>
                <w:rFonts w:ascii="Times New Roman" w:hAnsi="Times New Roman" w:cs="Times New Roman"/>
                <w:b w:val="0"/>
                <w:i w:val="0"/>
                <w:sz w:val="18"/>
              </w:rPr>
              <w:t>Saturation behaviour under a 8.90 m/s² impulse, fifty times the seated median</w:t>
            </w:r>
          </w:p>
        </w:tc>
        <w:tc>
          <w:tcPr>
            <w:tcW w:type="dxa" w:w="2664"/>
          </w:tcPr>
          <w:p>
            <w:pPr>
              <w:keepNext/>
              <w:spacing w:after="40"/>
              <w:jc w:val="left"/>
            </w:pPr>
            <w:r/>
            <w:r>
              <w:rPr>
                <w:rFonts w:ascii="Times New Roman" w:hAnsi="Times New Roman" w:cs="Times New Roman"/>
                <w:b w:val="0"/>
                <w:i w:val="0"/>
                <w:sz w:val="18"/>
              </w:rPr>
              <w:t>unsaturated adjustment would reach 0.066; the bound holds the threshold at 0.450 against its floor of 0.35</w:t>
            </w:r>
          </w:p>
        </w:tc>
        <w:tc>
          <w:tcPr>
            <w:tcW w:type="dxa" w:w="4176"/>
          </w:tcPr>
          <w:p>
            <w:pPr>
              <w:keepNext/>
              <w:spacing w:after="40"/>
              <w:jc w:val="left"/>
            </w:pPr>
            <w:r/>
            <w:r>
              <w:rPr>
                <w:rFonts w:ascii="Times New Roman" w:hAnsi="Times New Roman" w:cs="Times New Roman"/>
                <w:b w:val="0"/>
                <w:i w:val="0"/>
                <w:sz w:val="18"/>
              </w:rPr>
              <w:t>Confirms that a single impulse cannot drive the imaging threshold arbitrarily low, which is the safety property recited in Section 7</w:t>
            </w:r>
          </w:p>
        </w:tc>
      </w:tr>
    </w:tbl>
    <w:p>
      <w:pPr>
        <w:spacing w:before="60" w:after="240"/>
        <w:jc w:val="center"/>
      </w:pPr>
      <w:r>
        <w:rPr>
          <w:rFonts w:ascii="Times New Roman" w:hAnsi="Times New Roman" w:cs="Times New Roman"/>
          <w:b/>
          <w:i w:val="0"/>
          <w:sz w:val="21"/>
        </w:rPr>
        <w:t>Table 5: Desk Inertial Channel Characterised in Physical Units</w:t>
      </w:r>
    </w:p>
    <w:p>
      <w:pPr>
        <w:keepNext/>
        <w:spacing w:before="220" w:after="80"/>
        <w:outlineLvl w:val="1"/>
      </w:pPr>
      <w:r>
        <w:rPr>
          <w:rFonts w:ascii="Times New Roman" w:hAnsi="Times New Roman" w:cs="Times New Roman"/>
          <w:b/>
          <w:i w:val="0"/>
          <w:sz w:val="23"/>
        </w:rPr>
        <w:t>8.6 Enforcement discipline</w:t>
      </w:r>
    </w:p>
    <w:p>
      <w:pPr>
        <w:spacing w:after="140" w:line="274" w:lineRule="auto"/>
        <w:jc w:val="both"/>
      </w:pPr>
      <w:r>
        <w:rPr>
          <w:rFonts w:ascii="Times New Roman" w:hAnsi="Times New Roman" w:cs="Times New Roman"/>
          <w:b w:val="0"/>
          <w:i w:val="0"/>
          <w:sz w:val="22"/>
        </w:rPr>
        <w:t>The scheduler was evaluated by replaying the recorded corpus through the control-law implementation, question by question, at the control-cycle rate, with each channel rank-calibrated against unassisted cycles so that the thresholds are expressed as quantiles rather than as raw scores. One hundred questions were replayed, 63 assisted and 37 unassisted, producing 3,213 control cycles. Each mechanism of Section 7 was then switched off in turn.</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2160"/>
          </w:tcPr>
          <w:p>
            <w:pPr>
              <w:keepNext/>
              <w:spacing w:after="40"/>
              <w:jc w:val="center"/>
            </w:pPr>
            <w:r/>
            <w:r>
              <w:rPr>
                <w:rFonts w:ascii="Times New Roman" w:hAnsi="Times New Roman" w:cs="Times New Roman"/>
                <w:b/>
                <w:i w:val="0"/>
                <w:sz w:val="17"/>
              </w:rPr>
              <w:t>Mechanism</w:t>
            </w:r>
          </w:p>
        </w:tc>
        <w:tc>
          <w:tcPr>
            <w:tcW w:type="dxa" w:w="2232"/>
          </w:tcPr>
          <w:p>
            <w:pPr>
              <w:keepNext/>
              <w:spacing w:after="40"/>
              <w:jc w:val="center"/>
            </w:pPr>
            <w:r/>
            <w:r>
              <w:rPr>
                <w:rFonts w:ascii="Times New Roman" w:hAnsi="Times New Roman" w:cs="Times New Roman"/>
                <w:b/>
                <w:i w:val="0"/>
                <w:sz w:val="17"/>
              </w:rPr>
              <w:t>Configuration</w:t>
            </w:r>
          </w:p>
        </w:tc>
        <w:tc>
          <w:tcPr>
            <w:tcW w:type="dxa" w:w="1512"/>
          </w:tcPr>
          <w:p>
            <w:pPr>
              <w:keepNext/>
              <w:spacing w:after="40"/>
              <w:jc w:val="center"/>
            </w:pPr>
            <w:r/>
            <w:r>
              <w:rPr>
                <w:rFonts w:ascii="Times New Roman" w:hAnsi="Times New Roman" w:cs="Times New Roman"/>
                <w:b/>
                <w:i w:val="0"/>
                <w:sz w:val="17"/>
              </w:rPr>
              <w:t>True gate rate, assisted</w:t>
            </w:r>
          </w:p>
        </w:tc>
        <w:tc>
          <w:tcPr>
            <w:tcW w:type="dxa" w:w="1440"/>
          </w:tcPr>
          <w:p>
            <w:pPr>
              <w:keepNext/>
              <w:spacing w:after="40"/>
              <w:jc w:val="center"/>
            </w:pPr>
            <w:r/>
            <w:r>
              <w:rPr>
                <w:rFonts w:ascii="Times New Roman" w:hAnsi="Times New Roman" w:cs="Times New Roman"/>
                <w:b/>
                <w:i w:val="0"/>
                <w:sz w:val="17"/>
              </w:rPr>
              <w:t>Gate rate, unassisted</w:t>
            </w:r>
          </w:p>
        </w:tc>
        <w:tc>
          <w:tcPr>
            <w:tcW w:type="dxa" w:w="1512"/>
          </w:tcPr>
          <w:p>
            <w:pPr>
              <w:keepNext/>
              <w:spacing w:after="40"/>
              <w:jc w:val="center"/>
            </w:pPr>
            <w:r/>
            <w:r>
              <w:rPr>
                <w:rFonts w:ascii="Times New Roman" w:hAnsi="Times New Roman" w:cs="Times New Roman"/>
                <w:b/>
                <w:i w:val="0"/>
                <w:sz w:val="17"/>
              </w:rPr>
              <w:t>False gates per hour</w:t>
            </w:r>
          </w:p>
        </w:tc>
        <w:tc>
          <w:tcPr>
            <w:tcW w:type="dxa" w:w="1080"/>
          </w:tcPr>
          <w:p>
            <w:pPr>
              <w:keepNext/>
              <w:spacing w:after="40"/>
              <w:jc w:val="center"/>
            </w:pPr>
            <w:r/>
            <w:r>
              <w:rPr>
                <w:rFonts w:ascii="Times New Roman" w:hAnsi="Times New Roman" w:cs="Times New Roman"/>
                <w:b/>
                <w:i w:val="0"/>
                <w:sz w:val="17"/>
              </w:rPr>
              <w:t>Actuations</w:t>
            </w:r>
          </w:p>
        </w:tc>
      </w:tr>
      <w:tr>
        <w:tc>
          <w:tcPr>
            <w:tcW w:type="dxa" w:w="2160"/>
          </w:tcPr>
          <w:p>
            <w:pPr>
              <w:spacing w:after="40"/>
              <w:jc w:val="left"/>
            </w:pPr>
            <w:r/>
            <w:r>
              <w:rPr>
                <w:rFonts w:ascii="Times New Roman" w:hAnsi="Times New Roman" w:cs="Times New Roman"/>
                <w:b w:val="0"/>
                <w:i w:val="0"/>
                <w:sz w:val="17"/>
              </w:rPr>
              <w:t>Dual-channel interlock (850)</w:t>
            </w:r>
          </w:p>
        </w:tc>
        <w:tc>
          <w:tcPr>
            <w:tcW w:type="dxa" w:w="2232"/>
          </w:tcPr>
          <w:p>
            <w:pPr>
              <w:spacing w:after="40"/>
              <w:jc w:val="left"/>
            </w:pPr>
            <w:r/>
            <w:r>
              <w:rPr>
                <w:rFonts w:ascii="Times New Roman" w:hAnsi="Times New Roman" w:cs="Times New Roman"/>
                <w:b w:val="0"/>
                <w:i w:val="0"/>
                <w:sz w:val="17"/>
              </w:rPr>
              <w:t>any single modality may gate</w:t>
            </w:r>
          </w:p>
        </w:tc>
        <w:tc>
          <w:tcPr>
            <w:tcW w:type="dxa" w:w="1512"/>
          </w:tcPr>
          <w:p>
            <w:pPr>
              <w:spacing w:after="40"/>
              <w:jc w:val="center"/>
            </w:pPr>
            <w:r/>
            <w:r>
              <w:rPr>
                <w:rFonts w:ascii="Times New Roman" w:hAnsi="Times New Roman" w:cs="Times New Roman"/>
                <w:b w:val="0"/>
                <w:i w:val="0"/>
                <w:sz w:val="17"/>
              </w:rPr>
              <w:t>44.4 %</w:t>
            </w:r>
          </w:p>
        </w:tc>
        <w:tc>
          <w:tcPr>
            <w:tcW w:type="dxa" w:w="1440"/>
          </w:tcPr>
          <w:p>
            <w:pPr>
              <w:spacing w:after="40"/>
              <w:jc w:val="center"/>
            </w:pPr>
            <w:r/>
            <w:r>
              <w:rPr>
                <w:rFonts w:ascii="Times New Roman" w:hAnsi="Times New Roman" w:cs="Times New Roman"/>
                <w:b w:val="0"/>
                <w:i w:val="0"/>
                <w:sz w:val="17"/>
              </w:rPr>
              <w:t>29.7 %</w:t>
            </w:r>
          </w:p>
        </w:tc>
        <w:tc>
          <w:tcPr>
            <w:tcW w:type="dxa" w:w="1512"/>
          </w:tcPr>
          <w:p>
            <w:pPr>
              <w:spacing w:after="40"/>
              <w:jc w:val="center"/>
            </w:pPr>
            <w:r/>
            <w:r>
              <w:rPr>
                <w:rFonts w:ascii="Times New Roman" w:hAnsi="Times New Roman" w:cs="Times New Roman"/>
                <w:b w:val="0"/>
                <w:i w:val="0"/>
                <w:sz w:val="17"/>
              </w:rPr>
              <w:t>30.58</w:t>
            </w:r>
          </w:p>
        </w:tc>
        <w:tc>
          <w:tcPr>
            <w:tcW w:type="dxa" w:w="1080"/>
          </w:tcPr>
          <w:p>
            <w:pPr>
              <w:spacing w:after="40"/>
              <w:jc w:val="center"/>
            </w:pPr>
            <w:r/>
            <w:r>
              <w:rPr>
                <w:rFonts w:ascii="Times New Roman" w:hAnsi="Times New Roman" w:cs="Times New Roman"/>
                <w:b w:val="0"/>
                <w:i w:val="0"/>
                <w:sz w:val="17"/>
              </w:rPr>
              <w:t>83</w:t>
            </w:r>
          </w:p>
        </w:tc>
      </w:tr>
      <w:tr>
        <w:tc>
          <w:tcPr>
            <w:tcW w:type="dxa" w:w="2160"/>
          </w:tcPr>
          <w:p>
            <w:pPr>
              <w:spacing w:after="40"/>
              <w:jc w:val="left"/>
            </w:pPr>
            <w:r/>
            <w:r>
              <w:rPr>
                <w:rFonts w:ascii="Times New Roman" w:hAnsi="Times New Roman" w:cs="Times New Roman"/>
                <w:b w:val="0"/>
                <w:i w:val="0"/>
                <w:sz w:val="17"/>
              </w:rPr>
            </w:r>
          </w:p>
        </w:tc>
        <w:tc>
          <w:tcPr>
            <w:tcW w:type="dxa" w:w="2232"/>
          </w:tcPr>
          <w:p>
            <w:pPr>
              <w:spacing w:after="40"/>
              <w:jc w:val="left"/>
            </w:pPr>
            <w:r/>
            <w:r>
              <w:rPr>
                <w:rFonts w:ascii="Times New Roman" w:hAnsi="Times New Roman" w:cs="Times New Roman"/>
                <w:b w:val="0"/>
                <w:i w:val="0"/>
                <w:sz w:val="17"/>
              </w:rPr>
              <w:t>interlock armed</w:t>
            </w:r>
          </w:p>
        </w:tc>
        <w:tc>
          <w:tcPr>
            <w:tcW w:type="dxa" w:w="1512"/>
          </w:tcPr>
          <w:p>
            <w:pPr>
              <w:spacing w:after="40"/>
              <w:jc w:val="center"/>
            </w:pPr>
            <w:r/>
            <w:r>
              <w:rPr>
                <w:rFonts w:ascii="Times New Roman" w:hAnsi="Times New Roman" w:cs="Times New Roman"/>
                <w:b w:val="0"/>
                <w:i w:val="0"/>
                <w:sz w:val="17"/>
              </w:rPr>
              <w:t>33.3 %</w:t>
            </w:r>
          </w:p>
        </w:tc>
        <w:tc>
          <w:tcPr>
            <w:tcW w:type="dxa" w:w="1440"/>
          </w:tcPr>
          <w:p>
            <w:pPr>
              <w:spacing w:after="40"/>
              <w:jc w:val="center"/>
            </w:pPr>
            <w:r/>
            <w:r>
              <w:rPr>
                <w:rFonts w:ascii="Times New Roman" w:hAnsi="Times New Roman" w:cs="Times New Roman"/>
                <w:b w:val="0"/>
                <w:i w:val="0"/>
                <w:sz w:val="17"/>
              </w:rPr>
              <w:t>10.8 %</w:t>
            </w:r>
          </w:p>
        </w:tc>
        <w:tc>
          <w:tcPr>
            <w:tcW w:type="dxa" w:w="1512"/>
          </w:tcPr>
          <w:p>
            <w:pPr>
              <w:spacing w:after="40"/>
              <w:jc w:val="center"/>
            </w:pPr>
            <w:r/>
            <w:r>
              <w:rPr>
                <w:rFonts w:ascii="Times New Roman" w:hAnsi="Times New Roman" w:cs="Times New Roman"/>
                <w:b w:val="0"/>
                <w:i w:val="0"/>
                <w:sz w:val="17"/>
              </w:rPr>
              <w:t>9.31</w:t>
            </w:r>
          </w:p>
        </w:tc>
        <w:tc>
          <w:tcPr>
            <w:tcW w:type="dxa" w:w="1080"/>
          </w:tcPr>
          <w:p>
            <w:pPr>
              <w:spacing w:after="40"/>
              <w:jc w:val="center"/>
            </w:pPr>
            <w:r/>
            <w:r>
              <w:rPr>
                <w:rFonts w:ascii="Times New Roman" w:hAnsi="Times New Roman" w:cs="Times New Roman"/>
                <w:b w:val="0"/>
                <w:i w:val="0"/>
                <w:sz w:val="17"/>
              </w:rPr>
              <w:t>83</w:t>
            </w:r>
          </w:p>
        </w:tc>
      </w:tr>
      <w:tr>
        <w:tc>
          <w:tcPr>
            <w:tcW w:type="dxa" w:w="2160"/>
          </w:tcPr>
          <w:p>
            <w:pPr>
              <w:spacing w:after="40"/>
              <w:jc w:val="left"/>
            </w:pPr>
            <w:r/>
            <w:r>
              <w:rPr>
                <w:rFonts w:ascii="Times New Roman" w:hAnsi="Times New Roman" w:cs="Times New Roman"/>
                <w:b w:val="0"/>
                <w:i w:val="0"/>
                <w:sz w:val="17"/>
              </w:rPr>
              <w:t>Persistence counter (810)</w:t>
            </w:r>
          </w:p>
        </w:tc>
        <w:tc>
          <w:tcPr>
            <w:tcW w:type="dxa" w:w="2232"/>
          </w:tcPr>
          <w:p>
            <w:pPr>
              <w:spacing w:after="40"/>
              <w:jc w:val="left"/>
            </w:pPr>
            <w:r/>
            <w:r>
              <w:rPr>
                <w:rFonts w:ascii="Times New Roman" w:hAnsi="Times New Roman" w:cs="Times New Roman"/>
                <w:b w:val="0"/>
                <w:i w:val="0"/>
                <w:sz w:val="17"/>
              </w:rPr>
              <w:t>n = 1</w:t>
            </w:r>
          </w:p>
        </w:tc>
        <w:tc>
          <w:tcPr>
            <w:tcW w:type="dxa" w:w="1512"/>
          </w:tcPr>
          <w:p>
            <w:pPr>
              <w:spacing w:after="40"/>
              <w:jc w:val="center"/>
            </w:pPr>
            <w:r/>
            <w:r>
              <w:rPr>
                <w:rFonts w:ascii="Times New Roman" w:hAnsi="Times New Roman" w:cs="Times New Roman"/>
                <w:b w:val="0"/>
                <w:i w:val="0"/>
                <w:sz w:val="17"/>
              </w:rPr>
              <w:t>58.7 % advise</w:t>
            </w:r>
          </w:p>
        </w:tc>
        <w:tc>
          <w:tcPr>
            <w:tcW w:type="dxa" w:w="1440"/>
          </w:tcPr>
          <w:p>
            <w:pPr>
              <w:spacing w:after="40"/>
              <w:jc w:val="center"/>
            </w:pPr>
            <w:r/>
            <w:r>
              <w:rPr>
                <w:rFonts w:ascii="Times New Roman" w:hAnsi="Times New Roman" w:cs="Times New Roman"/>
                <w:b w:val="0"/>
                <w:i w:val="0"/>
                <w:sz w:val="17"/>
              </w:rPr>
              <w:t>37.8 % advise</w:t>
            </w:r>
          </w:p>
        </w:tc>
        <w:tc>
          <w:tcPr>
            <w:tcW w:type="dxa" w:w="1512"/>
          </w:tcPr>
          <w:p>
            <w:pPr>
              <w:spacing w:after="40"/>
              <w:jc w:val="center"/>
            </w:pPr>
            <w:r/>
            <w:r>
              <w:rPr>
                <w:rFonts w:ascii="Times New Roman" w:hAnsi="Times New Roman" w:cs="Times New Roman"/>
                <w:b w:val="0"/>
                <w:i w:val="0"/>
                <w:sz w:val="17"/>
              </w:rPr>
              <w:t>45.21 advise</w:t>
            </w:r>
          </w:p>
        </w:tc>
        <w:tc>
          <w:tcPr>
            <w:tcW w:type="dxa" w:w="1080"/>
          </w:tcPr>
          <w:p>
            <w:pPr>
              <w:spacing w:after="40"/>
              <w:jc w:val="center"/>
            </w:pPr>
            <w:r/>
            <w:r>
              <w:rPr>
                <w:rFonts w:ascii="Times New Roman" w:hAnsi="Times New Roman" w:cs="Times New Roman"/>
                <w:b w:val="0"/>
                <w:i w:val="0"/>
                <w:sz w:val="17"/>
              </w:rPr>
              <w:t>131</w:t>
            </w:r>
          </w:p>
        </w:tc>
      </w:tr>
      <w:tr>
        <w:tc>
          <w:tcPr>
            <w:tcW w:type="dxa" w:w="2160"/>
          </w:tcPr>
          <w:p>
            <w:pPr>
              <w:spacing w:after="40"/>
              <w:jc w:val="left"/>
            </w:pPr>
            <w:r/>
            <w:r>
              <w:rPr>
                <w:rFonts w:ascii="Times New Roman" w:hAnsi="Times New Roman" w:cs="Times New Roman"/>
                <w:b w:val="0"/>
                <w:i w:val="0"/>
                <w:sz w:val="17"/>
              </w:rPr>
            </w:r>
          </w:p>
        </w:tc>
        <w:tc>
          <w:tcPr>
            <w:tcW w:type="dxa" w:w="2232"/>
          </w:tcPr>
          <w:p>
            <w:pPr>
              <w:spacing w:after="40"/>
              <w:jc w:val="left"/>
            </w:pPr>
            <w:r/>
            <w:r>
              <w:rPr>
                <w:rFonts w:ascii="Times New Roman" w:hAnsi="Times New Roman" w:cs="Times New Roman"/>
                <w:b w:val="0"/>
                <w:i w:val="0"/>
                <w:sz w:val="17"/>
              </w:rPr>
              <w:t>n = 2 (default)</w:t>
            </w:r>
          </w:p>
        </w:tc>
        <w:tc>
          <w:tcPr>
            <w:tcW w:type="dxa" w:w="1512"/>
          </w:tcPr>
          <w:p>
            <w:pPr>
              <w:spacing w:after="40"/>
              <w:jc w:val="center"/>
            </w:pPr>
            <w:r/>
            <w:r>
              <w:rPr>
                <w:rFonts w:ascii="Times New Roman" w:hAnsi="Times New Roman" w:cs="Times New Roman"/>
                <w:b w:val="0"/>
                <w:i w:val="0"/>
                <w:sz w:val="17"/>
              </w:rPr>
              <w:t>44.4 % advise</w:t>
            </w:r>
          </w:p>
        </w:tc>
        <w:tc>
          <w:tcPr>
            <w:tcW w:type="dxa" w:w="1440"/>
          </w:tcPr>
          <w:p>
            <w:pPr>
              <w:spacing w:after="40"/>
              <w:jc w:val="center"/>
            </w:pPr>
            <w:r/>
            <w:r>
              <w:rPr>
                <w:rFonts w:ascii="Times New Roman" w:hAnsi="Times New Roman" w:cs="Times New Roman"/>
                <w:b w:val="0"/>
                <w:i w:val="0"/>
                <w:sz w:val="17"/>
              </w:rPr>
              <w:t>29.7 % advise</w:t>
            </w:r>
          </w:p>
        </w:tc>
        <w:tc>
          <w:tcPr>
            <w:tcW w:type="dxa" w:w="1512"/>
          </w:tcPr>
          <w:p>
            <w:pPr>
              <w:spacing w:after="40"/>
              <w:jc w:val="center"/>
            </w:pPr>
            <w:r/>
            <w:r>
              <w:rPr>
                <w:rFonts w:ascii="Times New Roman" w:hAnsi="Times New Roman" w:cs="Times New Roman"/>
                <w:b w:val="0"/>
                <w:i w:val="0"/>
                <w:sz w:val="17"/>
              </w:rPr>
              <w:t>30.58 advise</w:t>
            </w:r>
          </w:p>
        </w:tc>
        <w:tc>
          <w:tcPr>
            <w:tcW w:type="dxa" w:w="1080"/>
          </w:tcPr>
          <w:p>
            <w:pPr>
              <w:spacing w:after="40"/>
              <w:jc w:val="center"/>
            </w:pPr>
            <w:r/>
            <w:r>
              <w:rPr>
                <w:rFonts w:ascii="Times New Roman" w:hAnsi="Times New Roman" w:cs="Times New Roman"/>
                <w:b w:val="0"/>
                <w:i w:val="0"/>
                <w:sz w:val="17"/>
              </w:rPr>
              <w:t>83</w:t>
            </w:r>
          </w:p>
        </w:tc>
      </w:tr>
      <w:tr>
        <w:tc>
          <w:tcPr>
            <w:tcW w:type="dxa" w:w="2160"/>
          </w:tcPr>
          <w:p>
            <w:pPr>
              <w:spacing w:after="40"/>
              <w:jc w:val="left"/>
            </w:pPr>
            <w:r/>
            <w:r>
              <w:rPr>
                <w:rFonts w:ascii="Times New Roman" w:hAnsi="Times New Roman" w:cs="Times New Roman"/>
                <w:b w:val="0"/>
                <w:i w:val="0"/>
                <w:sz w:val="17"/>
              </w:rPr>
            </w:r>
          </w:p>
        </w:tc>
        <w:tc>
          <w:tcPr>
            <w:tcW w:type="dxa" w:w="2232"/>
          </w:tcPr>
          <w:p>
            <w:pPr>
              <w:spacing w:after="40"/>
              <w:jc w:val="left"/>
            </w:pPr>
            <w:r/>
            <w:r>
              <w:rPr>
                <w:rFonts w:ascii="Times New Roman" w:hAnsi="Times New Roman" w:cs="Times New Roman"/>
                <w:b w:val="0"/>
                <w:i w:val="0"/>
                <w:sz w:val="17"/>
              </w:rPr>
              <w:t>n = 4</w:t>
            </w:r>
          </w:p>
        </w:tc>
        <w:tc>
          <w:tcPr>
            <w:tcW w:type="dxa" w:w="1512"/>
          </w:tcPr>
          <w:p>
            <w:pPr>
              <w:spacing w:after="40"/>
              <w:jc w:val="center"/>
            </w:pPr>
            <w:r/>
            <w:r>
              <w:rPr>
                <w:rFonts w:ascii="Times New Roman" w:hAnsi="Times New Roman" w:cs="Times New Roman"/>
                <w:b w:val="0"/>
                <w:i w:val="0"/>
                <w:sz w:val="17"/>
              </w:rPr>
              <w:t>33.3 % advise</w:t>
            </w:r>
          </w:p>
        </w:tc>
        <w:tc>
          <w:tcPr>
            <w:tcW w:type="dxa" w:w="1440"/>
          </w:tcPr>
          <w:p>
            <w:pPr>
              <w:spacing w:after="40"/>
              <w:jc w:val="center"/>
            </w:pPr>
            <w:r/>
            <w:r>
              <w:rPr>
                <w:rFonts w:ascii="Times New Roman" w:hAnsi="Times New Roman" w:cs="Times New Roman"/>
                <w:b w:val="0"/>
                <w:i w:val="0"/>
                <w:sz w:val="17"/>
              </w:rPr>
              <w:t>24.3 % advise</w:t>
            </w:r>
          </w:p>
        </w:tc>
        <w:tc>
          <w:tcPr>
            <w:tcW w:type="dxa" w:w="1512"/>
          </w:tcPr>
          <w:p>
            <w:pPr>
              <w:spacing w:after="40"/>
              <w:jc w:val="center"/>
            </w:pPr>
            <w:r/>
            <w:r>
              <w:rPr>
                <w:rFonts w:ascii="Times New Roman" w:hAnsi="Times New Roman" w:cs="Times New Roman"/>
                <w:b w:val="0"/>
                <w:i w:val="0"/>
                <w:sz w:val="17"/>
              </w:rPr>
              <w:t>15.96 advise</w:t>
            </w:r>
          </w:p>
        </w:tc>
        <w:tc>
          <w:tcPr>
            <w:tcW w:type="dxa" w:w="1080"/>
          </w:tcPr>
          <w:p>
            <w:pPr>
              <w:spacing w:after="40"/>
              <w:jc w:val="center"/>
            </w:pPr>
            <w:r/>
            <w:r>
              <w:rPr>
                <w:rFonts w:ascii="Times New Roman" w:hAnsi="Times New Roman" w:cs="Times New Roman"/>
                <w:b w:val="0"/>
                <w:i w:val="0"/>
                <w:sz w:val="17"/>
              </w:rPr>
              <w:t>53</w:t>
            </w:r>
          </w:p>
        </w:tc>
      </w:tr>
      <w:tr>
        <w:tc>
          <w:tcPr>
            <w:tcW w:type="dxa" w:w="2160"/>
          </w:tcPr>
          <w:p>
            <w:pPr>
              <w:spacing w:after="40"/>
              <w:jc w:val="left"/>
            </w:pPr>
            <w:r/>
            <w:r>
              <w:rPr>
                <w:rFonts w:ascii="Times New Roman" w:hAnsi="Times New Roman" w:cs="Times New Roman"/>
                <w:b w:val="0"/>
                <w:i w:val="0"/>
                <w:sz w:val="17"/>
              </w:rPr>
              <w:t>Escalation comparator (840)</w:t>
            </w:r>
          </w:p>
        </w:tc>
        <w:tc>
          <w:tcPr>
            <w:tcW w:type="dxa" w:w="2232"/>
          </w:tcPr>
          <w:p>
            <w:pPr>
              <w:spacing w:after="40"/>
              <w:jc w:val="left"/>
            </w:pPr>
            <w:r/>
            <w:r>
              <w:rPr>
                <w:rFonts w:ascii="Times New Roman" w:hAnsi="Times New Roman" w:cs="Times New Roman"/>
                <w:b w:val="0"/>
                <w:i w:val="0"/>
                <w:sz w:val="17"/>
              </w:rPr>
              <w:t>disabled</w:t>
            </w:r>
          </w:p>
        </w:tc>
        <w:tc>
          <w:tcPr>
            <w:tcW w:type="dxa" w:w="1512"/>
          </w:tcPr>
          <w:p>
            <w:pPr>
              <w:spacing w:after="40"/>
              <w:jc w:val="center"/>
            </w:pPr>
            <w:r/>
            <w:r>
              <w:rPr>
                <w:rFonts w:ascii="Times New Roman" w:hAnsi="Times New Roman" w:cs="Times New Roman"/>
                <w:b w:val="0"/>
                <w:i w:val="0"/>
                <w:sz w:val="17"/>
              </w:rPr>
              <w:t>—</w:t>
            </w:r>
          </w:p>
        </w:tc>
        <w:tc>
          <w:tcPr>
            <w:tcW w:type="dxa" w:w="1440"/>
          </w:tcPr>
          <w:p>
            <w:pPr>
              <w:spacing w:after="40"/>
              <w:jc w:val="center"/>
            </w:pPr>
            <w:r/>
            <w:r>
              <w:rPr>
                <w:rFonts w:ascii="Times New Roman" w:hAnsi="Times New Roman" w:cs="Times New Roman"/>
                <w:b w:val="0"/>
                <w:i w:val="0"/>
                <w:sz w:val="17"/>
              </w:rPr>
              <w:t>—</w:t>
            </w:r>
          </w:p>
        </w:tc>
        <w:tc>
          <w:tcPr>
            <w:tcW w:type="dxa" w:w="1512"/>
          </w:tcPr>
          <w:p>
            <w:pPr>
              <w:spacing w:after="40"/>
              <w:jc w:val="center"/>
            </w:pPr>
            <w:r/>
            <w:r>
              <w:rPr>
                <w:rFonts w:ascii="Times New Roman" w:hAnsi="Times New Roman" w:cs="Times New Roman"/>
                <w:b w:val="0"/>
                <w:i w:val="0"/>
                <w:sz w:val="17"/>
              </w:rPr>
              <w:t>—</w:t>
            </w:r>
          </w:p>
        </w:tc>
        <w:tc>
          <w:tcPr>
            <w:tcW w:type="dxa" w:w="1080"/>
          </w:tcPr>
          <w:p>
            <w:pPr>
              <w:spacing w:after="40"/>
              <w:jc w:val="center"/>
            </w:pPr>
            <w:r/>
            <w:r>
              <w:rPr>
                <w:rFonts w:ascii="Times New Roman" w:hAnsi="Times New Roman" w:cs="Times New Roman"/>
                <w:b w:val="0"/>
                <w:i w:val="0"/>
                <w:sz w:val="17"/>
              </w:rPr>
              <w:t>80</w:t>
            </w:r>
          </w:p>
        </w:tc>
      </w:tr>
      <w:tr>
        <w:tc>
          <w:tcPr>
            <w:tcW w:type="dxa" w:w="2160"/>
          </w:tcPr>
          <w:p>
            <w:pPr>
              <w:keepNext/>
              <w:spacing w:after="40"/>
              <w:jc w:val="left"/>
            </w:pPr>
            <w:r/>
            <w:r>
              <w:rPr>
                <w:rFonts w:ascii="Times New Roman" w:hAnsi="Times New Roman" w:cs="Times New Roman"/>
                <w:b w:val="0"/>
                <w:i w:val="0"/>
                <w:sz w:val="17"/>
              </w:rPr>
            </w:r>
          </w:p>
        </w:tc>
        <w:tc>
          <w:tcPr>
            <w:tcW w:type="dxa" w:w="2232"/>
          </w:tcPr>
          <w:p>
            <w:pPr>
              <w:keepNext/>
              <w:spacing w:after="40"/>
              <w:jc w:val="left"/>
            </w:pPr>
            <w:r/>
            <w:r>
              <w:rPr>
                <w:rFonts w:ascii="Times New Roman" w:hAnsi="Times New Roman" w:cs="Times New Roman"/>
                <w:b w:val="0"/>
                <w:i w:val="0"/>
                <w:sz w:val="17"/>
              </w:rPr>
              <w:t>enabled</w:t>
            </w:r>
          </w:p>
        </w:tc>
        <w:tc>
          <w:tcPr>
            <w:tcW w:type="dxa" w:w="1512"/>
          </w:tcPr>
          <w:p>
            <w:pPr>
              <w:keepNext/>
              <w:spacing w:after="40"/>
              <w:jc w:val="center"/>
            </w:pPr>
            <w:r/>
            <w:r>
              <w:rPr>
                <w:rFonts w:ascii="Times New Roman" w:hAnsi="Times New Roman" w:cs="Times New Roman"/>
                <w:b w:val="0"/>
                <w:i w:val="0"/>
                <w:sz w:val="17"/>
              </w:rPr>
              <w:t>—</w:t>
            </w:r>
          </w:p>
        </w:tc>
        <w:tc>
          <w:tcPr>
            <w:tcW w:type="dxa" w:w="1440"/>
          </w:tcPr>
          <w:p>
            <w:pPr>
              <w:keepNext/>
              <w:spacing w:after="40"/>
              <w:jc w:val="center"/>
            </w:pPr>
            <w:r/>
            <w:r>
              <w:rPr>
                <w:rFonts w:ascii="Times New Roman" w:hAnsi="Times New Roman" w:cs="Times New Roman"/>
                <w:b w:val="0"/>
                <w:i w:val="0"/>
                <w:sz w:val="17"/>
              </w:rPr>
              <w:t>—</w:t>
            </w:r>
          </w:p>
        </w:tc>
        <w:tc>
          <w:tcPr>
            <w:tcW w:type="dxa" w:w="1512"/>
          </w:tcPr>
          <w:p>
            <w:pPr>
              <w:keepNext/>
              <w:spacing w:after="40"/>
              <w:jc w:val="center"/>
            </w:pPr>
            <w:r/>
            <w:r>
              <w:rPr>
                <w:rFonts w:ascii="Times New Roman" w:hAnsi="Times New Roman" w:cs="Times New Roman"/>
                <w:b w:val="0"/>
                <w:i w:val="0"/>
                <w:sz w:val="17"/>
              </w:rPr>
              <w:t>—</w:t>
            </w:r>
          </w:p>
        </w:tc>
        <w:tc>
          <w:tcPr>
            <w:tcW w:type="dxa" w:w="1080"/>
          </w:tcPr>
          <w:p>
            <w:pPr>
              <w:keepNext/>
              <w:spacing w:after="40"/>
              <w:jc w:val="center"/>
            </w:pPr>
            <w:r/>
            <w:r>
              <w:rPr>
                <w:rFonts w:ascii="Times New Roman" w:hAnsi="Times New Roman" w:cs="Times New Roman"/>
                <w:b w:val="0"/>
                <w:i w:val="0"/>
                <w:sz w:val="17"/>
              </w:rPr>
              <w:t>83</w:t>
            </w:r>
          </w:p>
        </w:tc>
      </w:tr>
    </w:tbl>
    <w:p>
      <w:pPr>
        <w:spacing w:before="60" w:after="240"/>
        <w:jc w:val="center"/>
      </w:pPr>
      <w:r>
        <w:rPr>
          <w:rFonts w:ascii="Times New Roman" w:hAnsi="Times New Roman" w:cs="Times New Roman"/>
          <w:b/>
          <w:i w:val="0"/>
          <w:sz w:val="21"/>
        </w:rPr>
        <w:t>Table 6: Enforcement Ablations on 3,213 Replayed Control Cycles</w:t>
      </w:r>
    </w:p>
    <w:p>
      <w:pPr>
        <w:spacing w:after="140" w:line="274" w:lineRule="auto"/>
        <w:jc w:val="both"/>
      </w:pPr>
      <w:r>
        <w:rPr>
          <w:rFonts w:ascii="Times New Roman" w:hAnsi="Times New Roman" w:cs="Times New Roman"/>
          <w:b w:val="0"/>
          <w:i/>
          <w:sz w:val="19"/>
        </w:rPr>
        <w:t>The first and fourth data rows carry identical figures because they describe the same baseline configuration under two different ablations. With the interlock disarmed, the gate severity becomes reachable on exactly the evidence that reaches the advise severity, so the gate rates and the advise rates coincide; arming the interlock is what separates them. The repetition is a property of the ablation, not a transcription error.</w:t>
      </w:r>
    </w:p>
    <w:p>
      <w:pPr>
        <w:spacing w:after="140" w:line="274" w:lineRule="auto"/>
        <w:jc w:val="both"/>
      </w:pPr>
      <w:r>
        <w:rPr>
          <w:rFonts w:ascii="Times New Roman" w:hAnsi="Times New Roman" w:cs="Times New Roman"/>
          <w:b w:val="0"/>
          <w:i w:val="0"/>
          <w:sz w:val="22"/>
        </w:rPr>
        <w:t>What this subsection measures, and what it does not, must be stated first. The two quantities the interlock was armed with are both derived from the eye-tracking corpus, and therefore from a single instrument: one is the ocular score, the other the head-pose score of Section 8.3. Section 7 and the claims require the two modalities of an interlock to be transducers responsive to different physical quantities, and two scores from one camera do not satisfy that requirement. The ablation below is accordingly a measurement of the interlock as a decision rule operating on two decorrelated scores, and it is not a measurement of the two-transducer interlock the claims recite. The claimed configuration cannot be measured on any corpus that exists; it is measurement H2 together with H8 of Section 9.2, on the assembled node. Every figure below should be read subject to that limitation, and the reduction in false gating should not be quoted without it.</w:t>
      </w:r>
    </w:p>
    <w:p>
      <w:pPr>
        <w:spacing w:after="140" w:line="274" w:lineRule="auto"/>
        <w:jc w:val="both"/>
      </w:pPr>
      <w:r>
        <w:rPr>
          <w:rFonts w:ascii="Times New Roman" w:hAnsi="Times New Roman" w:cs="Times New Roman"/>
          <w:b w:val="0"/>
          <w:i w:val="0"/>
          <w:sz w:val="22"/>
        </w:rPr>
        <w:t>Three conclusions follow, and one non-conclusion. Requiring two channels to agree rather than either alone cuts false hardware gating by 69.6 % and the unassisted gate rate by 63.6 %, at a cost of one quarter of true gates — a large effect for a rule that adds no sensor and no computation, though obtained under the limitation stated above. The persistence counter trades sensitivity for quiet along a smooth curve, cutting false advisories by 64.7 % between n = 1 and n = 4 while true advisories fall from 58.7 % to 33.3 %. The scheduler as a whole reduces 419 eligible cycles to 83 actuations, a reduction of 80.2 %; for scale, the global session interval by itself would have left room for 1,297 actuations over the same replayed time, so the reduction is achieved by the persistence counter and the cooldowns rather than by the room-level interval. The non-conclusion is the escalation comparator, which on this corpus produces 83 actuations against 80 with it disabled. Its effect is negligible here and is reported as such; it is retained in the claims as a dependent feature because it bounds behaviour under sustained evidence, not because this corpus demonstrates a benefit.</w:t>
      </w:r>
    </w:p>
    <w:p>
      <w:pPr>
        <w:spacing w:before="160" w:after="40"/>
        <w:jc w:val="center"/>
      </w:pPr>
      <w:r>
        <w:drawing>
          <wp:inline xmlns:a="http://schemas.openxmlformats.org/drawingml/2006/main" xmlns:pic="http://schemas.openxmlformats.org/drawingml/2006/picture">
            <wp:extent cx="6035040" cy="1967068"/>
            <wp:docPr id="9" name="Picture 9"/>
            <wp:cNvGraphicFramePr>
              <a:graphicFrameLocks noChangeAspect="1"/>
            </wp:cNvGraphicFramePr>
            <a:graphic>
              <a:graphicData uri="http://schemas.openxmlformats.org/drawingml/2006/picture">
                <pic:pic>
                  <pic:nvPicPr>
                    <pic:cNvPr id="0" name="fig08.png"/>
                    <pic:cNvPicPr/>
                  </pic:nvPicPr>
                  <pic:blipFill>
                    <a:blip r:embed="rId19"/>
                    <a:stretch>
                      <a:fillRect/>
                    </a:stretch>
                  </pic:blipFill>
                  <pic:spPr>
                    <a:xfrm>
                      <a:off x="0" y="0"/>
                      <a:ext cx="6035040" cy="1967068"/>
                    </a:xfrm>
                    <a:prstGeom prst="rect"/>
                  </pic:spPr>
                </pic:pic>
              </a:graphicData>
            </a:graphic>
          </wp:inline>
        </w:drawing>
      </w:r>
    </w:p>
    <w:p>
      <w:pPr>
        <w:spacing w:before="80" w:after="240"/>
        <w:jc w:val="center"/>
      </w:pPr>
      <w:r>
        <w:rPr>
          <w:rFonts w:ascii="Arial" w:hAnsi="Arial" w:cs="Arial"/>
          <w:b/>
          <w:i w:val="0"/>
          <w:sz w:val="19"/>
        </w:rPr>
        <w:t>Figure 8.</w:t>
      </w:r>
      <w:r>
        <w:rPr>
          <w:rFonts w:ascii="Arial" w:hAnsi="Arial" w:cs="Arial"/>
          <w:b w:val="0"/>
          <w:i w:val="0"/>
          <w:sz w:val="19"/>
        </w:rPr>
        <w:t xml:space="preserve"> Enforcement discipline measured by replay of the recorded corpus. (a) the effect of the dual-channel interlock on true and false gating; (b) the persistence counter trading sensitivity against alert burden; (c) the reduction from eligible cycles to permitted actuations.</w:t>
      </w:r>
    </w:p>
    <w:p>
      <w:pPr>
        <w:keepNext/>
        <w:spacing w:before="220" w:after="80"/>
        <w:outlineLvl w:val="1"/>
      </w:pPr>
      <w:r>
        <w:rPr>
          <w:rFonts w:ascii="Times New Roman" w:hAnsi="Times New Roman" w:cs="Times New Roman"/>
          <w:b/>
          <w:i w:val="0"/>
          <w:sz w:val="23"/>
        </w:rPr>
        <w:t>8.7 Control-path latency</w:t>
      </w:r>
    </w:p>
    <w:p>
      <w:pPr>
        <w:spacing w:after="140" w:line="274" w:lineRule="auto"/>
        <w:jc w:val="both"/>
      </w:pPr>
      <w:r>
        <w:rPr>
          <w:rFonts w:ascii="Times New Roman" w:hAnsi="Times New Roman" w:cs="Times New Roman"/>
          <w:b w:val="0"/>
          <w:i w:val="0"/>
          <w:sz w:val="22"/>
        </w:rPr>
        <w:t>The software half of the perception-to-actuation path was timed directly, using the recorded corpus as input, on a commodity host. Channel extraction over one 20 s observation window takes 1.340 ms at the median and 3.294 ms at the ninety-fifth percentile; computation of the corroboration value takes 0.247 ms and 0.430 ms; the scheduler decision takes 0.4 µs. The total software path is 1.588 ms at the median and 3.724 ms at the ninety-fifth percentile, which is 0.06 % of the 2,500 ms control-cycle budget.</w:t>
      </w:r>
    </w:p>
    <w:p>
      <w:pPr>
        <w:spacing w:after="140" w:line="274" w:lineRule="auto"/>
        <w:jc w:val="both"/>
      </w:pPr>
      <w:r>
        <w:rPr>
          <w:rFonts w:ascii="Times New Roman" w:hAnsi="Times New Roman" w:cs="Times New Roman"/>
          <w:b w:val="0"/>
          <w:i w:val="0"/>
          <w:sz w:val="22"/>
        </w:rPr>
        <w:t>The transducer and actuation half is bounded from datasheet figures and standard interface limits and is labelled derived throughout: display panel response 8.3 ms at 120 Hz, node reporting interval 20.0 ms, USB full-speed frame 1.0 ms, photodiode edge to controller 0.005 ms, and gate command to switch 0.001 ms, giving 29.3 ms. The projected sense-to-gate latency is therefore 30.9 ms against the 200 ms responsiveness bound, leaving 169 ms of margin. The five derived rows are precisely what the build of Section 9 replaces with measurements; the useful conclusion from the measured half is that the control law is not the constraint, and a slower and cheaper node controller remains viable.</w:t>
      </w:r>
    </w:p>
    <w:p>
      <w:pPr>
        <w:spacing w:before="160" w:after="40"/>
        <w:jc w:val="center"/>
      </w:pPr>
      <w:r>
        <w:drawing>
          <wp:inline xmlns:a="http://schemas.openxmlformats.org/drawingml/2006/main" xmlns:pic="http://schemas.openxmlformats.org/drawingml/2006/picture">
            <wp:extent cx="6035040" cy="2086360"/>
            <wp:docPr id="10" name="Picture 10"/>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6035040" cy="2086360"/>
                    </a:xfrm>
                    <a:prstGeom prst="rect"/>
                  </pic:spPr>
                </pic:pic>
              </a:graphicData>
            </a:graphic>
          </wp:inline>
        </w:drawing>
      </w:r>
    </w:p>
    <w:p>
      <w:pPr>
        <w:spacing w:before="80" w:after="240"/>
        <w:jc w:val="center"/>
      </w:pPr>
      <w:r>
        <w:rPr>
          <w:rFonts w:ascii="Arial" w:hAnsi="Arial" w:cs="Arial"/>
          <w:b/>
          <w:i w:val="0"/>
          <w:sz w:val="19"/>
        </w:rPr>
        <w:t>Figure 9.</w:t>
      </w:r>
      <w:r>
        <w:rPr>
          <w:rFonts w:ascii="Arial" w:hAnsi="Arial" w:cs="Arial"/>
          <w:b w:val="0"/>
          <w:i w:val="0"/>
          <w:sz w:val="19"/>
        </w:rPr>
        <w:t xml:space="preserve"> Sense-to-gate latency budget, separating the measured software path from the derived transducer and actuation path. The hatched segments are the bench measurements the contemplated build would supply.</w:t>
      </w:r>
    </w:p>
    <w:p>
      <w:pPr>
        <w:keepNext/>
        <w:spacing w:before="220" w:after="80"/>
        <w:outlineLvl w:val="1"/>
      </w:pPr>
      <w:r>
        <w:rPr>
          <w:rFonts w:ascii="Times New Roman" w:hAnsi="Times New Roman" w:cs="Times New Roman"/>
          <w:b/>
          <w:i w:val="0"/>
          <w:sz w:val="23"/>
        </w:rPr>
        <w:t>8.8 Operating envelope and what is not established</w:t>
      </w:r>
    </w:p>
    <w:p>
      <w:pPr>
        <w:spacing w:after="140" w:line="274" w:lineRule="auto"/>
        <w:jc w:val="both"/>
      </w:pPr>
      <w:r>
        <w:rPr>
          <w:rFonts w:ascii="Times New Roman" w:hAnsi="Times New Roman" w:cs="Times New Roman"/>
          <w:b w:val="0"/>
          <w:i w:val="0"/>
          <w:sz w:val="22"/>
        </w:rPr>
        <w:t>The ocular corroboration channel reaches AUC 0.70 to 0.78 across configurations on eleven candidates. That is materially below the 74.98 % to 85.72 % condition-specific accuracy reported for keystroke dynamics against machine-assisted writing, and no claim is made in this disclosure that the ocular channel exceeds it. The comparison is in any case not like for like: the published benchmark answers whether a passage was assisted, offline, from one modality, whereas the ocular channel here is one corroborating input to a live actuation decision that no single modality may carry. The two figures in this disclosure that stand comparison with published work are the input-dynamics discontinuity, at 9.60 % equal-error and 0.954 AUC falling to 5.07 % under persistence, and the enforcement discipline, which has no published counterpart because the prior art does not actuate.</w:t>
      </w:r>
    </w:p>
    <w:p>
      <w:pPr>
        <w:spacing w:after="140" w:line="274" w:lineRule="auto"/>
        <w:jc w:val="both"/>
      </w:pPr>
      <w:r>
        <w:rPr>
          <w:rFonts w:ascii="Times New Roman" w:hAnsi="Times New Roman" w:cs="Times New Roman"/>
          <w:b w:val="0"/>
          <w:i w:val="0"/>
          <w:sz w:val="22"/>
        </w:rPr>
        <w:t>The apparatus is accordingly specified to operate as a graduated intervention and evidence system rather than as an adjudicator. An indication to the candidate is a low-cost, reversible action appropriate to moderate evidence. Interruption of the input path is a high-cost action reserved for cycles that satisfy the causal interlock and carry corroboration from two independent modalities and have persisted across consecutive cycles and fall within the permitted actuation rate. It is not asserted, and no claim should be construed to assert, that any actuation of this apparatus constitutes proof of malpractice.</w:t>
      </w:r>
    </w:p>
    <w:p>
      <w:pPr>
        <w:spacing w:after="140" w:line="274" w:lineRule="auto"/>
        <w:jc w:val="both"/>
      </w:pPr>
      <w:r>
        <w:rPr>
          <w:rFonts w:ascii="Times New Roman" w:hAnsi="Times New Roman" w:cs="Times New Roman"/>
          <w:b w:val="0"/>
          <w:i w:val="0"/>
          <w:sz w:val="22"/>
        </w:rPr>
        <w:t>Four limitations bound Section 8 and are stated without qualification. The ocular evaluation rests on eleven candidates from a single corpus recorded for a different purpose, and its onset marker is a software log line rather than a photometric measurement. The keystroke evaluation uses a different person’s typing as the contrast, which is a proxy for transcription and not transcription. The inertial evaluation uses a body-worn sensor to bound a desk-mounted one. And two elements of the apparatus — the acoustic emission-attribution unit (420) and the in-line gating unit (920) — are described and specified but have not been physically built or measured. That is the largest honest gap in this disclosure, it is the reason the readiness assessment at Section 11 is what it is, and Section 9 is the plan that closes it.</w:t>
      </w:r>
    </w:p>
    <w:p>
      <w:pPr>
        <w:keepNext/>
        <w:spacing w:before="320" w:after="120"/>
        <w:outlineLvl w:val="0"/>
      </w:pPr>
      <w:r>
        <w:rPr>
          <w:rFonts w:ascii="Times New Roman" w:hAnsi="Times New Roman" w:cs="Times New Roman"/>
          <w:b/>
          <w:i w:val="0"/>
          <w:sz w:val="26"/>
        </w:rPr>
        <w:t>9. Contemplated Prototype and Planned Physical Validation</w:t>
      </w:r>
    </w:p>
    <w:p>
      <w:pPr>
        <w:spacing w:after="140" w:line="274" w:lineRule="auto"/>
        <w:jc w:val="both"/>
      </w:pPr>
      <w:r>
        <w:rPr>
          <w:rFonts w:ascii="Times New Roman" w:hAnsi="Times New Roman" w:cs="Times New Roman"/>
          <w:b w:val="0"/>
          <w:i w:val="0"/>
          <w:sz w:val="22"/>
        </w:rPr>
        <w:t>No physical prototype has been constructed as at the date of this disclosure, and no measurement on the contemplated transducers is reported anywhere in this document. This section is prospective. It is included to satisfy sufficiency by describing, in terms an ordinarily skilled person could follow, a specific hardware embodiment by which the invention may be reduced to practice, and to define in advance the experiment that would move the invention from its present readiness level to the next. Nothing in this section is a report of results obtained.</w:t>
      </w:r>
    </w:p>
    <w:p>
      <w:pPr>
        <w:spacing w:after="140" w:line="274" w:lineRule="auto"/>
        <w:jc w:val="both"/>
      </w:pPr>
      <w:r>
        <w:rPr>
          <w:rFonts w:ascii="Times New Roman" w:hAnsi="Times New Roman" w:cs="Times New Roman"/>
          <w:b w:val="0"/>
          <w:i w:val="0"/>
          <w:sz w:val="22"/>
        </w:rPr>
        <w:t>Two components of the embodiment do exist in a form that shortens the build and they are described here for completeness, with their status stated exactly. Node firmware has been written for the contemplated controller, implementing the adaptive-baseline onset detector, the coincidence accumulators, the inertial combination, the host protocol, the fail-safe gate polarity and the gate watchdog. A host-side control-law implementation has been written with two interchangeable back ends behind one interface: a replay back end that consumes recorded data and a serial back end that will consume live frames from the node. The replay back end reproduces the scheduler figures of Section 8.6 exactly, which verifies that the controller and the offline analysis implement the same control law. Neither fact is a physical measurement, and neither is offered as one; what they establish is that the software half of the system is written and self-consistent, and that connecting the transducers is a substitution of one back end for another rather than a rewrite.</w:t>
      </w:r>
    </w:p>
    <w:p>
      <w:pPr>
        <w:keepNext/>
        <w:spacing w:before="220" w:after="80"/>
        <w:outlineLvl w:val="1"/>
      </w:pPr>
      <w:r>
        <w:rPr>
          <w:rFonts w:ascii="Times New Roman" w:hAnsi="Times New Roman" w:cs="Times New Roman"/>
          <w:b/>
          <w:i w:val="0"/>
          <w:sz w:val="23"/>
        </w:rPr>
        <w:t>9.1 Contemplated station hardware</w:t>
      </w:r>
    </w:p>
    <w:p>
      <w:pPr>
        <w:spacing w:after="140" w:line="274" w:lineRule="auto"/>
        <w:jc w:val="both"/>
      </w:pPr>
      <w:r>
        <w:rPr>
          <w:rFonts w:ascii="Times New Roman" w:hAnsi="Times New Roman" w:cs="Times New Roman"/>
          <w:b w:val="0"/>
          <w:i w:val="0"/>
          <w:sz w:val="22"/>
        </w:rPr>
        <w:t>Representative components are set out below. They are recited as one enabling embodiment and are not limitations on the claims, which are drafted to be indifferent to the particular part. The parts are ordinary and readily obtained, which is deliberate: the object of the build is to place the claimed transducers physically into the decision loop, and a part chosen for the properties recited in the rationale column below is sufficient for that purpose.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20"/>
          </w:tcPr>
          <w:p>
            <w:pPr>
              <w:keepNext/>
              <w:spacing w:after="40"/>
              <w:jc w:val="center"/>
            </w:pPr>
            <w:r/>
            <w:r>
              <w:rPr>
                <w:rFonts w:ascii="Times New Roman" w:hAnsi="Times New Roman" w:cs="Times New Roman"/>
                <w:b/>
                <w:i w:val="0"/>
                <w:sz w:val="17"/>
              </w:rPr>
              <w:t>Ref</w:t>
            </w:r>
          </w:p>
        </w:tc>
        <w:tc>
          <w:tcPr>
            <w:tcW w:type="dxa" w:w="2520"/>
          </w:tcPr>
          <w:p>
            <w:pPr>
              <w:keepNext/>
              <w:spacing w:after="40"/>
              <w:jc w:val="center"/>
            </w:pPr>
            <w:r/>
            <w:r>
              <w:rPr>
                <w:rFonts w:ascii="Times New Roman" w:hAnsi="Times New Roman" w:cs="Times New Roman"/>
                <w:b/>
                <w:i w:val="0"/>
                <w:sz w:val="17"/>
              </w:rPr>
              <w:t>Representative component</w:t>
            </w:r>
          </w:p>
        </w:tc>
        <w:tc>
          <w:tcPr>
            <w:tcW w:type="dxa" w:w="2160"/>
          </w:tcPr>
          <w:p>
            <w:pPr>
              <w:keepNext/>
              <w:spacing w:after="40"/>
              <w:jc w:val="center"/>
            </w:pPr>
            <w:r/>
            <w:r>
              <w:rPr>
                <w:rFonts w:ascii="Times New Roman" w:hAnsi="Times New Roman" w:cs="Times New Roman"/>
                <w:b/>
                <w:i w:val="0"/>
                <w:sz w:val="17"/>
              </w:rPr>
              <w:t>Function</w:t>
            </w:r>
          </w:p>
        </w:tc>
        <w:tc>
          <w:tcPr>
            <w:tcW w:type="dxa" w:w="3672"/>
          </w:tcPr>
          <w:p>
            <w:pPr>
              <w:keepNext/>
              <w:spacing w:after="40"/>
              <w:jc w:val="center"/>
            </w:pPr>
            <w:r/>
            <w:r>
              <w:rPr>
                <w:rFonts w:ascii="Times New Roman" w:hAnsi="Times New Roman" w:cs="Times New Roman"/>
                <w:b/>
                <w:i w:val="0"/>
                <w:sz w:val="17"/>
              </w:rPr>
              <w:t>Rationale</w:t>
            </w:r>
          </w:p>
        </w:tc>
      </w:tr>
      <w:tr>
        <w:tc>
          <w:tcPr>
            <w:tcW w:type="dxa" w:w="720"/>
          </w:tcPr>
          <w:p>
            <w:pPr>
              <w:spacing w:after="40"/>
              <w:jc w:val="center"/>
            </w:pPr>
            <w:r/>
            <w:r>
              <w:rPr>
                <w:rFonts w:ascii="Times New Roman" w:hAnsi="Times New Roman" w:cs="Times New Roman"/>
                <w:b w:val="0"/>
                <w:i w:val="0"/>
                <w:sz w:val="17"/>
              </w:rPr>
              <w:t>210</w:t>
            </w:r>
          </w:p>
        </w:tc>
        <w:tc>
          <w:tcPr>
            <w:tcW w:type="dxa" w:w="2520"/>
          </w:tcPr>
          <w:p>
            <w:pPr>
              <w:spacing w:after="40"/>
              <w:jc w:val="left"/>
            </w:pPr>
            <w:r/>
            <w:r>
              <w:rPr>
                <w:rFonts w:ascii="Times New Roman" w:hAnsi="Times New Roman" w:cs="Times New Roman"/>
                <w:b w:val="0"/>
                <w:i w:val="0"/>
                <w:sz w:val="17"/>
              </w:rPr>
              <w:t>PIN photodiode with a transimpedance stage (BPW34 with OPA333 or LM358)</w:t>
            </w:r>
          </w:p>
        </w:tc>
        <w:tc>
          <w:tcPr>
            <w:tcW w:type="dxa" w:w="2160"/>
          </w:tcPr>
          <w:p>
            <w:pPr>
              <w:spacing w:after="40"/>
              <w:jc w:val="left"/>
            </w:pPr>
            <w:r/>
            <w:r>
              <w:rPr>
                <w:rFonts w:ascii="Times New Roman" w:hAnsi="Times New Roman" w:cs="Times New Roman"/>
                <w:b w:val="0"/>
                <w:i w:val="0"/>
                <w:sz w:val="17"/>
              </w:rPr>
              <w:t>Question-onset anchor T0 from a patch on the display panel</w:t>
            </w:r>
          </w:p>
        </w:tc>
        <w:tc>
          <w:tcPr>
            <w:tcW w:type="dxa" w:w="3672"/>
          </w:tcPr>
          <w:p>
            <w:pPr>
              <w:spacing w:after="40"/>
              <w:jc w:val="left"/>
            </w:pPr>
            <w:r/>
            <w:r>
              <w:rPr>
                <w:rFonts w:ascii="Times New Roman" w:hAnsi="Times New Roman" w:cs="Times New Roman"/>
                <w:b w:val="0"/>
                <w:i w:val="0"/>
                <w:sz w:val="17"/>
              </w:rPr>
              <w:t>Rise time under one microsecond, so the anchor is limited by panel response rather than by the sensor. Any photodiode of comparable rise time substitutes.</w:t>
            </w:r>
          </w:p>
        </w:tc>
      </w:tr>
      <w:tr>
        <w:tc>
          <w:tcPr>
            <w:tcW w:type="dxa" w:w="720"/>
          </w:tcPr>
          <w:p>
            <w:pPr>
              <w:spacing w:after="40"/>
              <w:jc w:val="center"/>
            </w:pPr>
            <w:r/>
            <w:r>
              <w:rPr>
                <w:rFonts w:ascii="Times New Roman" w:hAnsi="Times New Roman" w:cs="Times New Roman"/>
                <w:b w:val="0"/>
                <w:i w:val="0"/>
                <w:sz w:val="17"/>
              </w:rPr>
              <w:t>400 / 401</w:t>
            </w:r>
          </w:p>
        </w:tc>
        <w:tc>
          <w:tcPr>
            <w:tcW w:type="dxa" w:w="2520"/>
          </w:tcPr>
          <w:p>
            <w:pPr>
              <w:spacing w:after="40"/>
              <w:jc w:val="left"/>
            </w:pPr>
            <w:r/>
            <w:r>
              <w:rPr>
                <w:rFonts w:ascii="Times New Roman" w:hAnsi="Times New Roman" w:cs="Times New Roman"/>
                <w:b w:val="0"/>
                <w:i w:val="0"/>
                <w:sz w:val="17"/>
              </w:rPr>
              <w:t>27 mm contact piezoelectric disc bonded to the desk underside, with a JFET or FET-input buffer at about 40 dB</w:t>
            </w:r>
          </w:p>
        </w:tc>
        <w:tc>
          <w:tcPr>
            <w:tcW w:type="dxa" w:w="2160"/>
          </w:tcPr>
          <w:p>
            <w:pPr>
              <w:spacing w:after="40"/>
              <w:jc w:val="left"/>
            </w:pPr>
            <w:r/>
            <w:r>
              <w:rPr>
                <w:rFonts w:ascii="Times New Roman" w:hAnsi="Times New Roman" w:cs="Times New Roman"/>
                <w:b w:val="0"/>
                <w:i w:val="0"/>
                <w:sz w:val="17"/>
              </w:rPr>
              <w:t>Structure-borne channel for emission attribution</w:t>
            </w:r>
          </w:p>
        </w:tc>
        <w:tc>
          <w:tcPr>
            <w:tcW w:type="dxa" w:w="3672"/>
          </w:tcPr>
          <w:p>
            <w:pPr>
              <w:spacing w:after="40"/>
              <w:jc w:val="left"/>
            </w:pPr>
            <w:r/>
            <w:r>
              <w:rPr>
                <w:rFonts w:ascii="Times New Roman" w:hAnsi="Times New Roman" w:cs="Times New Roman"/>
                <w:b w:val="0"/>
                <w:i w:val="0"/>
                <w:sz w:val="17"/>
              </w:rPr>
              <w:t>The piezo is a high-impedance source and needs buffering before any converter. Bonding location is on the underside so the element is not visible or accessible to the candidate.</w:t>
            </w:r>
          </w:p>
        </w:tc>
      </w:tr>
      <w:tr>
        <w:tc>
          <w:tcPr>
            <w:tcW w:type="dxa" w:w="720"/>
          </w:tcPr>
          <w:p>
            <w:pPr>
              <w:spacing w:after="40"/>
              <w:jc w:val="center"/>
            </w:pPr>
            <w:r/>
            <w:r>
              <w:rPr>
                <w:rFonts w:ascii="Times New Roman" w:hAnsi="Times New Roman" w:cs="Times New Roman"/>
                <w:b w:val="0"/>
                <w:i w:val="0"/>
                <w:sz w:val="17"/>
              </w:rPr>
              <w:t>402</w:t>
            </w:r>
          </w:p>
        </w:tc>
        <w:tc>
          <w:tcPr>
            <w:tcW w:type="dxa" w:w="2520"/>
          </w:tcPr>
          <w:p>
            <w:pPr>
              <w:spacing w:after="40"/>
              <w:jc w:val="left"/>
            </w:pPr>
            <w:r/>
            <w:r>
              <w:rPr>
                <w:rFonts w:ascii="Times New Roman" w:hAnsi="Times New Roman" w:cs="Times New Roman"/>
                <w:b w:val="0"/>
                <w:i w:val="0"/>
                <w:sz w:val="17"/>
              </w:rPr>
              <w:t>Electret microphone module with automatic gain disabled</w:t>
            </w:r>
          </w:p>
        </w:tc>
        <w:tc>
          <w:tcPr>
            <w:tcW w:type="dxa" w:w="2160"/>
          </w:tcPr>
          <w:p>
            <w:pPr>
              <w:spacing w:after="40"/>
              <w:jc w:val="left"/>
            </w:pPr>
            <w:r/>
            <w:r>
              <w:rPr>
                <w:rFonts w:ascii="Times New Roman" w:hAnsi="Times New Roman" w:cs="Times New Roman"/>
                <w:b w:val="0"/>
                <w:i w:val="0"/>
                <w:sz w:val="17"/>
              </w:rPr>
              <w:t>Airborne channel for emission attribution</w:t>
            </w:r>
          </w:p>
        </w:tc>
        <w:tc>
          <w:tcPr>
            <w:tcW w:type="dxa" w:w="3672"/>
          </w:tcPr>
          <w:p>
            <w:pPr>
              <w:spacing w:after="40"/>
              <w:jc w:val="left"/>
            </w:pPr>
            <w:r/>
            <w:r>
              <w:rPr>
                <w:rFonts w:ascii="Times New Roman" w:hAnsi="Times New Roman" w:cs="Times New Roman"/>
                <w:b w:val="0"/>
                <w:i w:val="0"/>
                <w:sz w:val="17"/>
              </w:rPr>
              <w:t>Attribution comes from coincidence between 400 and 402. Automatic gain must be disabled or the coincidence relation between the two channels is not preserved.</w:t>
            </w:r>
          </w:p>
        </w:tc>
      </w:tr>
      <w:tr>
        <w:tc>
          <w:tcPr>
            <w:tcW w:type="dxa" w:w="720"/>
          </w:tcPr>
          <w:p>
            <w:pPr>
              <w:spacing w:after="40"/>
              <w:jc w:val="center"/>
            </w:pPr>
            <w:r/>
            <w:r>
              <w:rPr>
                <w:rFonts w:ascii="Times New Roman" w:hAnsi="Times New Roman" w:cs="Times New Roman"/>
                <w:b w:val="0"/>
                <w:i w:val="0"/>
                <w:sz w:val="17"/>
              </w:rPr>
              <w:t>403</w:t>
            </w:r>
          </w:p>
        </w:tc>
        <w:tc>
          <w:tcPr>
            <w:tcW w:type="dxa" w:w="2520"/>
          </w:tcPr>
          <w:p>
            <w:pPr>
              <w:spacing w:after="40"/>
              <w:jc w:val="left"/>
            </w:pPr>
            <w:r/>
            <w:r>
              <w:rPr>
                <w:rFonts w:ascii="Times New Roman" w:hAnsi="Times New Roman" w:cs="Times New Roman"/>
                <w:b w:val="0"/>
                <w:i w:val="0"/>
                <w:sz w:val="17"/>
              </w:rPr>
              <w:t>Band-pass and envelope stage on each acoustic channel: 80 Hz to 1 kHz active band-pass, precision rectifier, low-pass at about 50 Hz</w:t>
            </w:r>
          </w:p>
        </w:tc>
        <w:tc>
          <w:tcPr>
            <w:tcW w:type="dxa" w:w="2160"/>
          </w:tcPr>
          <w:p>
            <w:pPr>
              <w:spacing w:after="40"/>
              <w:jc w:val="left"/>
            </w:pPr>
            <w:r/>
            <w:r>
              <w:rPr>
                <w:rFonts w:ascii="Times New Roman" w:hAnsi="Times New Roman" w:cs="Times New Roman"/>
                <w:b w:val="0"/>
                <w:i w:val="0"/>
                <w:sz w:val="17"/>
              </w:rPr>
              <w:t>Forms the envelope that is digitised, on both acoustic channels alike</w:t>
            </w:r>
          </w:p>
        </w:tc>
        <w:tc>
          <w:tcPr>
            <w:tcW w:type="dxa" w:w="3672"/>
          </w:tcPr>
          <w:p>
            <w:pPr>
              <w:spacing w:after="40"/>
              <w:jc w:val="left"/>
            </w:pPr>
            <w:r/>
            <w:r>
              <w:rPr>
                <w:rFonts w:ascii="Times New Roman" w:hAnsi="Times New Roman" w:cs="Times New Roman"/>
                <w:b w:val="0"/>
                <w:i w:val="0"/>
                <w:sz w:val="17"/>
              </w:rPr>
              <w:t>The converter never sees a speech waveform, so the node sampling rate is set by the envelope and not by speech bandwidth, and anti-aliasing is satisfied by the low-pass stage. Both channels must use identical stages or the envelope comparison between them is not meaningful.</w:t>
            </w:r>
          </w:p>
        </w:tc>
      </w:tr>
      <w:tr>
        <w:tc>
          <w:tcPr>
            <w:tcW w:type="dxa" w:w="720"/>
          </w:tcPr>
          <w:p>
            <w:pPr>
              <w:spacing w:after="40"/>
              <w:jc w:val="center"/>
            </w:pPr>
            <w:r/>
            <w:r>
              <w:rPr>
                <w:rFonts w:ascii="Times New Roman" w:hAnsi="Times New Roman" w:cs="Times New Roman"/>
                <w:b w:val="0"/>
                <w:i w:val="0"/>
                <w:sz w:val="17"/>
              </w:rPr>
              <w:t>410</w:t>
            </w:r>
          </w:p>
        </w:tc>
        <w:tc>
          <w:tcPr>
            <w:tcW w:type="dxa" w:w="2520"/>
          </w:tcPr>
          <w:p>
            <w:pPr>
              <w:spacing w:after="40"/>
              <w:jc w:val="left"/>
            </w:pPr>
            <w:r/>
            <w:r>
              <w:rPr>
                <w:rFonts w:ascii="Times New Roman" w:hAnsi="Times New Roman" w:cs="Times New Roman"/>
                <w:b w:val="0"/>
                <w:i w:val="0"/>
                <w:sz w:val="17"/>
              </w:rPr>
              <w:t>Six-axis inertial measurement unit on I²C, 100 Hz or above</w:t>
            </w:r>
          </w:p>
        </w:tc>
        <w:tc>
          <w:tcPr>
            <w:tcW w:type="dxa" w:w="2160"/>
          </w:tcPr>
          <w:p>
            <w:pPr>
              <w:spacing w:after="40"/>
              <w:jc w:val="left"/>
            </w:pPr>
            <w:r/>
            <w:r>
              <w:rPr>
                <w:rFonts w:ascii="Times New Roman" w:hAnsi="Times New Roman" w:cs="Times New Roman"/>
                <w:b w:val="0"/>
                <w:i w:val="0"/>
                <w:sz w:val="17"/>
              </w:rPr>
              <w:t>Desk motion for the reliability-transfer unit (430)</w:t>
            </w:r>
          </w:p>
        </w:tc>
        <w:tc>
          <w:tcPr>
            <w:tcW w:type="dxa" w:w="3672"/>
          </w:tcPr>
          <w:p>
            <w:pPr>
              <w:spacing w:after="40"/>
              <w:jc w:val="left"/>
            </w:pPr>
            <w:r/>
            <w:r>
              <w:rPr>
                <w:rFonts w:ascii="Times New Roman" w:hAnsi="Times New Roman" w:cs="Times New Roman"/>
                <w:b w:val="0"/>
                <w:i w:val="0"/>
                <w:sz w:val="17"/>
              </w:rPr>
              <w:t>Sampling rate must exceed the confirmation requirement of Section 8.5. Any six-axis part at 100 Hz or above substitutes.</w:t>
            </w:r>
          </w:p>
        </w:tc>
      </w:tr>
      <w:tr>
        <w:tc>
          <w:tcPr>
            <w:tcW w:type="dxa" w:w="720"/>
          </w:tcPr>
          <w:p>
            <w:pPr>
              <w:spacing w:after="40"/>
              <w:jc w:val="center"/>
            </w:pPr>
            <w:r/>
            <w:r>
              <w:rPr>
                <w:rFonts w:ascii="Times New Roman" w:hAnsi="Times New Roman" w:cs="Times New Roman"/>
                <w:b w:val="0"/>
                <w:i w:val="0"/>
                <w:sz w:val="17"/>
              </w:rPr>
              <w:t>920</w:t>
            </w:r>
          </w:p>
        </w:tc>
        <w:tc>
          <w:tcPr>
            <w:tcW w:type="dxa" w:w="2520"/>
          </w:tcPr>
          <w:p>
            <w:pPr>
              <w:spacing w:after="40"/>
              <w:jc w:val="left"/>
            </w:pPr>
            <w:r/>
            <w:r>
              <w:rPr>
                <w:rFonts w:ascii="Times New Roman" w:hAnsi="Times New Roman" w:cs="Times New Roman"/>
                <w:b w:val="0"/>
                <w:i w:val="0"/>
                <w:sz w:val="17"/>
              </w:rPr>
              <w:t>Analog USB switch or DPDT signal relay in the keyboard data pair</w:t>
            </w:r>
          </w:p>
        </w:tc>
        <w:tc>
          <w:tcPr>
            <w:tcW w:type="dxa" w:w="2160"/>
          </w:tcPr>
          <w:p>
            <w:pPr>
              <w:spacing w:after="40"/>
              <w:jc w:val="left"/>
            </w:pPr>
            <w:r/>
            <w:r>
              <w:rPr>
                <w:rFonts w:ascii="Times New Roman" w:hAnsi="Times New Roman" w:cs="Times New Roman"/>
                <w:b w:val="0"/>
                <w:i w:val="0"/>
                <w:sz w:val="17"/>
              </w:rPr>
              <w:t>In-line gating unit</w:t>
            </w:r>
          </w:p>
        </w:tc>
        <w:tc>
          <w:tcPr>
            <w:tcW w:type="dxa" w:w="3672"/>
          </w:tcPr>
          <w:p>
            <w:pPr>
              <w:spacing w:after="40"/>
              <w:jc w:val="left"/>
            </w:pPr>
            <w:r/>
            <w:r>
              <w:rPr>
                <w:rFonts w:ascii="Times New Roman" w:hAnsi="Times New Roman" w:cs="Times New Roman"/>
                <w:b w:val="0"/>
                <w:i w:val="0"/>
                <w:sz w:val="17"/>
              </w:rPr>
              <w:t>Rated for the signalling rate in use. The enable input must be held in the passing state by a pull-down so that the path is closed whenever the controller is unpowered.</w:t>
            </w:r>
          </w:p>
        </w:tc>
      </w:tr>
      <w:tr>
        <w:tc>
          <w:tcPr>
            <w:tcW w:type="dxa" w:w="720"/>
          </w:tcPr>
          <w:p>
            <w:pPr>
              <w:spacing w:after="40"/>
              <w:jc w:val="center"/>
            </w:pPr>
            <w:r/>
            <w:r>
              <w:rPr>
                <w:rFonts w:ascii="Times New Roman" w:hAnsi="Times New Roman" w:cs="Times New Roman"/>
                <w:b w:val="0"/>
                <w:i w:val="0"/>
                <w:sz w:val="17"/>
              </w:rPr>
              <w:t>910 / 930</w:t>
            </w:r>
          </w:p>
        </w:tc>
        <w:tc>
          <w:tcPr>
            <w:tcW w:type="dxa" w:w="2520"/>
          </w:tcPr>
          <w:p>
            <w:pPr>
              <w:spacing w:after="40"/>
              <w:jc w:val="left"/>
            </w:pPr>
            <w:r/>
            <w:r>
              <w:rPr>
                <w:rFonts w:ascii="Times New Roman" w:hAnsi="Times New Roman" w:cs="Times New Roman"/>
                <w:b w:val="0"/>
                <w:i w:val="0"/>
                <w:sz w:val="17"/>
              </w:rPr>
              <w:t>Common-cathode RGB indicator with series resistors</w:t>
            </w:r>
          </w:p>
        </w:tc>
        <w:tc>
          <w:tcPr>
            <w:tcW w:type="dxa" w:w="2160"/>
          </w:tcPr>
          <w:p>
            <w:pPr>
              <w:spacing w:after="40"/>
              <w:jc w:val="left"/>
            </w:pPr>
            <w:r/>
            <w:r>
              <w:rPr>
                <w:rFonts w:ascii="Times New Roman" w:hAnsi="Times New Roman" w:cs="Times New Roman"/>
                <w:b w:val="0"/>
                <w:i w:val="0"/>
                <w:sz w:val="17"/>
              </w:rPr>
              <w:t>Private indication to the candidate</w:t>
            </w:r>
          </w:p>
        </w:tc>
        <w:tc>
          <w:tcPr>
            <w:tcW w:type="dxa" w:w="3672"/>
          </w:tcPr>
          <w:p>
            <w:pPr>
              <w:spacing w:after="40"/>
              <w:jc w:val="left"/>
            </w:pPr>
            <w:r/>
            <w:r>
              <w:rPr>
                <w:rFonts w:ascii="Times New Roman" w:hAnsi="Times New Roman" w:cs="Times New Roman"/>
                <w:b w:val="0"/>
                <w:i w:val="0"/>
                <w:sz w:val="17"/>
              </w:rPr>
              <w:t>Visible to the seated candidate and not to neighbouring stations.</w:t>
            </w:r>
          </w:p>
        </w:tc>
      </w:tr>
      <w:tr>
        <w:tc>
          <w:tcPr>
            <w:tcW w:type="dxa" w:w="720"/>
          </w:tcPr>
          <w:p>
            <w:pPr>
              <w:spacing w:after="40"/>
              <w:jc w:val="center"/>
            </w:pPr>
            <w:r/>
            <w:r>
              <w:rPr>
                <w:rFonts w:ascii="Times New Roman" w:hAnsi="Times New Roman" w:cs="Times New Roman"/>
                <w:b w:val="0"/>
                <w:i w:val="0"/>
                <w:sz w:val="17"/>
              </w:rPr>
              <w:t>—</w:t>
            </w:r>
          </w:p>
        </w:tc>
        <w:tc>
          <w:tcPr>
            <w:tcW w:type="dxa" w:w="2520"/>
          </w:tcPr>
          <w:p>
            <w:pPr>
              <w:spacing w:after="40"/>
              <w:jc w:val="left"/>
            </w:pPr>
            <w:r/>
            <w:r>
              <w:rPr>
                <w:rFonts w:ascii="Times New Roman" w:hAnsi="Times New Roman" w:cs="Times New Roman"/>
                <w:b w:val="0"/>
                <w:i w:val="0"/>
                <w:sz w:val="17"/>
              </w:rPr>
              <w:t>Node controller with two or more analog inputs, I²C and a USB device interface</w:t>
            </w:r>
          </w:p>
        </w:tc>
        <w:tc>
          <w:tcPr>
            <w:tcW w:type="dxa" w:w="2160"/>
          </w:tcPr>
          <w:p>
            <w:pPr>
              <w:spacing w:after="40"/>
              <w:jc w:val="left"/>
            </w:pPr>
            <w:r/>
            <w:r>
              <w:rPr>
                <w:rFonts w:ascii="Times New Roman" w:hAnsi="Times New Roman" w:cs="Times New Roman"/>
                <w:b w:val="0"/>
                <w:i w:val="0"/>
                <w:sz w:val="17"/>
              </w:rPr>
              <w:t>Channel sampling, timestamping and gate drive</w:t>
            </w:r>
          </w:p>
        </w:tc>
        <w:tc>
          <w:tcPr>
            <w:tcW w:type="dxa" w:w="3672"/>
          </w:tcPr>
          <w:p>
            <w:pPr>
              <w:spacing w:after="40"/>
              <w:jc w:val="left"/>
            </w:pPr>
            <w:r/>
            <w:r>
              <w:rPr>
                <w:rFonts w:ascii="Times New Roman" w:hAnsi="Times New Roman" w:cs="Times New Roman"/>
                <w:b w:val="0"/>
                <w:i w:val="0"/>
                <w:sz w:val="17"/>
              </w:rPr>
              <w:t>A dual-core part is preferred so that sampling is not disturbed by host communication, but the measured control-path latency of Section 8.7 shows this is not a constraint.</w:t>
            </w:r>
          </w:p>
        </w:tc>
      </w:tr>
      <w:tr>
        <w:tc>
          <w:tcPr>
            <w:tcW w:type="dxa" w:w="720"/>
          </w:tcPr>
          <w:p>
            <w:pPr>
              <w:keepNext/>
              <w:spacing w:after="40"/>
              <w:jc w:val="center"/>
            </w:pPr>
            <w:r/>
            <w:r>
              <w:rPr>
                <w:rFonts w:ascii="Times New Roman" w:hAnsi="Times New Roman" w:cs="Times New Roman"/>
                <w:b w:val="0"/>
                <w:i w:val="0"/>
                <w:sz w:val="17"/>
              </w:rPr>
              <w:t>—</w:t>
            </w:r>
          </w:p>
        </w:tc>
        <w:tc>
          <w:tcPr>
            <w:tcW w:type="dxa" w:w="2520"/>
          </w:tcPr>
          <w:p>
            <w:pPr>
              <w:keepNext/>
              <w:spacing w:after="40"/>
              <w:jc w:val="left"/>
            </w:pPr>
            <w:r/>
            <w:r>
              <w:rPr>
                <w:rFonts w:ascii="Times New Roman" w:hAnsi="Times New Roman" w:cs="Times New Roman"/>
                <w:b w:val="0"/>
                <w:i w:val="0"/>
                <w:sz w:val="17"/>
              </w:rPr>
              <w:t>Perfboard, USB breakout pair, headers and wiring</w:t>
            </w:r>
          </w:p>
        </w:tc>
        <w:tc>
          <w:tcPr>
            <w:tcW w:type="dxa" w:w="2160"/>
          </w:tcPr>
          <w:p>
            <w:pPr>
              <w:keepNext/>
              <w:spacing w:after="40"/>
              <w:jc w:val="left"/>
            </w:pPr>
            <w:r/>
            <w:r>
              <w:rPr>
                <w:rFonts w:ascii="Times New Roman" w:hAnsi="Times New Roman" w:cs="Times New Roman"/>
                <w:b w:val="0"/>
                <w:i w:val="0"/>
                <w:sz w:val="17"/>
              </w:rPr>
              <w:t>Assembly</w:t>
            </w:r>
          </w:p>
        </w:tc>
        <w:tc>
          <w:tcPr>
            <w:tcW w:type="dxa" w:w="3672"/>
          </w:tcPr>
          <w:p>
            <w:pPr>
              <w:keepNext/>
              <w:spacing w:after="40"/>
              <w:jc w:val="left"/>
            </w:pPr>
            <w:r/>
            <w:r>
              <w:rPr>
                <w:rFonts w:ascii="Times New Roman" w:hAnsi="Times New Roman" w:cs="Times New Roman"/>
                <w:b w:val="0"/>
                <w:i w:val="0"/>
                <w:sz w:val="17"/>
              </w:rPr>
              <w:t>—</w:t>
            </w:r>
          </w:p>
        </w:tc>
      </w:tr>
    </w:tbl>
    <w:p>
      <w:pPr>
        <w:spacing w:before="60" w:after="240"/>
        <w:jc w:val="center"/>
      </w:pPr>
      <w:r>
        <w:rPr>
          <w:rFonts w:ascii="Times New Roman" w:hAnsi="Times New Roman" w:cs="Times New Roman"/>
          <w:b/>
          <w:i w:val="0"/>
          <w:sz w:val="21"/>
        </w:rPr>
        <w:t>Table 7: Contemplated Station Hardware</w:t>
      </w:r>
    </w:p>
    <w:p>
      <w:pPr>
        <w:spacing w:after="140" w:line="274" w:lineRule="auto"/>
        <w:jc w:val="both"/>
      </w:pPr>
      <w:r>
        <w:rPr>
          <w:rFonts w:ascii="Times New Roman" w:hAnsi="Times New Roman" w:cs="Times New Roman"/>
          <w:b/>
          <w:i w:val="0"/>
          <w:sz w:val="22"/>
        </w:rPr>
        <w:t xml:space="preserve">Non-optional design rules. </w:t>
      </w:r>
      <w:r>
        <w:rPr>
          <w:rFonts w:ascii="Times New Roman" w:hAnsi="Times New Roman" w:cs="Times New Roman"/>
          <w:b w:val="0"/>
          <w:i w:val="0"/>
          <w:sz w:val="22"/>
        </w:rPr>
        <w:t>Two properties of the build are design rules rather than implementation choices, and both are recited as claim limitations. The enable input of the gating unit is held in the passing state by a pull-down resistor, so the candidate’s keyboard works whenever the controller is unpowered, held in reset or hung; opening the input path is the active state and requires a live controller to assert it. And the firmware arms a watchdog before every gate assertion, releasing the gate if the decision layer stops refreshing it, so no unattended failure can hold a candidate’s keyboard open. Both properties are cheap to implement and directly demonstrable on the bench, and both exist because the consequence of a fault in this apparatus falls on a person sitting an examination.</w:t>
      </w:r>
    </w:p>
    <w:p>
      <w:pPr>
        <w:spacing w:after="140" w:line="274" w:lineRule="auto"/>
        <w:jc w:val="both"/>
      </w:pPr>
      <w:r>
        <w:rPr>
          <w:rFonts w:ascii="Times New Roman" w:hAnsi="Times New Roman" w:cs="Times New Roman"/>
          <w:b/>
          <w:i w:val="0"/>
          <w:sz w:val="22"/>
        </w:rPr>
        <w:t xml:space="preserve">The display patch. </w:t>
      </w:r>
      <w:r>
        <w:rPr>
          <w:rFonts w:ascii="Times New Roman" w:hAnsi="Times New Roman" w:cs="Times New Roman"/>
          <w:b w:val="0"/>
          <w:i w:val="0"/>
          <w:sz w:val="22"/>
        </w:rPr>
        <w:t>The examination application renders a small high-contrast patch in a corner of the display that inverts on every question transition, and the photodiode sits over it behind an opaque shroud. This is the standard technique for recovering true stimulus-onset timing in psychophysics and electroencephalography, and it is what converts T0 from a log line into a measured physical event. Anchor accuracy is then bounded by panel response rather than by software scheduling: about 8.3 ms at 120 Hz or 16.7 ms at 60 Hz, plus pixel transition time of typically 1 to 5 ms.</w:t>
      </w:r>
    </w:p>
    <w:p>
      <w:pPr>
        <w:keepNext/>
        <w:spacing w:before="220" w:after="80"/>
        <w:outlineLvl w:val="1"/>
      </w:pPr>
      <w:r>
        <w:rPr>
          <w:rFonts w:ascii="Times New Roman" w:hAnsi="Times New Roman" w:cs="Times New Roman"/>
          <w:b/>
          <w:i w:val="0"/>
          <w:sz w:val="23"/>
        </w:rPr>
        <w:t>9.2 Smallest configuration that exercises the claims, and the planned protocol</w:t>
      </w:r>
    </w:p>
    <w:p>
      <w:pPr>
        <w:spacing w:after="140" w:line="274" w:lineRule="auto"/>
        <w:jc w:val="both"/>
      </w:pPr>
      <w:r>
        <w:rPr>
          <w:rFonts w:ascii="Times New Roman" w:hAnsi="Times New Roman" w:cs="Times New Roman"/>
          <w:b w:val="0"/>
          <w:i w:val="0"/>
          <w:sz w:val="22"/>
        </w:rPr>
        <w:t>One instrumented station and one confederate position exercise every claimed mechanism except the room-level global interval, which requires a second station. Two stations and one host are therefore the smallest configuration that exercises the claim set. The configuration is deliberately small: it is sufficient to demonstrate mechanism and insufficient to estimate operational performance.</w:t>
      </w:r>
    </w:p>
    <w:p>
      <w:pPr>
        <w:spacing w:after="140" w:line="274" w:lineRule="auto"/>
        <w:jc w:val="both"/>
      </w:pPr>
      <w:r>
        <w:rPr>
          <w:rFonts w:ascii="Times New Roman" w:hAnsi="Times New Roman" w:cs="Times New Roman"/>
          <w:b w:val="0"/>
          <w:i w:val="0"/>
          <w:sz w:val="22"/>
        </w:rPr>
        <w:t>Enrolment data would first be recorded from consenting volunteers performing ordinary unassisted work at the instrumented station, that data alone forming the enrolled profiles and the calibration set. Assisted episodes would then be staged with independently logged ground-truth timestamps, comprising a whispered question to a confederate with the answer returned through an earpiece, at varied helper latencies inside and outside the contemplated band, and with a neighbouring confederate speaking at similar volume as the attribution control. Ground truth would be used for evaluation only and never for calibration. Any trial would be conducted with consenting volunteers and not during a live institutional examination. Each measurement in Table 8 replaces a derived quantity of Section 8.7 or an element of Section 7 that has not been measured.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504"/>
          </w:tcPr>
          <w:p>
            <w:pPr>
              <w:keepNext/>
              <w:spacing w:after="40"/>
              <w:jc w:val="center"/>
            </w:pPr>
            <w:r/>
            <w:r>
              <w:rPr>
                <w:rFonts w:ascii="Times New Roman" w:hAnsi="Times New Roman" w:cs="Times New Roman"/>
                <w:b/>
                <w:i w:val="0"/>
                <w:sz w:val="17"/>
              </w:rPr>
              <w:t>#</w:t>
            </w:r>
          </w:p>
        </w:tc>
        <w:tc>
          <w:tcPr>
            <w:tcW w:type="dxa" w:w="2952"/>
          </w:tcPr>
          <w:p>
            <w:pPr>
              <w:keepNext/>
              <w:spacing w:after="40"/>
              <w:jc w:val="center"/>
            </w:pPr>
            <w:r/>
            <w:r>
              <w:rPr>
                <w:rFonts w:ascii="Times New Roman" w:hAnsi="Times New Roman" w:cs="Times New Roman"/>
                <w:b/>
                <w:i w:val="0"/>
                <w:sz w:val="17"/>
              </w:rPr>
              <w:t>Bench measurement</w:t>
            </w:r>
          </w:p>
        </w:tc>
        <w:tc>
          <w:tcPr>
            <w:tcW w:type="dxa" w:w="3024"/>
          </w:tcPr>
          <w:p>
            <w:pPr>
              <w:keepNext/>
              <w:spacing w:after="40"/>
              <w:jc w:val="center"/>
            </w:pPr>
            <w:r/>
            <w:r>
              <w:rPr>
                <w:rFonts w:ascii="Times New Roman" w:hAnsi="Times New Roman" w:cs="Times New Roman"/>
                <w:b/>
                <w:i w:val="0"/>
                <w:sz w:val="17"/>
              </w:rPr>
              <w:t>Derived expectation to be replaced</w:t>
            </w:r>
          </w:p>
        </w:tc>
        <w:tc>
          <w:tcPr>
            <w:tcW w:type="dxa" w:w="2664"/>
          </w:tcPr>
          <w:p>
            <w:pPr>
              <w:keepNext/>
              <w:spacing w:after="40"/>
              <w:jc w:val="center"/>
            </w:pPr>
            <w:r/>
            <w:r>
              <w:rPr>
                <w:rFonts w:ascii="Times New Roman" w:hAnsi="Times New Roman" w:cs="Times New Roman"/>
                <w:b/>
                <w:i w:val="0"/>
                <w:sz w:val="17"/>
              </w:rPr>
              <w:t>Claim element it evidences</w:t>
            </w:r>
          </w:p>
        </w:tc>
      </w:tr>
      <w:tr>
        <w:tc>
          <w:tcPr>
            <w:tcW w:type="dxa" w:w="504"/>
          </w:tcPr>
          <w:p>
            <w:pPr>
              <w:spacing w:after="40"/>
              <w:jc w:val="center"/>
            </w:pPr>
            <w:r/>
            <w:r>
              <w:rPr>
                <w:rFonts w:ascii="Times New Roman" w:hAnsi="Times New Roman" w:cs="Times New Roman"/>
                <w:b w:val="0"/>
                <w:i w:val="0"/>
                <w:sz w:val="17"/>
              </w:rPr>
              <w:t>H1</w:t>
            </w:r>
          </w:p>
        </w:tc>
        <w:tc>
          <w:tcPr>
            <w:tcW w:type="dxa" w:w="2952"/>
          </w:tcPr>
          <w:p>
            <w:pPr>
              <w:spacing w:after="40"/>
              <w:jc w:val="left"/>
            </w:pPr>
            <w:r/>
            <w:r>
              <w:rPr>
                <w:rFonts w:ascii="Times New Roman" w:hAnsi="Times New Roman" w:cs="Times New Roman"/>
                <w:b w:val="0"/>
                <w:i w:val="0"/>
                <w:sz w:val="17"/>
              </w:rPr>
              <w:t>Photodiode edge against the software render callback, 500 transitions</w:t>
            </w:r>
          </w:p>
        </w:tc>
        <w:tc>
          <w:tcPr>
            <w:tcW w:type="dxa" w:w="3024"/>
          </w:tcPr>
          <w:p>
            <w:pPr>
              <w:spacing w:after="40"/>
              <w:jc w:val="left"/>
            </w:pPr>
            <w:r/>
            <w:r>
              <w:rPr>
                <w:rFonts w:ascii="Times New Roman" w:hAnsi="Times New Roman" w:cs="Times New Roman"/>
                <w:b w:val="0"/>
                <w:i w:val="0"/>
                <w:sz w:val="17"/>
              </w:rPr>
              <w:t>Offset stable within one refresh period; jitter under 2 ms</w:t>
            </w:r>
          </w:p>
        </w:tc>
        <w:tc>
          <w:tcPr>
            <w:tcW w:type="dxa" w:w="2664"/>
          </w:tcPr>
          <w:p>
            <w:pPr>
              <w:spacing w:after="40"/>
              <w:jc w:val="left"/>
            </w:pPr>
            <w:r/>
            <w:r>
              <w:rPr>
                <w:rFonts w:ascii="Times New Roman" w:hAnsi="Times New Roman" w:cs="Times New Roman"/>
                <w:b w:val="0"/>
                <w:i w:val="0"/>
                <w:sz w:val="17"/>
              </w:rPr>
              <w:t>Element (a): that T0 is a physical measurement independent of the examined machine</w:t>
            </w:r>
          </w:p>
        </w:tc>
      </w:tr>
      <w:tr>
        <w:tc>
          <w:tcPr>
            <w:tcW w:type="dxa" w:w="504"/>
          </w:tcPr>
          <w:p>
            <w:pPr>
              <w:spacing w:after="40"/>
              <w:jc w:val="center"/>
            </w:pPr>
            <w:r/>
            <w:r>
              <w:rPr>
                <w:rFonts w:ascii="Times New Roman" w:hAnsi="Times New Roman" w:cs="Times New Roman"/>
                <w:b w:val="0"/>
                <w:i w:val="0"/>
                <w:sz w:val="17"/>
              </w:rPr>
              <w:t>H2</w:t>
            </w:r>
          </w:p>
        </w:tc>
        <w:tc>
          <w:tcPr>
            <w:tcW w:type="dxa" w:w="2952"/>
          </w:tcPr>
          <w:p>
            <w:pPr>
              <w:spacing w:after="40"/>
              <w:jc w:val="left"/>
            </w:pPr>
            <w:r/>
            <w:r>
              <w:rPr>
                <w:rFonts w:ascii="Times New Roman" w:hAnsi="Times New Roman" w:cs="Times New Roman"/>
                <w:b w:val="0"/>
                <w:i w:val="0"/>
                <w:sz w:val="17"/>
              </w:rPr>
              <w:t>Coincidence of the contact and airborne channels for the candidate’s own whisper against a confederate whispering at 1 m</w:t>
            </w:r>
          </w:p>
        </w:tc>
        <w:tc>
          <w:tcPr>
            <w:tcW w:type="dxa" w:w="3024"/>
          </w:tcPr>
          <w:p>
            <w:pPr>
              <w:spacing w:after="40"/>
              <w:jc w:val="left"/>
            </w:pPr>
            <w:r/>
            <w:r>
              <w:rPr>
                <w:rFonts w:ascii="Times New Roman" w:hAnsi="Times New Roman" w:cs="Times New Roman"/>
                <w:b w:val="0"/>
                <w:i w:val="0"/>
                <w:sz w:val="17"/>
              </w:rPr>
              <w:t>Own-speech structure-borne level at least 10 dB above the neighbour’s</w:t>
            </w:r>
          </w:p>
        </w:tc>
        <w:tc>
          <w:tcPr>
            <w:tcW w:type="dxa" w:w="2664"/>
          </w:tcPr>
          <w:p>
            <w:pPr>
              <w:spacing w:after="40"/>
              <w:jc w:val="left"/>
            </w:pPr>
            <w:r/>
            <w:r>
              <w:rPr>
                <w:rFonts w:ascii="Times New Roman" w:hAnsi="Times New Roman" w:cs="Times New Roman"/>
                <w:b w:val="0"/>
                <w:i w:val="0"/>
                <w:sz w:val="17"/>
              </w:rPr>
              <w:t>Element (b): the attribution claim stands or falls here</w:t>
            </w:r>
          </w:p>
        </w:tc>
      </w:tr>
      <w:tr>
        <w:tc>
          <w:tcPr>
            <w:tcW w:type="dxa" w:w="504"/>
          </w:tcPr>
          <w:p>
            <w:pPr>
              <w:spacing w:after="40"/>
              <w:jc w:val="center"/>
            </w:pPr>
            <w:r/>
            <w:r>
              <w:rPr>
                <w:rFonts w:ascii="Times New Roman" w:hAnsi="Times New Roman" w:cs="Times New Roman"/>
                <w:b w:val="0"/>
                <w:i w:val="0"/>
                <w:sz w:val="17"/>
              </w:rPr>
              <w:t>H3</w:t>
            </w:r>
          </w:p>
        </w:tc>
        <w:tc>
          <w:tcPr>
            <w:tcW w:type="dxa" w:w="2952"/>
          </w:tcPr>
          <w:p>
            <w:pPr>
              <w:spacing w:after="40"/>
              <w:jc w:val="left"/>
            </w:pPr>
            <w:r/>
            <w:r>
              <w:rPr>
                <w:rFonts w:ascii="Times New Roman" w:hAnsi="Times New Roman" w:cs="Times New Roman"/>
                <w:b w:val="0"/>
                <w:i w:val="0"/>
                <w:sz w:val="17"/>
              </w:rPr>
              <w:t>Contact-channel response to typing impulses</w:t>
            </w:r>
          </w:p>
        </w:tc>
        <w:tc>
          <w:tcPr>
            <w:tcW w:type="dxa" w:w="3024"/>
          </w:tcPr>
          <w:p>
            <w:pPr>
              <w:spacing w:after="40"/>
              <w:jc w:val="left"/>
            </w:pPr>
            <w:r/>
            <w:r>
              <w:rPr>
                <w:rFonts w:ascii="Times New Roman" w:hAnsi="Times New Roman" w:cs="Times New Roman"/>
                <w:b w:val="0"/>
                <w:i w:val="0"/>
                <w:sz w:val="17"/>
              </w:rPr>
              <w:t>A clear per-keystroke transient more than 20 dB above the desk noise floor</w:t>
            </w:r>
          </w:p>
        </w:tc>
        <w:tc>
          <w:tcPr>
            <w:tcW w:type="dxa" w:w="2664"/>
          </w:tcPr>
          <w:p>
            <w:pPr>
              <w:spacing w:after="40"/>
              <w:jc w:val="left"/>
            </w:pPr>
            <w:r/>
            <w:r>
              <w:rPr>
                <w:rFonts w:ascii="Times New Roman" w:hAnsi="Times New Roman" w:cs="Times New Roman"/>
                <w:b w:val="0"/>
                <w:i w:val="0"/>
                <w:sz w:val="17"/>
              </w:rPr>
              <w:t>A second, independent commit-time anchor under Section 7.1(c)</w:t>
            </w:r>
          </w:p>
        </w:tc>
      </w:tr>
      <w:tr>
        <w:tc>
          <w:tcPr>
            <w:tcW w:type="dxa" w:w="504"/>
          </w:tcPr>
          <w:p>
            <w:pPr>
              <w:spacing w:after="40"/>
              <w:jc w:val="center"/>
            </w:pPr>
            <w:r/>
            <w:r>
              <w:rPr>
                <w:rFonts w:ascii="Times New Roman" w:hAnsi="Times New Roman" w:cs="Times New Roman"/>
                <w:b w:val="0"/>
                <w:i w:val="0"/>
                <w:sz w:val="17"/>
              </w:rPr>
              <w:t>H4</w:t>
            </w:r>
          </w:p>
        </w:tc>
        <w:tc>
          <w:tcPr>
            <w:tcW w:type="dxa" w:w="2952"/>
          </w:tcPr>
          <w:p>
            <w:pPr>
              <w:spacing w:after="40"/>
              <w:jc w:val="left"/>
            </w:pPr>
            <w:r/>
            <w:r>
              <w:rPr>
                <w:rFonts w:ascii="Times New Roman" w:hAnsi="Times New Roman" w:cs="Times New Roman"/>
                <w:b w:val="0"/>
                <w:i w:val="0"/>
                <w:sz w:val="17"/>
              </w:rPr>
              <w:t>Gate assertion to cessation of keyboard reports, 200 trials</w:t>
            </w:r>
          </w:p>
        </w:tc>
        <w:tc>
          <w:tcPr>
            <w:tcW w:type="dxa" w:w="3024"/>
          </w:tcPr>
          <w:p>
            <w:pPr>
              <w:spacing w:after="40"/>
              <w:jc w:val="left"/>
            </w:pPr>
            <w:r/>
            <w:r>
              <w:rPr>
                <w:rFonts w:ascii="Times New Roman" w:hAnsi="Times New Roman" w:cs="Times New Roman"/>
                <w:b w:val="0"/>
                <w:i w:val="0"/>
                <w:sz w:val="17"/>
              </w:rPr>
              <w:t>Under 2 ms, being one USB frame plus switch propagation</w:t>
            </w:r>
          </w:p>
        </w:tc>
        <w:tc>
          <w:tcPr>
            <w:tcW w:type="dxa" w:w="2664"/>
          </w:tcPr>
          <w:p>
            <w:pPr>
              <w:spacing w:after="40"/>
              <w:jc w:val="left"/>
            </w:pPr>
            <w:r/>
            <w:r>
              <w:rPr>
                <w:rFonts w:ascii="Times New Roman" w:hAnsi="Times New Roman" w:cs="Times New Roman"/>
                <w:b w:val="0"/>
                <w:i w:val="0"/>
                <w:sz w:val="17"/>
              </w:rPr>
              <w:t>The physical technical effect of the enforcement claim</w:t>
            </w:r>
          </w:p>
        </w:tc>
      </w:tr>
      <w:tr>
        <w:tc>
          <w:tcPr>
            <w:tcW w:type="dxa" w:w="504"/>
          </w:tcPr>
          <w:p>
            <w:pPr>
              <w:spacing w:after="40"/>
              <w:jc w:val="center"/>
            </w:pPr>
            <w:r/>
            <w:r>
              <w:rPr>
                <w:rFonts w:ascii="Times New Roman" w:hAnsi="Times New Roman" w:cs="Times New Roman"/>
                <w:b w:val="0"/>
                <w:i w:val="0"/>
                <w:sz w:val="17"/>
              </w:rPr>
              <w:t>H5</w:t>
            </w:r>
          </w:p>
        </w:tc>
        <w:tc>
          <w:tcPr>
            <w:tcW w:type="dxa" w:w="2952"/>
          </w:tcPr>
          <w:p>
            <w:pPr>
              <w:spacing w:after="40"/>
              <w:jc w:val="left"/>
            </w:pPr>
            <w:r/>
            <w:r>
              <w:rPr>
                <w:rFonts w:ascii="Times New Roman" w:hAnsi="Times New Roman" w:cs="Times New Roman"/>
                <w:b w:val="0"/>
                <w:i w:val="0"/>
                <w:sz w:val="17"/>
              </w:rPr>
              <w:t>Gate release to restoration of the input device</w:t>
            </w:r>
          </w:p>
        </w:tc>
        <w:tc>
          <w:tcPr>
            <w:tcW w:type="dxa" w:w="3024"/>
          </w:tcPr>
          <w:p>
            <w:pPr>
              <w:spacing w:after="40"/>
              <w:jc w:val="left"/>
            </w:pPr>
            <w:r/>
            <w:r>
              <w:rPr>
                <w:rFonts w:ascii="Times New Roman" w:hAnsi="Times New Roman" w:cs="Times New Roman"/>
                <w:b w:val="0"/>
                <w:i w:val="0"/>
                <w:sz w:val="17"/>
              </w:rPr>
              <w:t>Under 100 ms for re-enumeration</w:t>
            </w:r>
          </w:p>
        </w:tc>
        <w:tc>
          <w:tcPr>
            <w:tcW w:type="dxa" w:w="2664"/>
          </w:tcPr>
          <w:p>
            <w:pPr>
              <w:spacing w:after="40"/>
              <w:jc w:val="left"/>
            </w:pPr>
            <w:r/>
            <w:r>
              <w:rPr>
                <w:rFonts w:ascii="Times New Roman" w:hAnsi="Times New Roman" w:cs="Times New Roman"/>
                <w:b w:val="0"/>
                <w:i w:val="0"/>
                <w:sz w:val="17"/>
              </w:rPr>
              <w:t>Proportionality and reversibility of the intervention</w:t>
            </w:r>
          </w:p>
        </w:tc>
      </w:tr>
      <w:tr>
        <w:tc>
          <w:tcPr>
            <w:tcW w:type="dxa" w:w="504"/>
          </w:tcPr>
          <w:p>
            <w:pPr>
              <w:spacing w:after="40"/>
              <w:jc w:val="center"/>
            </w:pPr>
            <w:r/>
            <w:r>
              <w:rPr>
                <w:rFonts w:ascii="Times New Roman" w:hAnsi="Times New Roman" w:cs="Times New Roman"/>
                <w:b w:val="0"/>
                <w:i w:val="0"/>
                <w:sz w:val="17"/>
              </w:rPr>
              <w:t>H6</w:t>
            </w:r>
          </w:p>
        </w:tc>
        <w:tc>
          <w:tcPr>
            <w:tcW w:type="dxa" w:w="2952"/>
          </w:tcPr>
          <w:p>
            <w:pPr>
              <w:spacing w:after="40"/>
              <w:jc w:val="left"/>
            </w:pPr>
            <w:r/>
            <w:r>
              <w:rPr>
                <w:rFonts w:ascii="Times New Roman" w:hAnsi="Times New Roman" w:cs="Times New Roman"/>
                <w:b w:val="0"/>
                <w:i w:val="0"/>
                <w:sz w:val="17"/>
              </w:rPr>
              <w:t>Controller power removed during an asserted gate</w:t>
            </w:r>
          </w:p>
        </w:tc>
        <w:tc>
          <w:tcPr>
            <w:tcW w:type="dxa" w:w="3024"/>
          </w:tcPr>
          <w:p>
            <w:pPr>
              <w:spacing w:after="40"/>
              <w:jc w:val="left"/>
            </w:pPr>
            <w:r/>
            <w:r>
              <w:rPr>
                <w:rFonts w:ascii="Times New Roman" w:hAnsi="Times New Roman" w:cs="Times New Roman"/>
                <w:b w:val="0"/>
                <w:i w:val="0"/>
                <w:sz w:val="17"/>
              </w:rPr>
              <w:t>Path closes; keyboard restored</w:t>
            </w:r>
          </w:p>
        </w:tc>
        <w:tc>
          <w:tcPr>
            <w:tcW w:type="dxa" w:w="2664"/>
          </w:tcPr>
          <w:p>
            <w:pPr>
              <w:spacing w:after="40"/>
              <w:jc w:val="left"/>
            </w:pPr>
            <w:r/>
            <w:r>
              <w:rPr>
                <w:rFonts w:ascii="Times New Roman" w:hAnsi="Times New Roman" w:cs="Times New Roman"/>
                <w:b w:val="0"/>
                <w:i w:val="0"/>
                <w:sz w:val="17"/>
              </w:rPr>
              <w:t>The fail-safe limitation of Section 7 and of the claims</w:t>
            </w:r>
          </w:p>
        </w:tc>
      </w:tr>
      <w:tr>
        <w:tc>
          <w:tcPr>
            <w:tcW w:type="dxa" w:w="504"/>
          </w:tcPr>
          <w:p>
            <w:pPr>
              <w:spacing w:after="40"/>
              <w:jc w:val="center"/>
            </w:pPr>
            <w:r/>
            <w:r>
              <w:rPr>
                <w:rFonts w:ascii="Times New Roman" w:hAnsi="Times New Roman" w:cs="Times New Roman"/>
                <w:b w:val="0"/>
                <w:i w:val="0"/>
                <w:sz w:val="17"/>
              </w:rPr>
              <w:t>H7</w:t>
            </w:r>
          </w:p>
        </w:tc>
        <w:tc>
          <w:tcPr>
            <w:tcW w:type="dxa" w:w="2952"/>
          </w:tcPr>
          <w:p>
            <w:pPr>
              <w:spacing w:after="40"/>
              <w:jc w:val="left"/>
            </w:pPr>
            <w:r/>
            <w:r>
              <w:rPr>
                <w:rFonts w:ascii="Times New Roman" w:hAnsi="Times New Roman" w:cs="Times New Roman"/>
                <w:b w:val="0"/>
                <w:i w:val="0"/>
                <w:sz w:val="17"/>
              </w:rPr>
              <w:t>Host heartbeat stopped during an asserted gate</w:t>
            </w:r>
          </w:p>
        </w:tc>
        <w:tc>
          <w:tcPr>
            <w:tcW w:type="dxa" w:w="3024"/>
          </w:tcPr>
          <w:p>
            <w:pPr>
              <w:spacing w:after="40"/>
              <w:jc w:val="left"/>
            </w:pPr>
            <w:r/>
            <w:r>
              <w:rPr>
                <w:rFonts w:ascii="Times New Roman" w:hAnsi="Times New Roman" w:cs="Times New Roman"/>
                <w:b w:val="0"/>
                <w:i w:val="0"/>
                <w:sz w:val="17"/>
              </w:rPr>
              <w:t>Gate releases within the watchdog bound</w:t>
            </w:r>
          </w:p>
        </w:tc>
        <w:tc>
          <w:tcPr>
            <w:tcW w:type="dxa" w:w="2664"/>
          </w:tcPr>
          <w:p>
            <w:pPr>
              <w:spacing w:after="40"/>
              <w:jc w:val="left"/>
            </w:pPr>
            <w:r/>
            <w:r>
              <w:rPr>
                <w:rFonts w:ascii="Times New Roman" w:hAnsi="Times New Roman" w:cs="Times New Roman"/>
                <w:b w:val="0"/>
                <w:i w:val="0"/>
                <w:sz w:val="17"/>
              </w:rPr>
              <w:t>The watchdog limitation of Section 7 and of the claims</w:t>
            </w:r>
          </w:p>
        </w:tc>
      </w:tr>
      <w:tr>
        <w:tc>
          <w:tcPr>
            <w:tcW w:type="dxa" w:w="504"/>
          </w:tcPr>
          <w:p>
            <w:pPr>
              <w:keepNext/>
              <w:spacing w:after="40"/>
              <w:jc w:val="center"/>
            </w:pPr>
            <w:r/>
            <w:r>
              <w:rPr>
                <w:rFonts w:ascii="Times New Roman" w:hAnsi="Times New Roman" w:cs="Times New Roman"/>
                <w:b w:val="0"/>
                <w:i w:val="0"/>
                <w:sz w:val="17"/>
              </w:rPr>
              <w:t>H8</w:t>
            </w:r>
          </w:p>
        </w:tc>
        <w:tc>
          <w:tcPr>
            <w:tcW w:type="dxa" w:w="2952"/>
          </w:tcPr>
          <w:p>
            <w:pPr>
              <w:keepNext/>
              <w:spacing w:after="40"/>
              <w:jc w:val="left"/>
            </w:pPr>
            <w:r/>
            <w:r>
              <w:rPr>
                <w:rFonts w:ascii="Times New Roman" w:hAnsi="Times New Roman" w:cs="Times New Roman"/>
                <w:b w:val="0"/>
                <w:i w:val="0"/>
                <w:sz w:val="17"/>
              </w:rPr>
              <w:t>Desk inertial noise floor while seated</w:t>
            </w:r>
          </w:p>
        </w:tc>
        <w:tc>
          <w:tcPr>
            <w:tcW w:type="dxa" w:w="3024"/>
          </w:tcPr>
          <w:p>
            <w:pPr>
              <w:keepNext/>
              <w:spacing w:after="40"/>
              <w:jc w:val="left"/>
            </w:pPr>
            <w:r/>
            <w:r>
              <w:rPr>
                <w:rFonts w:ascii="Times New Roman" w:hAnsi="Times New Roman" w:cs="Times New Roman"/>
                <w:b w:val="0"/>
                <w:i w:val="0"/>
                <w:sz w:val="17"/>
              </w:rPr>
              <w:t>Comparable to the seated median of 0.178 m/s² and p99 of 1.832 m/s² measured in Section 8.5</w:t>
            </w:r>
          </w:p>
        </w:tc>
        <w:tc>
          <w:tcPr>
            <w:tcW w:type="dxa" w:w="2664"/>
          </w:tcPr>
          <w:p>
            <w:pPr>
              <w:keepNext/>
              <w:spacing w:after="40"/>
              <w:jc w:val="left"/>
            </w:pPr>
            <w:r/>
            <w:r>
              <w:rPr>
                <w:rFonts w:ascii="Times New Roman" w:hAnsi="Times New Roman" w:cs="Times New Roman"/>
                <w:b w:val="0"/>
                <w:i w:val="0"/>
                <w:sz w:val="17"/>
              </w:rPr>
              <w:t>That the desk sensor sees what the proxy corpus predicted</w:t>
            </w:r>
          </w:p>
        </w:tc>
      </w:tr>
    </w:tbl>
    <w:p>
      <w:pPr>
        <w:spacing w:before="60" w:after="240"/>
        <w:jc w:val="center"/>
      </w:pPr>
      <w:r>
        <w:rPr>
          <w:rFonts w:ascii="Times New Roman" w:hAnsi="Times New Roman" w:cs="Times New Roman"/>
          <w:b/>
          <w:i w:val="0"/>
          <w:sz w:val="21"/>
        </w:rPr>
        <w:t>Table 8: Planned Bench Measurements</w:t>
      </w:r>
    </w:p>
    <w:p>
      <w:pPr>
        <w:spacing w:after="140" w:line="274" w:lineRule="auto"/>
        <w:jc w:val="both"/>
      </w:pPr>
      <w:r>
        <w:rPr>
          <w:rFonts w:ascii="Times New Roman" w:hAnsi="Times New Roman" w:cs="Times New Roman"/>
          <w:b w:val="0"/>
          <w:i w:val="0"/>
          <w:sz w:val="22"/>
        </w:rPr>
        <w:t>H2 is the measurement to run first, and the reason is stated candidly: it is the riskiest element of the disclosure. If the candidate’s own whisper does not separate from a neighbour’s by a usable margin, the attribution unit must be re-framed around contact events — typing impulses, leaning, hand placement on the desk — rather than around vocalisation, and the claim set should be rewritten before filing rather than defended after an objection.</w:t>
      </w:r>
    </w:p>
    <w:p>
      <w:pPr>
        <w:keepNext/>
        <w:spacing w:before="220" w:after="80"/>
        <w:outlineLvl w:val="1"/>
      </w:pPr>
      <w:r>
        <w:rPr>
          <w:rFonts w:ascii="Times New Roman" w:hAnsi="Times New Roman" w:cs="Times New Roman"/>
          <w:b/>
          <w:i w:val="0"/>
          <w:sz w:val="23"/>
        </w:rPr>
        <w:t>9.3 Predictions the trial would test, and its limits</w:t>
      </w:r>
    </w:p>
    <w:p>
      <w:pPr>
        <w:spacing w:after="140" w:line="274" w:lineRule="auto"/>
        <w:jc w:val="both"/>
      </w:pPr>
      <w:r>
        <w:rPr>
          <w:rFonts w:ascii="Times New Roman" w:hAnsi="Times New Roman" w:cs="Times New Roman"/>
          <w:b w:val="0"/>
          <w:i w:val="0"/>
          <w:sz w:val="22"/>
        </w:rPr>
        <w:t>The trial is specified so that it can fail. Four predictions follow from the architecture and each is falsifiable. First, the interval between the photometric onset and the attributed emission, and between that emission and the commit, should separate staged assisted episodes from unassisted work, and no attributed emission relating to a displayed item should arrive within the consultation bound of one second set at Section 7; if the intervals do not separate on physically acquired data, or if genuine consultations are found inside that bound, the causal interlock is not supported outside the proxy corpora and the bound must be re-derived. Second, a confederate speaking at a neighbouring position should fail to produce an attributed emission at the instrumented station; if it does produce one, element (b) fails and with it the claims that depend on attribution. Third, commit dynamics during transcription of a dictated answer should depart from the enrolled profile in the same direction and of an order comparable to the separation reported in Section 8.4; if transcription by the enrolled person is indistinguishable from composition by that person, the discontinuity comparator is not supported and the corpus figure was a proxy artefact. Fourth, the gate should assert and release within the bounds of H4 to H7; if it does not, the enforcement claims require narrowing.</w:t>
      </w:r>
    </w:p>
    <w:p>
      <w:pPr>
        <w:spacing w:after="140" w:line="274" w:lineRule="auto"/>
        <w:jc w:val="both"/>
      </w:pPr>
      <w:r>
        <w:rPr>
          <w:rFonts w:ascii="Times New Roman" w:hAnsi="Times New Roman" w:cs="Times New Roman"/>
          <w:b w:val="0"/>
          <w:i w:val="0"/>
          <w:sz w:val="22"/>
        </w:rPr>
        <w:t>Even if every prediction were confirmed, such a trial would establish only that the mechanisms operate on physically acquired data at one instrumented station. Three limitations would bound it. The environment would be a controlled room rather than a populated examination hall, lacking crowd acoustics, invigilator movement and the structural coupling of a hall full of occupied desks. The number of participants would be small, and the ocular and input-dynamics figures would carry wide intervals. And assisted episodes would be staged by informed volunteers rather than performed adversarially by candidates with an incentive to evade detection; in particular, no staged trial measures what happens when a candidate learns that whispering is what triggers the gate. Performance in an operational hall should be expected to fall below both the figures of Section 8 and any figures such a trial produced, and this disclosure does not assert otherwise.</w:t>
      </w:r>
    </w:p>
    <w:p>
      <w:pPr>
        <w:keepNext/>
        <w:spacing w:before="320" w:after="120"/>
        <w:outlineLvl w:val="0"/>
      </w:pPr>
      <w:r>
        <w:rPr>
          <w:rFonts w:ascii="Times New Roman" w:hAnsi="Times New Roman" w:cs="Times New Roman"/>
          <w:b/>
          <w:i w:val="0"/>
          <w:sz w:val="26"/>
        </w:rPr>
        <w:t>10. Aspects of the Invention Requiring Protection (Claims)</w:t>
      </w:r>
    </w:p>
    <w:p>
      <w:pPr>
        <w:spacing w:after="140" w:line="274" w:lineRule="auto"/>
        <w:jc w:val="both"/>
      </w:pPr>
      <w:r>
        <w:rPr>
          <w:rFonts w:ascii="Times New Roman" w:hAnsi="Times New Roman" w:cs="Times New Roman"/>
          <w:b w:val="0"/>
          <w:i w:val="0"/>
          <w:sz w:val="22"/>
        </w:rPr>
        <w:t>The following elements are considered novel and inventive and are proposed for protection. Claims 1, 13, 19 and 20 are independent. Every independent claim terminates in the interruption of a physical data path by a switching element; none may be satisfied by producing a report, an alert or a display. The set is drafted on three principles. First, the independent system claims are distinguished by runtime operations of the deployed apparatus — derivation of the onset instant from emitted light, attribution by coincidence between physically distinct transducers, evaluation of a bounded latency relation, and conditioning of a physical actuation on two independent modalities — all of which are inspectable properties of the running system rather than characteristics of a training process. Second, the safety limitations of the gating unit are drawn into the independent enforcement claim rather than left as optional refinements, because an actuation claim that does not recite them describes an apparatus the inventor would not deploy. Third, no claim is directed to a computer-readable medium, to a set of instructions, or to a data structure as such. The subject matter claimed is the apparatus and its operation: a sensor receiving light emitted by a panel, two acoustic transducers differing in the physical path by which sound reaches them, an inertial sensor, and a switching element in series with a data path. A medium claim would add nothing that Claims 19 and 20 do not already reach, and would invite the objection the remainder of the set is drafted to avoid.</w:t>
      </w:r>
    </w:p>
    <w:p>
      <w:pPr>
        <w:spacing w:before="160" w:after="40"/>
        <w:jc w:val="center"/>
      </w:pPr>
      <w:r>
        <w:drawing>
          <wp:inline xmlns:a="http://schemas.openxmlformats.org/drawingml/2006/main" xmlns:pic="http://schemas.openxmlformats.org/drawingml/2006/picture">
            <wp:extent cx="5852160" cy="1699473"/>
            <wp:docPr id="11" name="Picture 11"/>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852160" cy="1699473"/>
                    </a:xfrm>
                    <a:prstGeom prst="rect"/>
                  </pic:spPr>
                </pic:pic>
              </a:graphicData>
            </a:graphic>
          </wp:inline>
        </w:drawing>
      </w:r>
    </w:p>
    <w:p>
      <w:pPr>
        <w:spacing w:before="80" w:after="240"/>
        <w:jc w:val="center"/>
      </w:pPr>
      <w:r>
        <w:rPr>
          <w:rFonts w:ascii="Arial" w:hAnsi="Arial" w:cs="Arial"/>
          <w:b/>
          <w:i w:val="0"/>
          <w:sz w:val="19"/>
        </w:rPr>
        <w:t>Figure 10.</w:t>
      </w:r>
      <w:r>
        <w:rPr>
          <w:rFonts w:ascii="Arial" w:hAnsi="Arial" w:cs="Arial"/>
          <w:b w:val="0"/>
          <w:i w:val="0"/>
          <w:sz w:val="19"/>
        </w:rPr>
        <w:t xml:space="preserve"> Structure of the claim set. Four independent claims carry the apparatus, the enforcement arrangement and the two methods, each terminating in interruption of a physical data path; the dependents refine each of them, and two deployment claims refer back to the system claims.</w:t>
      </w:r>
    </w:p>
    <w:p>
      <w:pPr>
        <w:keepNext/>
        <w:spacing w:before="220" w:after="80"/>
        <w:outlineLvl w:val="1"/>
      </w:pPr>
      <w:r>
        <w:rPr>
          <w:rFonts w:ascii="Times New Roman" w:hAnsi="Times New Roman" w:cs="Times New Roman"/>
          <w:b/>
          <w:i w:val="0"/>
          <w:sz w:val="23"/>
        </w:rPr>
        <w:t>A. System claims — causal latency interlock at a monitored station</w:t>
      </w:r>
    </w:p>
    <w:p>
      <w:pPr>
        <w:spacing w:after="140" w:line="274" w:lineRule="auto"/>
        <w:jc w:val="both"/>
      </w:pPr>
      <w:r>
        <w:rPr>
          <w:rFonts w:ascii="Times New Roman" w:hAnsi="Times New Roman" w:cs="Times New Roman"/>
          <w:b/>
          <w:i w:val="0"/>
          <w:sz w:val="22"/>
        </w:rPr>
        <w:t xml:space="preserve">Claim 1 (independent). </w:t>
      </w:r>
      <w:r>
        <w:rPr>
          <w:rFonts w:ascii="Times New Roman" w:hAnsi="Times New Roman" w:cs="Times New Roman"/>
          <w:b w:val="0"/>
          <w:i w:val="0"/>
          <w:sz w:val="22"/>
        </w:rPr>
        <w:t>An integrity-monitoring system for a monitored assessment station, comprising: a display panel arranged to present assessment items to a candidate at the station; a photometric sensor disposed to receive light emitted by a region of said display panel and to produce an onset signal; an acoustic sensing arrangement comprising a first transducer mechanically coupled to a work surface of the station and a second transducer responsive to airborne sound at the station; an input-device interface receiving input events from at least one input device of the station; a processing unit coupled to the display panel, the photometric sensor, the acoustic sensing arrangement and the input-device interface; and an actuator arrangement comprising a gating unit disposed in series with a data path of said input device; wherein the processing unit is configured to: derive, from a transition of the onset signal, a presentation instant T0 for an assessment item, said instant being derived from light emitted by the display panel and independently of any item-presentation event reported by a machine executing the assessment; derive an emission instant T1 attributed to the candidate seated at the station, said instant being registered only where the first transducer and the second transducer each exceed a respective threshold within a coincidence window and a measure of correlation between the band-limited envelopes of the two transducers across said window exceeds a consistency threshold, whereby neither an acoustic emission originating at another station and not coupled through said work surface, nor a concurrence of a mechanical impulse at said work surface with an unrelated airborne emission, produces an attributed emission instant; derive, from the input-device interface, a commit instant T2 at which a response to said assessment item is committed; determine whether an interval between T0 and T1 lies within a bounded consultation interval, the lower bound of said consultation interval being not less than a minimum item-apprehension interval and the upper bound thereof being not later than a presentation instant derived for a succeeding assessment item, whereby the attributed emission is bound to one identified assessment item; determine whether an interval between T1 and T2 lies within a bounded assistance interval having a lower bound and an upper bound; derive a corroboration value at least from both said determinations; and, when the corroboration value satisfies an eligibility condition, cause the gating unit to interrupt said data path.</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system of Claim 1, wherein the photometric sensor is disposed over a region of the display panel in which the assessment application renders a patch whose luminance changes upon each transition between assessment items, and wherein the processing unit detects said transition against an adaptive baseline with a holdoff interval between successive presentation instants.</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system of Claim 1, wherein the coincidence window has a duration greater than the difference in propagation delay between the structure-borne path to the first transducer and the airborne path to the second transducer over the dimensions of the station, and shorter than the shortest interval separating distinct utterances; wherein each of the first and second transducers is band-limited to a range of voice fundamental and first-formant frequencies before the respective threshold is applied, such that neither transducer alone can register an emission instant; wherein each acoustic channel is band-limited and rectified by an analog stage preceding digitisation, such that the quantity digitised is an envelope and the sampling rate at the processing unit is determined by the bandwidth of that envelope rather than by the bandwidth of speech; and wherein each said threshold is maintained relative to a baseline adapted over a time constant long compared with said coincidence window, such that drift in the ambient level at the station does not alter the coincidence condition.</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system of Claim 1, further comprising an enrolled profile store holding statistics of input-event timing of the candidate gathered during an enrolment interval, wherein the processing unit computes a discontinuity measure between input-event timing preceding T2 and said statistics, and includes said measure in the corroboration value.</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system of Claim 4, wherein the discontinuity measure is a scaled distance between a vector of hold intervals and inter-event intervals and corresponding statistics of the enrolled profile, the scaling being derived from dispersion of the enrolled profile.</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system of Claim 1, further comprising an inertial sensor coupled to the station and an imaging sensor directed at the candidate, wherein the processing unit derives a motion magnitude from the inertial sensor and applies said magnitude both to reduce a confidence threshold applied to a quantity derived from the imaging sensor and to increase a weight applied to a quantity derived from the acoustic sensing arrangement.</w:t>
      </w:r>
    </w:p>
    <w:p>
      <w:pPr>
        <w:spacing w:after="140" w:line="274" w:lineRule="auto"/>
        <w:ind w:left="403"/>
        <w:jc w:val="both"/>
      </w:pPr>
      <w:r>
        <w:rPr>
          <w:rFonts w:ascii="Times New Roman" w:hAnsi="Times New Roman" w:cs="Times New Roman"/>
          <w:b/>
          <w:i w:val="0"/>
          <w:sz w:val="21"/>
        </w:rPr>
        <w:t xml:space="preserve">Claim 7. </w:t>
      </w:r>
      <w:r>
        <w:rPr>
          <w:rFonts w:ascii="Times New Roman" w:hAnsi="Times New Roman" w:cs="Times New Roman"/>
          <w:b w:val="0"/>
          <w:i w:val="0"/>
          <w:sz w:val="21"/>
        </w:rPr>
        <w:t>The system of Claim 6, wherein the reduction of said confidence threshold is bounded below by a floor value and the motion magnitude is saturated at a maximum value, such that a single impulse applied to the station cannot reduce the confidence threshold below said floor.</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system of Claim 6, wherein a departure of gaze from a region associated with the display panel is admitted to the corroboration value only where the motion magnitude exceeds a qualification threshold within a corresponding interval.</w:t>
      </w:r>
    </w:p>
    <w:p>
      <w:pPr>
        <w:spacing w:after="140" w:line="274" w:lineRule="auto"/>
        <w:ind w:left="403"/>
        <w:jc w:val="both"/>
      </w:pPr>
      <w:r>
        <w:rPr>
          <w:rFonts w:ascii="Times New Roman" w:hAnsi="Times New Roman" w:cs="Times New Roman"/>
          <w:b/>
          <w:i w:val="0"/>
          <w:sz w:val="21"/>
        </w:rPr>
        <w:t xml:space="preserve">Claim 9. </w:t>
      </w:r>
      <w:r>
        <w:rPr>
          <w:rFonts w:ascii="Times New Roman" w:hAnsi="Times New Roman" w:cs="Times New Roman"/>
          <w:b w:val="0"/>
          <w:i w:val="0"/>
          <w:sz w:val="21"/>
        </w:rPr>
        <w:t>The system of Claim 6, wherein the corroboration value is further derived from one or more quantities, derived from said imaging sensor, describing a geometry of departures from and returns to a region associated with the display panel, said quantities comprising an angular concentration of departure bearings, a dispersion of return landing positions, and a count of departure-and-return pairs of bounded duration.</w:t>
      </w:r>
    </w:p>
    <w:p>
      <w:pPr>
        <w:spacing w:after="140" w:line="274" w:lineRule="auto"/>
        <w:ind w:left="403"/>
        <w:jc w:val="both"/>
      </w:pPr>
      <w:r>
        <w:rPr>
          <w:rFonts w:ascii="Times New Roman" w:hAnsi="Times New Roman" w:cs="Times New Roman"/>
          <w:b/>
          <w:i w:val="0"/>
          <w:sz w:val="21"/>
        </w:rPr>
        <w:t xml:space="preserve">Claim 10. </w:t>
      </w:r>
      <w:r>
        <w:rPr>
          <w:rFonts w:ascii="Times New Roman" w:hAnsi="Times New Roman" w:cs="Times New Roman"/>
          <w:b w:val="0"/>
          <w:i w:val="0"/>
          <w:sz w:val="21"/>
        </w:rPr>
        <w:t>The system of Claim 1, wherein the bounds of the consultation interval and of the assistance interval are each established per candidate by displacing a default bound by a statistic of the distribution of commit intervals observed from that candidate during an enrolment interval of unassisted work, no attributed emission instant arising during such an interval.</w:t>
      </w:r>
    </w:p>
    <w:p>
      <w:pPr>
        <w:spacing w:after="140" w:line="274" w:lineRule="auto"/>
        <w:ind w:left="403"/>
        <w:jc w:val="both"/>
      </w:pPr>
      <w:r>
        <w:rPr>
          <w:rFonts w:ascii="Times New Roman" w:hAnsi="Times New Roman" w:cs="Times New Roman"/>
          <w:b/>
          <w:i w:val="0"/>
          <w:sz w:val="21"/>
        </w:rPr>
        <w:t xml:space="preserve">Claim 11. </w:t>
      </w:r>
      <w:r>
        <w:rPr>
          <w:rFonts w:ascii="Times New Roman" w:hAnsi="Times New Roman" w:cs="Times New Roman"/>
          <w:b w:val="0"/>
          <w:i w:val="0"/>
          <w:sz w:val="21"/>
        </w:rPr>
        <w:t>The system of Claim 1, further comprising an evidence record store receiving, for each control cycle, the instants T0, T1 and T2, the quantities from which the corroboration value was derived, and the output produced, whereby each output carries a self-contained record of the measurements that produced it.</w:t>
      </w:r>
    </w:p>
    <w:p>
      <w:pPr>
        <w:spacing w:after="140" w:line="274" w:lineRule="auto"/>
        <w:ind w:left="403"/>
        <w:jc w:val="both"/>
      </w:pPr>
      <w:r>
        <w:rPr>
          <w:rFonts w:ascii="Times New Roman" w:hAnsi="Times New Roman" w:cs="Times New Roman"/>
          <w:b/>
          <w:i w:val="0"/>
          <w:sz w:val="21"/>
        </w:rPr>
        <w:t xml:space="preserve">Claim 12. </w:t>
      </w:r>
      <w:r>
        <w:rPr>
          <w:rFonts w:ascii="Times New Roman" w:hAnsi="Times New Roman" w:cs="Times New Roman"/>
          <w:b w:val="0"/>
          <w:i w:val="0"/>
          <w:sz w:val="21"/>
        </w:rPr>
        <w:t>The system of Claim 1, further comprising a node controller disposed at the station, wherein the processing unit reduces each acoustic channel, within each of a succession of analysis windows, to a peak magnitude and a root-mean-square magnitude of the envelope formed by the analog stage, and wherein the quantities passed beyond said node controller consist of said magnitudes, a scalar motion magnitude, the instants derived in Claim 1 and quantities derived from an imaging sensor, whereby the phase relations and the temporal fine structure on which the intelligibility of speech depends are absent from every quantity that leaves the node controller and cannot be recovered from those that do; and wherein no acoustic waveform and no image frame is retained beyond derivation of said quantities.</w:t>
      </w:r>
    </w:p>
    <w:p>
      <w:pPr>
        <w:keepNext/>
        <w:spacing w:before="220" w:after="80"/>
        <w:outlineLvl w:val="1"/>
      </w:pPr>
      <w:r>
        <w:rPr>
          <w:rFonts w:ascii="Times New Roman" w:hAnsi="Times New Roman" w:cs="Times New Roman"/>
          <w:b/>
          <w:i w:val="0"/>
          <w:sz w:val="23"/>
        </w:rPr>
        <w:t>B. System claims — graduated enforcement under a dual-channel interlock</w:t>
      </w:r>
    </w:p>
    <w:p>
      <w:pPr>
        <w:spacing w:after="140" w:line="274" w:lineRule="auto"/>
        <w:jc w:val="both"/>
      </w:pPr>
      <w:r>
        <w:rPr>
          <w:rFonts w:ascii="Times New Roman" w:hAnsi="Times New Roman" w:cs="Times New Roman"/>
          <w:b/>
          <w:i w:val="0"/>
          <w:sz w:val="22"/>
        </w:rPr>
        <w:t xml:space="preserve">Claim 13 (independent). </w:t>
      </w:r>
      <w:r>
        <w:rPr>
          <w:rFonts w:ascii="Times New Roman" w:hAnsi="Times New Roman" w:cs="Times New Roman"/>
          <w:b w:val="0"/>
          <w:i w:val="0"/>
          <w:sz w:val="22"/>
        </w:rPr>
        <w:t>An enforcement system for a monitored assessment station at which a candidate is seated, comprising: a plurality of sensing modalities disposed at the station, each comprising a transducer responsive to a different physical quantity from that of every other said modality; a processing unit deriving a per-modality quantity from each and combining said quantities into an ordinal corroboration value; a gating unit disposed in series with a data path of an input device of the station and having an enable input; and an indicator disposed to be perceptible to the candidate at the station; wherein the processing unit is configured to: maintain an enforcement state over an ordered plurality of severities, at least one severity causing operation of the indicator and at least one further severity causing the gating unit to interrupt said data path; treat a control cycle as eligible where the corroboration value satisfies an eligibility condition; advance the enforcement state only where the control cycle is eligible on each of n consecutive control cycles, n being an integer not less than two; withhold advancement where an interval since a previous actuation upon the same candidate is less than a cooldown interval, or where an interval since a previous actuation at any station of the venue is less than a global interval; and permit any severity that acts upon said data path or that withholds the assessment session, including the highest severity of the ordered plurality, only where at least two of said sensing modalities have each exceeded a respective threshold within the same control cycle, no such severity being reachable upon the evidence of one modality alone; and wherein the enable input of the gating unit is biased toward a state in which said data path is continuous, such that the data path is continuous whenever the processing unit is unpowered or not asserting said input, and wherein an assertion of said input is released automatically in the absence of a periodic refresh from the processing unit.</w:t>
      </w:r>
    </w:p>
    <w:p>
      <w:pPr>
        <w:spacing w:after="140" w:line="274" w:lineRule="auto"/>
        <w:ind w:left="403"/>
        <w:jc w:val="both"/>
      </w:pPr>
      <w:r>
        <w:rPr>
          <w:rFonts w:ascii="Times New Roman" w:hAnsi="Times New Roman" w:cs="Times New Roman"/>
          <w:b/>
          <w:i w:val="0"/>
          <w:sz w:val="21"/>
        </w:rPr>
        <w:t xml:space="preserve">Claim 14. </w:t>
      </w:r>
      <w:r>
        <w:rPr>
          <w:rFonts w:ascii="Times New Roman" w:hAnsi="Times New Roman" w:cs="Times New Roman"/>
          <w:b w:val="0"/>
          <w:i w:val="0"/>
          <w:sz w:val="21"/>
        </w:rPr>
        <w:t>The system of Claim 13, wherein the ordered plurality of severities comprises, in order: recording without output; a private indication to the candidate; a notification to an invigilator; interruption of the input data path for a bounded interval; and a session hold requiring release by a human operator.</w:t>
      </w:r>
    </w:p>
    <w:p>
      <w:pPr>
        <w:spacing w:after="140" w:line="274" w:lineRule="auto"/>
        <w:ind w:left="403"/>
        <w:jc w:val="both"/>
      </w:pPr>
      <w:r>
        <w:rPr>
          <w:rFonts w:ascii="Times New Roman" w:hAnsi="Times New Roman" w:cs="Times New Roman"/>
          <w:b/>
          <w:i w:val="0"/>
          <w:sz w:val="21"/>
        </w:rPr>
        <w:t xml:space="preserve">Claim 15. </w:t>
      </w:r>
      <w:r>
        <w:rPr>
          <w:rFonts w:ascii="Times New Roman" w:hAnsi="Times New Roman" w:cs="Times New Roman"/>
          <w:b w:val="0"/>
          <w:i w:val="0"/>
          <w:sz w:val="21"/>
        </w:rPr>
        <w:t>The system of Claim 13, further comprising an escalation comparator configured, upon a sustained increase in the corroboration value, to reduce the cooldown interval and the global interval by a bounded fraction, said comparator being incapable of reducing either interval to zero.</w:t>
      </w:r>
    </w:p>
    <w:p>
      <w:pPr>
        <w:spacing w:after="140" w:line="274" w:lineRule="auto"/>
        <w:ind w:left="403"/>
        <w:jc w:val="both"/>
      </w:pPr>
      <w:r>
        <w:rPr>
          <w:rFonts w:ascii="Times New Roman" w:hAnsi="Times New Roman" w:cs="Times New Roman"/>
          <w:b/>
          <w:i w:val="0"/>
          <w:sz w:val="21"/>
        </w:rPr>
        <w:t xml:space="preserve">Claim 16. </w:t>
      </w:r>
      <w:r>
        <w:rPr>
          <w:rFonts w:ascii="Times New Roman" w:hAnsi="Times New Roman" w:cs="Times New Roman"/>
          <w:b w:val="0"/>
          <w:i w:val="0"/>
          <w:sz w:val="21"/>
        </w:rPr>
        <w:t>The system of Claim 13, wherein one of said sensing modalities comprises a transducer mechanically coupled to a work surface of the station and another comprises an imaging sensor directed at the candidate, such that the two quantities compared by the interlock originate in a mechanical measurement and an optical measurement respectively.</w:t>
      </w:r>
    </w:p>
    <w:p>
      <w:pPr>
        <w:spacing w:after="140" w:line="274" w:lineRule="auto"/>
        <w:ind w:left="403"/>
        <w:jc w:val="both"/>
      </w:pPr>
      <w:r>
        <w:rPr>
          <w:rFonts w:ascii="Times New Roman" w:hAnsi="Times New Roman" w:cs="Times New Roman"/>
          <w:b/>
          <w:i w:val="0"/>
          <w:sz w:val="21"/>
        </w:rPr>
        <w:t xml:space="preserve">Claim 17. </w:t>
      </w:r>
      <w:r>
        <w:rPr>
          <w:rFonts w:ascii="Times New Roman" w:hAnsi="Times New Roman" w:cs="Times New Roman"/>
          <w:b w:val="0"/>
          <w:i w:val="0"/>
          <w:sz w:val="21"/>
        </w:rPr>
        <w:t>The system of Claim 13, wherein one of said sensing modalities comprises an input-device interface and the per-modality quantity derived therefrom is a discontinuity measure between input-event timing preceding a commit and statistics of the same quantities gathered from the candidate during an enrolment interval, and wherein n is not greater than eight.</w:t>
      </w:r>
    </w:p>
    <w:p>
      <w:pPr>
        <w:spacing w:after="140" w:line="274" w:lineRule="auto"/>
        <w:ind w:left="403"/>
        <w:jc w:val="both"/>
      </w:pPr>
      <w:r>
        <w:rPr>
          <w:rFonts w:ascii="Times New Roman" w:hAnsi="Times New Roman" w:cs="Times New Roman"/>
          <w:b/>
          <w:i w:val="0"/>
          <w:sz w:val="21"/>
        </w:rPr>
        <w:t xml:space="preserve">Claim 18. </w:t>
      </w:r>
      <w:r>
        <w:rPr>
          <w:rFonts w:ascii="Times New Roman" w:hAnsi="Times New Roman" w:cs="Times New Roman"/>
          <w:b w:val="0"/>
          <w:i w:val="0"/>
          <w:sz w:val="21"/>
        </w:rPr>
        <w:t>The system of Claim 13, wherein the gating unit comprises an analog switch or a signal relay disposed in a data pair of the input device, and wherein interruption of the data path is effected by opening said data pair.</w:t>
      </w:r>
    </w:p>
    <w:p>
      <w:pPr>
        <w:keepNext/>
        <w:spacing w:before="220" w:after="80"/>
        <w:outlineLvl w:val="1"/>
      </w:pPr>
      <w:r>
        <w:rPr>
          <w:rFonts w:ascii="Times New Roman" w:hAnsi="Times New Roman" w:cs="Times New Roman"/>
          <w:b/>
          <w:i w:val="0"/>
          <w:sz w:val="23"/>
        </w:rPr>
        <w:t>C. Method claims</w:t>
      </w:r>
    </w:p>
    <w:p>
      <w:pPr>
        <w:spacing w:after="140" w:line="274" w:lineRule="auto"/>
        <w:jc w:val="both"/>
      </w:pPr>
      <w:r>
        <w:rPr>
          <w:rFonts w:ascii="Times New Roman" w:hAnsi="Times New Roman" w:cs="Times New Roman"/>
          <w:b/>
          <w:i w:val="0"/>
          <w:sz w:val="22"/>
        </w:rPr>
        <w:t xml:space="preserve">Claim 19 (independent). </w:t>
      </w:r>
      <w:r>
        <w:rPr>
          <w:rFonts w:ascii="Times New Roman" w:hAnsi="Times New Roman" w:cs="Times New Roman"/>
          <w:b w:val="0"/>
          <w:i w:val="0"/>
          <w:sz w:val="22"/>
        </w:rPr>
        <w:t>A method for detecting externally assisted responding at a monitored assessment station, comprising: receiving, at a photometric sensor disposed to receive light emitted by a display panel of the station, an onset signal, and deriving from a transition thereof a presentation instant T0 for an assessment item independently of any item-presentation event reported by a machine executing the assessment; acquiring signals from a transducer mechanically coupled to a work surface of the station and from an airborne acoustic transducer, and deriving an emission instant T1 only where both exceed a respective threshold within a coincidence window and a measure of correlation between the band-limited envelopes of the two transducers across said window exceeds a consistency threshold; deriving from an input-device interface a commit instant T2 at which a response to said item is committed; determining whether an interval between T0 and T1 lies within a bounded consultation interval whose lower bound is not less than a minimum item-apprehension interval and whose upper bound is not later than a presentation instant derived for a succeeding item; determining whether an interval between T1 and T2 lies within a bounded assistance interval; deriving a corroboration value at least from both said determinations; and, when the corroboration value satisfies an eligibility condition, interrupting a data path of an input device of the station by means of a gating unit disposed in series therewith.</w:t>
      </w:r>
    </w:p>
    <w:p>
      <w:pPr>
        <w:spacing w:after="140" w:line="274" w:lineRule="auto"/>
        <w:jc w:val="both"/>
      </w:pPr>
      <w:r>
        <w:rPr>
          <w:rFonts w:ascii="Times New Roman" w:hAnsi="Times New Roman" w:cs="Times New Roman"/>
          <w:b/>
          <w:i w:val="0"/>
          <w:sz w:val="22"/>
        </w:rPr>
        <w:t xml:space="preserve">Claim 20 (independent). </w:t>
      </w:r>
      <w:r>
        <w:rPr>
          <w:rFonts w:ascii="Times New Roman" w:hAnsi="Times New Roman" w:cs="Times New Roman"/>
          <w:b w:val="0"/>
          <w:i w:val="0"/>
          <w:sz w:val="22"/>
        </w:rPr>
        <w:t>A method of graduated enforcement at a monitored assessment station, comprising: deriving a per-modality quantity from each of a plurality of sensing modalities disposed at a station at which a candidate is seated, each said modality comprising a transducer responsive to a different physical quantity from that of every other said modality; maintaining an enforcement state over an ordered plurality of severities; advancing said state only upon satisfaction of an eligibility condition on each of n consecutive control cycles, n being an integer not less than two, and only where a per-candidate cooldown interval and a venue-wide global interval have both elapsed; permitting any severity that acts upon a data path of an input device of the station or that withholds the assessment session, including the highest severity of the ordered plurality, only where at least two of said modalities have each exceeded a respective threshold within the same control cycle; interrupting said data path by de-asserting an enable input of a gating unit disposed in series therewith, said input being biased toward continuity of the path; releasing said interruption automatically in the absence of a periodic refresh; and recording each control cycle with the quantities and the decision that produced it.</w:t>
      </w:r>
    </w:p>
    <w:p>
      <w:pPr>
        <w:spacing w:after="140" w:line="274" w:lineRule="auto"/>
        <w:ind w:left="403"/>
        <w:jc w:val="both"/>
      </w:pPr>
      <w:r>
        <w:rPr>
          <w:rFonts w:ascii="Times New Roman" w:hAnsi="Times New Roman" w:cs="Times New Roman"/>
          <w:b/>
          <w:i w:val="0"/>
          <w:sz w:val="21"/>
        </w:rPr>
        <w:t xml:space="preserve">Claim 21. </w:t>
      </w:r>
      <w:r>
        <w:rPr>
          <w:rFonts w:ascii="Times New Roman" w:hAnsi="Times New Roman" w:cs="Times New Roman"/>
          <w:b w:val="0"/>
          <w:i w:val="0"/>
          <w:sz w:val="21"/>
        </w:rPr>
        <w:t>The method of Claim 19, further comprising computing a discontinuity measure between input-event timing preceding T2 and statistics of the same quantities gathered from the candidate during an enrolment interval, and including said measure in the corroboration value.</w:t>
      </w:r>
    </w:p>
    <w:p>
      <w:pPr>
        <w:spacing w:after="140" w:line="274" w:lineRule="auto"/>
        <w:ind w:left="403"/>
        <w:jc w:val="both"/>
      </w:pPr>
      <w:r>
        <w:rPr>
          <w:rFonts w:ascii="Times New Roman" w:hAnsi="Times New Roman" w:cs="Times New Roman"/>
          <w:b/>
          <w:i w:val="0"/>
          <w:sz w:val="21"/>
        </w:rPr>
        <w:t xml:space="preserve">Claim 22. </w:t>
      </w:r>
      <w:r>
        <w:rPr>
          <w:rFonts w:ascii="Times New Roman" w:hAnsi="Times New Roman" w:cs="Times New Roman"/>
          <w:b w:val="0"/>
          <w:i w:val="0"/>
          <w:sz w:val="21"/>
        </w:rPr>
        <w:t>The method of Claim 19, further comprising acquiring a signal from an imaging sensor directed at the candidate and a signal from an inertial sensor coupled to the station, deriving a motion magnitude from the latter, and applying said magnitude both to reduce a confidence threshold applied to a quantity derived from said imaging sensor and to increase a weight applied to an acoustic-derived quantity.</w:t>
      </w:r>
    </w:p>
    <w:p>
      <w:pPr>
        <w:spacing w:after="140" w:line="274" w:lineRule="auto"/>
        <w:ind w:left="403"/>
        <w:jc w:val="both"/>
      </w:pPr>
      <w:r>
        <w:rPr>
          <w:rFonts w:ascii="Times New Roman" w:hAnsi="Times New Roman" w:cs="Times New Roman"/>
          <w:b/>
          <w:i w:val="0"/>
          <w:sz w:val="21"/>
        </w:rPr>
        <w:t xml:space="preserve">Claim 23. </w:t>
      </w:r>
      <w:r>
        <w:rPr>
          <w:rFonts w:ascii="Times New Roman" w:hAnsi="Times New Roman" w:cs="Times New Roman"/>
          <w:b w:val="0"/>
          <w:i w:val="0"/>
          <w:sz w:val="21"/>
        </w:rPr>
        <w:t>The method of Claim 19, further comprising reducing each acoustic channel, within each of a succession of analysis windows, to scalar envelope statistics comprising a peak magnitude and a root-mean-square magnitude of an envelope formed by an analog band-pass and rectifying stage, and passing only said statistics, a scalar motion magnitude and the derived instants beyond a node controller disposed at the station, whereby the phase relations and the temporal fine structure on which the intelligibility of speech depends are absent from every quantity so passed and cannot be recovered from those that are; and wherein no acoustic waveform and no image frame is retained beyond derivation of the quantities used.</w:t>
      </w:r>
    </w:p>
    <w:p>
      <w:pPr>
        <w:keepNext/>
        <w:spacing w:before="220" w:after="80"/>
        <w:outlineLvl w:val="1"/>
      </w:pPr>
      <w:r>
        <w:rPr>
          <w:rFonts w:ascii="Times New Roman" w:hAnsi="Times New Roman" w:cs="Times New Roman"/>
          <w:b/>
          <w:i w:val="0"/>
          <w:sz w:val="23"/>
        </w:rPr>
        <w:t>D. Deployment claims</w:t>
      </w:r>
    </w:p>
    <w:p>
      <w:pPr>
        <w:spacing w:after="140" w:line="274" w:lineRule="auto"/>
        <w:ind w:left="403"/>
        <w:jc w:val="both"/>
      </w:pPr>
      <w:r>
        <w:rPr>
          <w:rFonts w:ascii="Times New Roman" w:hAnsi="Times New Roman" w:cs="Times New Roman"/>
          <w:b/>
          <w:i w:val="0"/>
          <w:sz w:val="21"/>
        </w:rPr>
        <w:t xml:space="preserve">Claim 24. </w:t>
      </w:r>
      <w:r>
        <w:rPr>
          <w:rFonts w:ascii="Times New Roman" w:hAnsi="Times New Roman" w:cs="Times New Roman"/>
          <w:b w:val="0"/>
          <w:i w:val="0"/>
          <w:sz w:val="21"/>
        </w:rPr>
        <w:t>The system of Claim 13, wherein the per-modality quantities are derived at a node controller disposed at the station and the enforcement state is maintained at a host serving a plurality of such stations within the venue, said host maintaining the global interval across all of them, and wherein the gating unit is driven by the node controller and not by said host.</w:t>
      </w:r>
    </w:p>
    <w:p>
      <w:pPr>
        <w:spacing w:after="140" w:line="274" w:lineRule="auto"/>
        <w:ind w:left="403"/>
        <w:jc w:val="both"/>
      </w:pPr>
      <w:r>
        <w:rPr>
          <w:rFonts w:ascii="Times New Roman" w:hAnsi="Times New Roman" w:cs="Times New Roman"/>
          <w:b/>
          <w:i w:val="0"/>
          <w:sz w:val="21"/>
        </w:rPr>
        <w:t xml:space="preserve">Claim 25. </w:t>
      </w:r>
      <w:r>
        <w:rPr>
          <w:rFonts w:ascii="Times New Roman" w:hAnsi="Times New Roman" w:cs="Times New Roman"/>
          <w:b w:val="0"/>
          <w:i w:val="0"/>
          <w:sz w:val="21"/>
        </w:rPr>
        <w:t>The system of Claim 1 or Claim 13, wherein the station is one of a plurality of stations of an examination hall, a professional certification or licensing test centre, a secure interview or vetting room, a recruitment or aptitude testing facility, or a defence or public-service selection examination, and the global interval is maintained across said plurality.</w:t>
      </w:r>
    </w:p>
    <w:p>
      <w:pPr>
        <w:spacing w:after="140" w:line="274" w:lineRule="auto"/>
        <w:jc w:val="both"/>
      </w:pPr>
      <w:r>
        <w:rPr>
          <w:rFonts w:ascii="Times New Roman" w:hAnsi="Times New Roman" w:cs="Times New Roman"/>
          <w:b/>
          <w:i w:val="0"/>
          <w:sz w:val="22"/>
        </w:rPr>
        <w:t xml:space="preserve">Note on scope. </w:t>
      </w:r>
      <w:r>
        <w:rPr>
          <w:rFonts w:ascii="Times New Roman" w:hAnsi="Times New Roman" w:cs="Times New Roman"/>
          <w:b w:val="0"/>
          <w:i w:val="0"/>
          <w:sz w:val="22"/>
        </w:rPr>
        <w:t>The embodiment described at Section 7.1(h) — direction-of-arrival estimation assigning an emission to a specific neighbouring station — is deliberately excluded from the claim set, as it has not been reduced to practice. It is disclosed in the specification so that priority is preserved should it be claimed in a later continuation or subsequent application.</w:t>
      </w:r>
    </w:p>
    <w:p>
      <w:pPr>
        <w:keepNext/>
        <w:spacing w:before="320" w:after="120"/>
        <w:outlineLvl w:val="0"/>
      </w:pPr>
      <w:r>
        <w:rPr>
          <w:rFonts w:ascii="Times New Roman" w:hAnsi="Times New Roman" w:cs="Times New Roman"/>
          <w:b/>
          <w:i w:val="0"/>
          <w:sz w:val="26"/>
        </w:rPr>
        <w:t>11. Technology Readiness Level (TRL)</w:t>
      </w:r>
    </w:p>
    <w:p>
      <w:pPr>
        <w:spacing w:after="140" w:line="274" w:lineRule="auto"/>
        <w:jc w:val="both"/>
      </w:pPr>
      <w:r>
        <w:rPr>
          <w:rFonts w:ascii="Times New Roman" w:hAnsi="Times New Roman" w:cs="Times New Roman"/>
          <w:b w:val="0"/>
          <w:i w:val="0"/>
          <w:sz w:val="22"/>
        </w:rPr>
        <w:t>The invention has been formulated as a specific architecture (Sections 6 and 7) and its control layer has been validated on recorded human data across four corpora, with per-mechanism ablations and a directly measured control-path latency (Section 8). Node firmware and a host-side control-law implementation exist and the latter has been verified against the offline analysis by replay. No physical prototype has been constructed, no measurement on the contemplated transducers has been made, and the acoustic attribution unit and the in-line gating unit remain described rather than built. Readiness is therefore assessed at TRL 3 — experimental proof of concept. Successful completion of the bench measurements and the staged trial described at Section 9 would support an assessment of TRL 4, and no higher.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jc w:val="center"/>
            </w:pPr>
            <w:r/>
            <w:r>
              <w:rPr>
                <w:rFonts w:ascii="Times New Roman" w:hAnsi="Times New Roman" w:cs="Times New Roman"/>
                <w:b/>
                <w:i w:val="0"/>
                <w:sz w:val="19"/>
              </w:rPr>
              <w:t>Research</w:t>
            </w:r>
          </w:p>
        </w:tc>
        <w:tc>
          <w:tcPr>
            <w:tcW w:type="dxa" w:w="3216"/>
            <w:gridSpan w:val="3"/>
          </w:tcPr>
          <w:p>
            <w:pPr>
              <w:jc w:val="center"/>
            </w:pPr>
            <w:r/>
            <w:r>
              <w:rPr>
                <w:rFonts w:ascii="Times New Roman" w:hAnsi="Times New Roman" w:cs="Times New Roman"/>
                <w:b/>
                <w:i w:val="0"/>
                <w:sz w:val="19"/>
              </w:rPr>
              <w:t>Development</w:t>
            </w:r>
          </w:p>
        </w:tc>
        <w:tc>
          <w:tcPr>
            <w:tcW w:type="dxa" w:w="3216"/>
            <w:gridSpan w:val="3"/>
          </w:tcPr>
          <w:p>
            <w:pPr>
              <w:jc w:val="center"/>
            </w:pPr>
            <w:r/>
            <w:r>
              <w:rPr>
                <w:rFonts w:ascii="Times New Roman" w:hAnsi="Times New Roman" w:cs="Times New Roman"/>
                <w:b/>
                <w:i w:val="0"/>
                <w:sz w:val="19"/>
              </w:rPr>
              <w:t>Deployment</w:t>
            </w:r>
          </w:p>
        </w:tc>
      </w:tr>
      <w:tr>
        <w:tc>
          <w:tcPr>
            <w:tcW w:type="dxa" w:w="1022"/>
          </w:tcPr>
          <w:p>
            <w:pPr>
              <w:jc w:val="center"/>
            </w:pPr>
            <w:r/>
            <w:r>
              <w:rPr>
                <w:rFonts w:ascii="Times New Roman" w:hAnsi="Times New Roman" w:cs="Times New Roman"/>
                <w:b/>
                <w:i w:val="0"/>
                <w:sz w:val="18"/>
              </w:rPr>
              <w:t>TRL 1</w:t>
            </w:r>
          </w:p>
        </w:tc>
        <w:tc>
          <w:tcPr>
            <w:tcW w:type="dxa" w:w="1022"/>
          </w:tcPr>
          <w:p>
            <w:pPr>
              <w:jc w:val="center"/>
            </w:pPr>
            <w:r/>
            <w:r>
              <w:rPr>
                <w:rFonts w:ascii="Times New Roman" w:hAnsi="Times New Roman" w:cs="Times New Roman"/>
                <w:b/>
                <w:i w:val="0"/>
                <w:sz w:val="18"/>
              </w:rPr>
              <w:t>TRL 2</w:t>
            </w:r>
          </w:p>
        </w:tc>
        <w:tc>
          <w:tcPr>
            <w:tcW w:type="dxa" w:w="1022"/>
          </w:tcPr>
          <w:p>
            <w:pPr>
              <w:jc w:val="center"/>
            </w:pPr>
            <w:r/>
            <w:r>
              <w:rPr>
                <w:rFonts w:ascii="Times New Roman" w:hAnsi="Times New Roman" w:cs="Times New Roman"/>
                <w:b/>
                <w:i w:val="0"/>
                <w:sz w:val="18"/>
              </w:rPr>
              <w:t>TRL 3</w:t>
            </w:r>
          </w:p>
        </w:tc>
        <w:tc>
          <w:tcPr>
            <w:tcW w:type="dxa" w:w="1022"/>
          </w:tcPr>
          <w:p>
            <w:pPr>
              <w:jc w:val="center"/>
            </w:pPr>
            <w:r/>
            <w:r>
              <w:rPr>
                <w:rFonts w:ascii="Times New Roman" w:hAnsi="Times New Roman" w:cs="Times New Roman"/>
                <w:b/>
                <w:i w:val="0"/>
                <w:sz w:val="18"/>
              </w:rPr>
              <w:t>TRL 4</w:t>
            </w:r>
          </w:p>
        </w:tc>
        <w:tc>
          <w:tcPr>
            <w:tcW w:type="dxa" w:w="1022"/>
          </w:tcPr>
          <w:p>
            <w:pPr>
              <w:jc w:val="center"/>
            </w:pPr>
            <w:r/>
            <w:r>
              <w:rPr>
                <w:rFonts w:ascii="Times New Roman" w:hAnsi="Times New Roman" w:cs="Times New Roman"/>
                <w:b/>
                <w:i w:val="0"/>
                <w:sz w:val="18"/>
              </w:rPr>
              <w:t>TRL 5</w:t>
            </w:r>
          </w:p>
        </w:tc>
        <w:tc>
          <w:tcPr>
            <w:tcW w:type="dxa" w:w="1022"/>
          </w:tcPr>
          <w:p>
            <w:pPr>
              <w:jc w:val="center"/>
            </w:pPr>
            <w:r/>
            <w:r>
              <w:rPr>
                <w:rFonts w:ascii="Times New Roman" w:hAnsi="Times New Roman" w:cs="Times New Roman"/>
                <w:b/>
                <w:i w:val="0"/>
                <w:sz w:val="18"/>
              </w:rPr>
              <w:t>TRL 6</w:t>
            </w:r>
          </w:p>
        </w:tc>
        <w:tc>
          <w:tcPr>
            <w:tcW w:type="dxa" w:w="1022"/>
          </w:tcPr>
          <w:p>
            <w:pPr>
              <w:jc w:val="center"/>
            </w:pPr>
            <w:r/>
            <w:r>
              <w:rPr>
                <w:rFonts w:ascii="Times New Roman" w:hAnsi="Times New Roman" w:cs="Times New Roman"/>
                <w:b/>
                <w:i w:val="0"/>
                <w:sz w:val="18"/>
              </w:rPr>
              <w:t>TRL 7</w:t>
            </w:r>
          </w:p>
        </w:tc>
        <w:tc>
          <w:tcPr>
            <w:tcW w:type="dxa" w:w="1022"/>
          </w:tcPr>
          <w:p>
            <w:pPr>
              <w:jc w:val="center"/>
            </w:pPr>
            <w:r/>
            <w:r>
              <w:rPr>
                <w:rFonts w:ascii="Times New Roman" w:hAnsi="Times New Roman" w:cs="Times New Roman"/>
                <w:b/>
                <w:i w:val="0"/>
                <w:sz w:val="18"/>
              </w:rPr>
              <w:t>TRL 8</w:t>
            </w:r>
          </w:p>
        </w:tc>
        <w:tc>
          <w:tcPr>
            <w:tcW w:type="dxa" w:w="1022"/>
          </w:tcPr>
          <w:p>
            <w:pPr>
              <w:jc w:val="center"/>
            </w:pPr>
            <w:r/>
            <w:r>
              <w:rPr>
                <w:rFonts w:ascii="Times New Roman" w:hAnsi="Times New Roman" w:cs="Times New Roman"/>
                <w:b/>
                <w:i w:val="0"/>
                <w:sz w:val="18"/>
              </w:rPr>
              <w:t>TRL 9</w:t>
            </w:r>
          </w:p>
        </w:tc>
      </w:tr>
      <w:tr>
        <w:tc>
          <w:tcPr>
            <w:tcW w:type="dxa" w:w="1022"/>
          </w:tcPr>
          <w:p>
            <w:pPr>
              <w:jc w:val="center"/>
            </w:pPr>
            <w:r/>
            <w:r>
              <w:rPr>
                <w:rFonts w:ascii="Times New Roman" w:hAnsi="Times New Roman" w:cs="Times New Roman"/>
                <w:b w:val="0"/>
                <w:i w:val="0"/>
                <w:sz w:val="15"/>
              </w:rPr>
              <w:t>Basic principles observed</w:t>
            </w:r>
          </w:p>
        </w:tc>
        <w:tc>
          <w:tcPr>
            <w:tcW w:type="dxa" w:w="1022"/>
          </w:tcPr>
          <w:p>
            <w:pPr>
              <w:jc w:val="center"/>
            </w:pPr>
            <w:r/>
            <w:r>
              <w:rPr>
                <w:rFonts w:ascii="Times New Roman" w:hAnsi="Times New Roman" w:cs="Times New Roman"/>
                <w:b w:val="0"/>
                <w:i w:val="0"/>
                <w:sz w:val="15"/>
              </w:rPr>
              <w:t>Technology concept formulated</w:t>
            </w:r>
          </w:p>
        </w:tc>
        <w:tc>
          <w:tcPr>
            <w:tcW w:type="dxa" w:w="1022"/>
          </w:tcPr>
          <w:p>
            <w:pPr>
              <w:jc w:val="center"/>
            </w:pPr>
            <w:r/>
            <w:r>
              <w:rPr>
                <w:rFonts w:ascii="Times New Roman" w:hAnsi="Times New Roman" w:cs="Times New Roman"/>
                <w:b w:val="0"/>
                <w:i w:val="0"/>
                <w:sz w:val="15"/>
              </w:rPr>
              <w:t>Experimental proof of concept</w:t>
            </w:r>
          </w:p>
        </w:tc>
        <w:tc>
          <w:tcPr>
            <w:tcW w:type="dxa" w:w="1022"/>
          </w:tcPr>
          <w:p>
            <w:pPr>
              <w:jc w:val="center"/>
            </w:pPr>
            <w:r/>
            <w:r>
              <w:rPr>
                <w:rFonts w:ascii="Times New Roman" w:hAnsi="Times New Roman" w:cs="Times New Roman"/>
                <w:b w:val="0"/>
                <w:i w:val="0"/>
                <w:sz w:val="15"/>
              </w:rPr>
              <w:t>Technology validated in lab</w:t>
            </w:r>
          </w:p>
        </w:tc>
        <w:tc>
          <w:tcPr>
            <w:tcW w:type="dxa" w:w="1022"/>
          </w:tcPr>
          <w:p>
            <w:pPr>
              <w:jc w:val="center"/>
            </w:pPr>
            <w:r/>
            <w:r>
              <w:rPr>
                <w:rFonts w:ascii="Times New Roman" w:hAnsi="Times New Roman" w:cs="Times New Roman"/>
                <w:b w:val="0"/>
                <w:i w:val="0"/>
                <w:sz w:val="15"/>
              </w:rPr>
              <w:t>Validated in relevant environment</w:t>
            </w:r>
          </w:p>
        </w:tc>
        <w:tc>
          <w:tcPr>
            <w:tcW w:type="dxa" w:w="1022"/>
          </w:tcPr>
          <w:p>
            <w:pPr>
              <w:jc w:val="center"/>
            </w:pPr>
            <w:r/>
            <w:r>
              <w:rPr>
                <w:rFonts w:ascii="Times New Roman" w:hAnsi="Times New Roman" w:cs="Times New Roman"/>
                <w:b w:val="0"/>
                <w:i w:val="0"/>
                <w:sz w:val="15"/>
              </w:rPr>
              <w:t>Demonstrated in relevant environment</w:t>
            </w:r>
          </w:p>
        </w:tc>
        <w:tc>
          <w:tcPr>
            <w:tcW w:type="dxa" w:w="1022"/>
          </w:tcPr>
          <w:p>
            <w:pPr>
              <w:jc w:val="center"/>
            </w:pPr>
            <w:r/>
            <w:r>
              <w:rPr>
                <w:rFonts w:ascii="Times New Roman" w:hAnsi="Times New Roman" w:cs="Times New Roman"/>
                <w:b w:val="0"/>
                <w:i w:val="0"/>
                <w:sz w:val="15"/>
              </w:rPr>
              <w:t>Prototype in operational environment</w:t>
            </w:r>
          </w:p>
        </w:tc>
        <w:tc>
          <w:tcPr>
            <w:tcW w:type="dxa" w:w="1022"/>
          </w:tcPr>
          <w:p>
            <w:pPr>
              <w:jc w:val="center"/>
            </w:pPr>
            <w:r/>
            <w:r>
              <w:rPr>
                <w:rFonts w:ascii="Times New Roman" w:hAnsi="Times New Roman" w:cs="Times New Roman"/>
                <w:b w:val="0"/>
                <w:i w:val="0"/>
                <w:sz w:val="15"/>
              </w:rPr>
              <w:t>System complete and qualified</w:t>
            </w:r>
          </w:p>
        </w:tc>
        <w:tc>
          <w:tcPr>
            <w:tcW w:type="dxa" w:w="1022"/>
          </w:tcPr>
          <w:p>
            <w:pPr>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3 — Experimental Proof of Concept.</w:t>
      </w:r>
    </w:p>
    <w:p>
      <w:pPr>
        <w:keepNext/>
        <w:spacing w:before="320" w:after="120"/>
        <w:outlineLvl w:val="0"/>
      </w:pPr>
      <w:r>
        <w:rPr>
          <w:rFonts w:ascii="Times New Roman" w:hAnsi="Times New Roman" w:cs="Times New Roman"/>
          <w:b/>
          <w:i w:val="0"/>
          <w:sz w:val="26"/>
        </w:rPr>
        <w:t>12. Note on Filing</w:t>
      </w:r>
    </w:p>
    <w:p>
      <w:pPr>
        <w:spacing w:after="140" w:line="274" w:lineRule="auto"/>
        <w:jc w:val="both"/>
      </w:pPr>
      <w:r>
        <w:rPr>
          <w:rFonts w:ascii="Times New Roman" w:hAnsi="Times New Roman" w:cs="Times New Roman"/>
          <w:b w:val="0"/>
          <w:i w:val="0"/>
          <w:sz w:val="22"/>
        </w:rPr>
        <w:t>Seven matters are flagged for the IPR &amp; TT Cell.</w:t>
      </w:r>
    </w:p>
    <w:p>
      <w:pPr>
        <w:spacing w:after="140" w:line="274" w:lineRule="auto"/>
        <w:jc w:val="both"/>
      </w:pPr>
      <w:r>
        <w:rPr>
          <w:rFonts w:ascii="Times New Roman" w:hAnsi="Times New Roman" w:cs="Times New Roman"/>
          <w:b/>
          <w:i w:val="0"/>
          <w:sz w:val="22"/>
        </w:rPr>
        <w:t xml:space="preserve">First: </w:t>
      </w:r>
      <w:r>
        <w:rPr>
          <w:rFonts w:ascii="Times New Roman" w:hAnsi="Times New Roman" w:cs="Times New Roman"/>
          <w:b w:val="0"/>
          <w:i w:val="0"/>
          <w:sz w:val="22"/>
        </w:rPr>
        <w:t>subject-matter eligibility, the primary anticipated objection. The invention is a computer-related invention and an objection under the exclusion in the Patents Act, 1970 covering a mathematical method, a business method, a computer programme per se and algorithms should be expected before any objection on novelty or inventive step. The objection is anticipated and the following response is proposed. The independent claims are directed to a system comprising a photometric sensor receiving light emitted by a display panel, a transducer mechanically coupled to a work surface, an inertial sensor, and a gating unit disposed in series with the data path of an input device; the technical effect is not confined to the execution of a program on a general-purpose computer. That effect consists in (i) derivation of a timing reference from a measured physical emission rather than from a reported software event, so that a misreported or delayed rendering event does not corrupt the reference and a suppressed transition yields no reference at all rather than a false one. The argument must be put in those terms and not as independence from the examined machine, since in the principal embodiment that machine renders the patch, and an examiner who reads Section 9.1 will notice; (ii) discrimination of the physical origin of an acoustic emission by the presence or absence of structural coupling, so that a sound is attributed to one seat and not another; (iii) a change in the electrical continuity of a data path effected by a physical switching element, which is a change in the state of hardware and not an output of a program; and (iv) a fail-safe bias and watchdog release governing that switching element, which are properties of the circuit that hold when the program is not running at all. Press (iii) first. It is the effect the prior art in this field does not produce at all: a change in the electrical continuity of a physical data path, outside the computer, which no characterisation of the contribution as instructions can reach. Press (ii) second. Do not lead with (iv), attractive as it is, because the fail-safe bias and the watchdog are conceded prior art at entries 8 and 16 of Section 3, and a Controller applying the substance-of-the-contribution test will answer that the circuit property relied upon exists in the prior-art gate without this invention. (iv) answers the narrow question whether the claim contains anything but instructions; it does not answer the question the Controller actually asks.</w:t>
      </w:r>
    </w:p>
    <w:p>
      <w:pPr>
        <w:spacing w:after="140" w:line="274" w:lineRule="auto"/>
        <w:jc w:val="both"/>
      </w:pPr>
      <w:r>
        <w:rPr>
          <w:rFonts w:ascii="Times New Roman" w:hAnsi="Times New Roman" w:cs="Times New Roman"/>
          <w:b/>
          <w:i w:val="0"/>
          <w:sz w:val="22"/>
        </w:rPr>
        <w:t xml:space="preserve">Second: </w:t>
      </w:r>
      <w:r>
        <w:rPr>
          <w:rFonts w:ascii="Times New Roman" w:hAnsi="Times New Roman" w:cs="Times New Roman"/>
          <w:b w:val="0"/>
          <w:i w:val="0"/>
          <w:sz w:val="22"/>
        </w:rPr>
        <w:t>the drafting consequence. The complete specification should recite the hardware limitations of the independent claims substantively rather than nominally, and each technical effect above should appear in the description as ordinary engineering exposition — naming the transducers, the physical quantities, the circuit states — rather than as argument. A registered patent agent should verify this alignment against the current Guidelines for Examination of Computer Related Inventions before filing, and should confirm that the enforcement claim of Claim 13 is drafted so that the switching element and its bias are unambiguously apparatus limitations.</w:t>
      </w:r>
    </w:p>
    <w:p>
      <w:pPr>
        <w:spacing w:after="140" w:line="274" w:lineRule="auto"/>
        <w:jc w:val="both"/>
      </w:pPr>
      <w:r>
        <w:rPr>
          <w:rFonts w:ascii="Times New Roman" w:hAnsi="Times New Roman" w:cs="Times New Roman"/>
          <w:b/>
          <w:i w:val="0"/>
          <w:sz w:val="22"/>
        </w:rPr>
        <w:t xml:space="preserve">Third: </w:t>
      </w:r>
      <w:r>
        <w:rPr>
          <w:rFonts w:ascii="Times New Roman" w:hAnsi="Times New Roman" w:cs="Times New Roman"/>
          <w:b w:val="0"/>
          <w:i w:val="0"/>
          <w:sz w:val="22"/>
        </w:rPr>
        <w:t>a co-pending internal disclosure of the same inventor. A separate disclosure by this inventor addresses label-free detection of malpractice by self-supervised predictive residual analysis and cross-station correlation. The two are complementary rather than overlapping and the boundary should be recorded now rather than argued later. That disclosure claims how a per-station anomaly score is produced without labelled malpractice, and its output is an alert. The present disclosure claims a timing relation between three physically measured instants and a graduated physical intervention conditioned on independent corroboration; it does not claim any method of producing an anomaly score, and its corroboration value could in principle be supplied by the other disclosure’s residual. Neither claim set anticipates the other on the inventor’s reading, but the agent should review both together, since common inventorship and an overlapping field make a double-patenting or obviousness-type objection foreseeable if they are filed independently and without cross-reference.</w:t>
      </w:r>
    </w:p>
    <w:p>
      <w:pPr>
        <w:spacing w:after="140" w:line="274" w:lineRule="auto"/>
        <w:jc w:val="both"/>
      </w:pPr>
      <w:r>
        <w:rPr>
          <w:rFonts w:ascii="Times New Roman" w:hAnsi="Times New Roman" w:cs="Times New Roman"/>
          <w:b/>
          <w:i w:val="0"/>
          <w:sz w:val="22"/>
        </w:rPr>
        <w:t xml:space="preserve">Fourth: </w:t>
      </w:r>
      <w:r>
        <w:rPr>
          <w:rFonts w:ascii="Times New Roman" w:hAnsi="Times New Roman" w:cs="Times New Roman"/>
          <w:b w:val="0"/>
          <w:i w:val="0"/>
          <w:sz w:val="22"/>
        </w:rPr>
        <w:t>claim breadth and the weakest positions. The inventor regards Claim 13 and Claim 20, into which the interlock and the fail-safe properties are drawn as positive limitations, as the strongest position, and would prefer narrowing of Claim 1 to any concession on those. Claim 1 has already been narrowed on that principle. Attribution by coincidence between a work-surface-coupled transducer and an airborne transducer was moved out of the dependent claims and into Claim 1 itself, because it is the element that distinguishes this apparatus from every acoustic proctoring reference located, and a Claim 1 that merely asserted an emission to be attributed without reciting the structure effecting the attribution invited both an anticipation objection and an objection on sufficiency. On the same principle Claim 1 now recites two bounded intervals rather than one, so that the photometric anchor T0 performs work in the claim — it bounds the emission from below and binds it to one identified item — rather than appearing only as an ordering condition that an examiner could read out as non-functional. Two exposures are recorded here rather than left for the examiner. Claim 2 recites a rendered patch and a photodiode, which is standard practice in psychophysics instrumentation and is defensible only in the combination, not alone. Claim 18 recites an analog switch in a data pair, which is entry 8 of Section 3 and should be conceded if pressed; the substance is in the condition governing it, not in the switch. If the agent prunes for fee purposes, the inventor regards Claims 3, 6, 7, 8, 12, 14 and 16 as the dependents most worth keeping. Claim 3 deliberately carries four separable limitations — the bounds on the coincidence window, the band-limiting, the envelope-consistency requirement and the adapted baseline — because an internal disclosure is not a filed claim set; the agent should split it into separate dependents at drafting, and the envelope-consistency limitation is the one of the four worth its own claim, since it is what answers the concurrence of a keystroke with a neighbour’s speech. No claim to a computer-readable medium is included, and none should be added: the agent is asked to resist the reflex of adding one at drafting.</w:t>
      </w:r>
    </w:p>
    <w:p>
      <w:pPr>
        <w:spacing w:after="140" w:line="274" w:lineRule="auto"/>
        <w:jc w:val="both"/>
      </w:pPr>
      <w:r>
        <w:rPr>
          <w:rFonts w:ascii="Times New Roman" w:hAnsi="Times New Roman" w:cs="Times New Roman"/>
          <w:b/>
          <w:i w:val="0"/>
          <w:sz w:val="22"/>
        </w:rPr>
        <w:t xml:space="preserve">Fifth: </w:t>
      </w:r>
      <w:r>
        <w:rPr>
          <w:rFonts w:ascii="Times New Roman" w:hAnsi="Times New Roman" w:cs="Times New Roman"/>
          <w:b w:val="0"/>
          <w:i w:val="0"/>
          <w:sz w:val="22"/>
        </w:rPr>
        <w:t>state of reduction to practice. The invention stands at TRL 3. Section 8 reports measurements on recorded human corpora that stand in for the contemplated transducers, and states in each case what the substitution costs. Section 9 is prospective throughout and reports no measurement on the contemplated hardware. Two claimed elements — acoustic attribution and the in-line gate — have not been built. Nothing in this disclosure should be represented to any external party as a measurement of the assembled apparatus, and the sample sizes and the negative results in Section 8 should travel with any figure quoted from it. For the Cell's internal costing only, and not for the specification: the component set of Table 7 is of the order of INR 1,150 per station exclusive of enclosure and labour, and the two-station configuration of Section 9.2 of the order of INR 2,500. Cost figures were removed from the body of this disclosure because they are commercial rather than technical, they date the document, and an applicant's own statement that a build is cheap and ordinary is quotable against it on inventive step.</w:t>
      </w:r>
    </w:p>
    <w:p>
      <w:pPr>
        <w:spacing w:after="140" w:line="274" w:lineRule="auto"/>
        <w:jc w:val="both"/>
      </w:pPr>
      <w:r>
        <w:rPr>
          <w:rFonts w:ascii="Times New Roman" w:hAnsi="Times New Roman" w:cs="Times New Roman"/>
          <w:b/>
          <w:i w:val="0"/>
          <w:sz w:val="22"/>
        </w:rPr>
        <w:t xml:space="preserve">Sixth: </w:t>
      </w:r>
      <w:r>
        <w:rPr>
          <w:rFonts w:ascii="Times New Roman" w:hAnsi="Times New Roman" w:cs="Times New Roman"/>
          <w:b w:val="0"/>
          <w:i w:val="0"/>
          <w:sz w:val="22"/>
        </w:rPr>
        <w:t>this note is internal and must not enter the filed specification, and neither may Sections 8, 9 and 12. A specification that argues its own patentability, names the exclusion it seeks to avoid, or characterises its own validation as preliminary invites the examiner to adopt the applicant’s characterisation and can be read as an admission. The candour in this document is owed to the Cell and to the drafting agent, and it belongs here rather than in a filed instrument. No part of this work has been publicly disclosed; no preprint, demonstration or public repository exists, and none should be made until a priority date is secured. If the prototype of Section 9 is built, any demonstration should be deferred or conducted under a written confidentiality undertaking.</w:t>
      </w:r>
    </w:p>
    <w:p>
      <w:pPr>
        <w:spacing w:after="140" w:line="274" w:lineRule="auto"/>
        <w:jc w:val="both"/>
      </w:pPr>
      <w:r>
        <w:rPr>
          <w:rFonts w:ascii="Times New Roman" w:hAnsi="Times New Roman" w:cs="Times New Roman"/>
          <w:b/>
          <w:i w:val="0"/>
          <w:sz w:val="22"/>
        </w:rPr>
        <w:t xml:space="preserve">Seventh: </w:t>
      </w:r>
      <w:r>
        <w:rPr>
          <w:rFonts w:ascii="Times New Roman" w:hAnsi="Times New Roman" w:cs="Times New Roman"/>
          <w:b w:val="0"/>
          <w:i w:val="0"/>
          <w:sz w:val="22"/>
        </w:rPr>
        <w:t>unity of invention. Claim 1 and Claim 13 are separate independent system claims and an objection that they lack a single general inventive concept is foreseeable. The position taken here is that they share one, and the claims were amended so that they plainly do: a corroboration value derived from transducers responsive to different physical quantities governs the interruption of the candidate input path by a switching element in series with it, and both independent system claims now recite that value, that switching element and that interruption. Claim 1 constrains how the value is earned, and Claim 13 constrains what the value is permitted to do. Should the objection nevertheless be pressed, the inventor’s preference is to prosecute Claim 13 in the parent and file Claim 1 as a divisional rather than the reverse, because the enforcement claim carries the hardware limitations that answer the eligibility objection recorded above.</w:t>
      </w:r>
    </w:p>
    <w:p>
      <w:pPr>
        <w:spacing w:before="360"/>
        <w:jc w:val="center"/>
      </w:pPr>
      <w:r>
        <w:rPr>
          <w:rFonts w:ascii="Times New Roman" w:hAnsi="Times New Roman" w:cs="Times New Roman"/>
          <w:b/>
          <w:i w:val="0"/>
          <w:sz w:val="22"/>
        </w:rPr>
        <w:t>————— END OF THE DOCUMENT —————</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Emission-Response Interlock - IDF-B</dc:title>
  <dc:subject/>
  <dc:creator>VIT IPR &amp; TT Cell</dc:creator>
  <cp:keywords/>
  <dc:description/>
  <cp:lastModifiedBy>VIT IPR &amp; TT Cell</cp:lastModifiedBy>
  <cp:revision>1</cp:revision>
  <dcterms:created xsi:type="dcterms:W3CDTF">2013-12-23T23:15:00Z</dcterms:created>
  <dcterms:modified xsi:type="dcterms:W3CDTF">2013-12-23T23:15:00Z</dcterms:modified>
  <cp:category/>
</cp:coreProperties>
</file>