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EXPENSE POLICY</w:t>
      </w:r>
    </w:p>
    <w:p>
      <w:r>
        <w:t>HCLTech Career Shaper Programme</w:t>
      </w:r>
    </w:p>
    <w:p>
      <w:r>
        <w:t>1. PURPOSE</w:t>
      </w:r>
    </w:p>
    <w:p>
      <w:r>
        <w:t>This policy establishes the guidelines for expense reimbursement. It aims to ensure transparency, consistency, and compliance with financial policies.</w:t>
      </w:r>
    </w:p>
    <w:p>
      <w:r>
        <w:t>2. REIMBURSABLE EXPENSES</w:t>
      </w:r>
    </w:p>
    <w:p>
      <w:r>
        <w:t>- Travel: Airfare, train tickets, mileage at the approved rate (15 per km)</w:t>
      </w:r>
    </w:p>
    <w:p>
      <w:r>
        <w:t>- Accommodation: Hotel rates up to 3000 per night for out-of-town participation</w:t>
      </w:r>
    </w:p>
    <w:p>
      <w:r>
        <w:t>- Meals: Per diem rates as specified below</w:t>
      </w:r>
    </w:p>
    <w:p>
      <w:r>
        <w:t>- Training materials: Books, software, or equipment required for the programme</w:t>
      </w:r>
    </w:p>
    <w:p>
      <w:r>
        <w:t>- Examination fees: As approved by the programme coordinator</w:t>
      </w:r>
    </w:p>
    <w:p>
      <w:r>
        <w:t>3. MEAL PER DIEM RATES</w:t>
      </w:r>
    </w:p>
    <w:p>
      <w:r>
        <w:t>- Breakfast: 300 (if not provided)</w:t>
      </w:r>
    </w:p>
    <w:p>
      <w:r>
        <w:t>- Lunch: 500 (if not provided)</w:t>
      </w:r>
    </w:p>
    <w:p>
      <w:r>
        <w:t>- Dinner: 500 (if not provided)</w:t>
      </w:r>
    </w:p>
    <w:p>
      <w:r>
        <w:t>- Full day (all meals): 1300 maximum</w:t>
      </w:r>
    </w:p>
    <w:p>
      <w:r>
        <w:t>4. EXPENSE SUBMISSION PROCEDURE</w:t>
      </w:r>
    </w:p>
    <w:p>
      <w:r>
        <w:t>- All expenses must be submitted within 30 days of incurrence</w:t>
      </w:r>
    </w:p>
    <w:p>
      <w:r>
        <w:t>- Receipts must be attached for all expenses exceeding 100</w:t>
      </w:r>
    </w:p>
    <w:p>
      <w:r>
        <w:t>- Missing receipts for amounts under 100 require a declaration form</w:t>
      </w:r>
    </w:p>
    <w:p>
      <w:r>
        <w:t>- Expense reports are submitted through the finance portal</w:t>
      </w:r>
    </w:p>
    <w:p>
      <w:r>
        <w:t>5. APPROVAL PROCESS</w:t>
      </w:r>
    </w:p>
    <w:p>
      <w:r>
        <w:t>- Department managers approve expense reports within their department</w:t>
      </w:r>
    </w:p>
    <w:p>
      <w:r>
        <w:t>- Programme coordinator has final approval authority</w:t>
      </w:r>
    </w:p>
    <w:p>
      <w:r>
        <w:t>- Approved expenses reimbursed within 15 working days</w:t>
      </w:r>
    </w:p>
    <w:p>
      <w:r>
        <w:t>6. NON-REIMBURSABLE EXPENSES</w:t>
      </w:r>
    </w:p>
    <w:p>
      <w:r>
        <w:t>- Personal entertainment or luxury items</w:t>
      </w:r>
    </w:p>
    <w:p>
      <w:r>
        <w:t>- Alcohol (except during official business dinners with prior approval)</w:t>
      </w:r>
    </w:p>
    <w:p>
      <w:r>
        <w:t>- Fines, penalties, or late fees</w:t>
      </w:r>
    </w:p>
    <w:p>
      <w:r>
        <w:t>- expenses without proper documentation</w:t>
      </w:r>
    </w:p>
    <w:p>
      <w:r>
        <w:t>- Gifts or personal purchases</w:t>
      </w:r>
    </w:p>
    <w:p>
      <w:r>
        <w:t>7. POLICY COMPLIANCE</w:t>
      </w:r>
    </w:p>
    <w:p>
      <w:r>
        <w:t>- False or misleading reports treated as conduct matter</w:t>
      </w:r>
    </w:p>
    <w:p>
      <w:r>
        <w:t>- Repeated violations affect future reimbursement eligibility</w:t>
      </w:r>
    </w:p>
    <w:p>
      <w:r>
        <w:t>- All expenses must comply with applicable tax regulations</w:t>
      </w:r>
    </w:p>
    <w:p>
      <w:r>
        <w:t>8. REVIEW</w:t>
      </w:r>
    </w:p>
    <w:p>
      <w:r>
        <w:t>- Policy reviewed annually</w:t>
      </w:r>
    </w:p>
    <w:p>
      <w:r>
        <w:t>- Budget questions to finance coordinator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