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LEAVE POLICY</w:t>
      </w:r>
    </w:p>
    <w:p>
      <w:r>
        <w:t>HCLTech Career Shaper Programme</w:t>
      </w:r>
    </w:p>
    <w:p>
      <w:r>
        <w:t>1. PURPOSE</w:t>
      </w:r>
    </w:p>
    <w:p>
      <w:r>
        <w:t>This policy establishes the leave entitlements and procedures for all participants.</w:t>
      </w:r>
    </w:p>
    <w:p>
      <w:r>
        <w:t>2. LEAVE ENTITLEMENTS</w:t>
      </w:r>
    </w:p>
    <w:p>
      <w:r>
        <w:t>- Casual Leave: 10 days per year (maximum 3 consecutive days)</w:t>
      </w:r>
    </w:p>
    <w:p>
      <w:r>
        <w:t>- Sick Leave: 15 days per year (certificate required for absences exceeding 3 days)</w:t>
      </w:r>
    </w:p>
    <w:p>
      <w:r>
        <w:t>- Medical Leave: As per company policy with proper documentation</w:t>
      </w:r>
    </w:p>
    <w:p>
      <w:r>
        <w:t>- Exam Leave: 5 days per examination period with prior approval</w:t>
      </w:r>
    </w:p>
    <w:p>
      <w:r>
        <w:t>- Parental Leave: As per company policy and applicable law</w:t>
      </w:r>
    </w:p>
    <w:p>
      <w:r>
        <w:t>3. LEAVE APPLICATION PROCEDURE</w:t>
      </w:r>
    </w:p>
    <w:p>
      <w:r>
        <w:t>- All leave must be applied for at least 5 working days in advance</w:t>
      </w:r>
    </w:p>
    <w:p>
      <w:r>
        <w:t>- Emergency leave may be applied for retroactively with supervisor approval</w:t>
      </w:r>
    </w:p>
    <w:p>
      <w:r>
        <w:t>4. APPROVAL PROCESS</w:t>
      </w:r>
    </w:p>
    <w:p>
      <w:r>
        <w:t>- Line managers approve within their team</w:t>
      </w:r>
    </w:p>
    <w:p>
      <w:r>
        <w:t>- Department heads approve leave exceeding 5 consecutive days</w:t>
      </w:r>
    </w:p>
    <w:p>
      <w:r>
        <w:t>- Programme coordinator has final approval authority</w:t>
      </w:r>
    </w:p>
    <w:p>
      <w:r>
        <w:t>5. LEAVE MONITORING</w:t>
      </w:r>
    </w:p>
    <w:p>
      <w:r>
        <w:t>- Balances updated monthly in HR system</w:t>
      </w:r>
    </w:p>
    <w:p>
      <w:r>
        <w:t>- Excessive usage (50%+) flagged for review</w:t>
      </w:r>
    </w:p>
    <w:p>
      <w:r>
        <w:t>- Unused casual leave carried forward up to 5 days</w:t>
      </w:r>
    </w:p>
    <w:p>
      <w:r>
        <w:t>6. SPECIAL LEAVE CATEGORIES</w:t>
      </w:r>
    </w:p>
    <w:p>
      <w:r>
        <w:t>- Bereavement: 3 days with documentation</w:t>
      </w:r>
    </w:p>
    <w:p>
      <w:r>
        <w:t>- Compassionate: Up to 7 days as per circumstances</w:t>
      </w:r>
    </w:p>
    <w:p>
      <w:r>
        <w:t>- Deputed Training: For approved external programmes</w:t>
      </w:r>
    </w:p>
    <w:p>
      <w:r>
        <w:t>7. NON-COMPLIANCE</w:t>
      </w:r>
    </w:p>
    <w:p>
      <w:r>
        <w:t>- Applied without proper reason may be denied</w:t>
      </w:r>
    </w:p>
    <w:p>
      <w:r>
        <w:t>- Unauthorized absence treated as conduct matter</w:t>
      </w:r>
    </w:p>
    <w:p>
      <w:r>
        <w:t>- Repeated violations affect future entitlements</w:t>
      </w:r>
    </w:p>
    <w:p>
      <w:r>
        <w:t>8. REVIEW</w:t>
      </w:r>
    </w:p>
    <w:p>
      <w:r>
        <w:t>- Policy reviewed annually</w:t>
      </w:r>
    </w:p>
    <w:p>
      <w:r>
        <w:t>- Suggestions to programme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