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Paradigms in Low-Resource Hate Speech Detection: Multi-Task Architecture, Cross-Task Consistency, and Generative Explainability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proliferation of digital communication platforms has catalyzed an unprecedented volume of user-generated content, bringing with it a corresponding surge in online hostility, cyberbullying, and hate speech. While automated content moderation systems have achieved remarkable maturity in high-resource languages such as English, adapting these computational frameworks to low-resource, morphologically rich languages like Bengali presents a formidable algorithmic challenge. Bengali is spoken by over 240 million individuals globally, yet natural language processing (NLP) models targeting the language must contend with dense verbal inflections, pervasive code-mixing, complex transliteration norms (often termed Banglish), and significant dialectal divergence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Historically, the detection of hateful content in Bengali has been approached as a coarse-grained binary classification problem, distinguishing merely between toxic and non-toxic text. However, modern moderation policies require highly granular, multi-dimensional models capable of simultaneously detecting the presence of hate, categorizing its specific sociolinguistic typology, identifying the targeted demographic, and assessing the severity of the real-world threat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As the field transitions toward complex Multi-Task Learning (MTL) frameworks and the integration of Large Language Models (LLMs), three critical architectural and evaluative gaps have emerged. First, existing multi-task systems for Bengali lack model-level cross-task consistency constraints, allowing for logically contradictory predictions across different classification heads. Second, while models are increasingly capable of generating free-text explanations for their classifications, there is a profound absence of rigorous faithfulness evaluation to ensure these explanations accurately reflect the internal mathematical decision-making process. Third, no unified topology exists that simultaneously executes multi-task classification across type, target, and severity while generating faithful, evaluatable rationales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analysis systematically investigates the intersection of multi-task learning, cross-task consistency, and generative explainability within Bengali NLP. By synthesizing recent architectural advancements, evaluating dataset evolution, detailing algorithmic training enhancements, and providing an exhaustive repository of relevant literature with downloadable links, this report establishes a foundational roadmap for next-generation content moderation in low-resource computational environments.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Sociolinguistic and Morphological Complexity of Bengali Online Discourse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fully contextualize the algorithmic challenges inherent in Bengali hate speech detection, one must first examine the language's unique structural and sociolinguistic properties. Bengali belongs to the Indo-Aryan language family, contrasting sharply with the Latin-based languages upon which foundational NLP architectures were predominantly trained. It utilizes a Subject-Object-Verb (SOV) grammatical structure, as opposed to the Subject-Verb-Object (SVO) syntax of English</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Bengali operates as a highly inflectional language. Verbal inflections shift dramatically based on the honorific status of the subject; for instance, the verb "to eat" manifests as "Kha" in colloquial, often derogatory contexts, but as "Khan" in formal or respectful discourse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Similarly, noun inflections dictate possession and spatial location seamlessly within a single token, drastically expanding the vocabulary size and complicating tokenization strategies. When individuals engage in hostile online behavior, they exploit these morphological properties to embed subtle insults, sarcasm, and implicit threats that evade superficial keyword-based moderation filters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linguistic diversity of the Bengal delta introduces an additional layer of severe complexity. Online communication rarely adheres to standard formal Bengali (Sadhu Bhasha or standard Cholit Bhasha). Instead, users deploy a fluid mix of regional dialects, English code-switching, and Romanized script. The BIDWESH dataset represents a pioneering effort to address this, serving as the first multi-dialectal Bengali hate speech corpus by translating and annotating instances into three major regional dialects: Barishal, Noakhali, and Chittagong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these dialects utilize distinct idioms, colloquialisms, and informal grammar structures, models trained exclusively on standard formal Bengali experience catastrophic degradation when exposed to dialectal input. For example, a system might perfectly recognize a slur in standard Bengali but entirely fail to flag the exact same sentiment expressed in the Chittagong dialect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Addressing this dialectal variance is critical not only for classification accuracy but also to ensure that the generative explanations produced by these models remain coherent and contextually grounded when processing non-standard regional texts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Evolution of Bengali Hate Speech Corpora: From Binary to Multi-Dimensional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 of any robust computational linguistic system is the quality, scale, and granularity of its underlying training data. The trajectory of Bengali hate speech datasets illustrates a clear progression from simple binary labeling to highly complex, multi-dimensional annotation schemas designed to capture the overlapping manifestations of online hostility.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Early datasets provided a foundational corpus primarily annotated for binary or basic multi-class detection, establishing a baseline for models utilizing traditional Support Vector Machines (SVM) and Bidirectional Long Short-Term Memory (Bi-LSTM) networks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instrumental in bootstrapping Bengali NLP, these early corpora lacked the granularity required to identify the nuances of targeted harassment or the severity of offline harm. The complexity of the problem required datasets that evaluated text across multiple intersecting axes.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BanglaMultiHate Taxonomy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introduction of the BanglaMultiHate dataset marked a critical paradigm shift toward multi-task formulation. Comprising over 50,000 manually annotated YouTube comments sourced across 19 topics (including disaster, entertainment, health, and politics), BanglaMultiHate splits annotations across three distinct, parallel dimensions: Type of Hate, Target of Hate, and Severity of Hate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three-dimensional taxonomy necessitates the deployment of multi-task architectures, forcing models to learn shared representational embeddings that generalize across varied prediction targets. The distribution of the BanglaMultiHate dataset highlights the severe class imbalances typical in real-world moderation environments: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Classification Axis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Categories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Instances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Type of Hate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Abusive (11,637), Political Hate (6,021), Profane (3,382), Religious Hate (933), Sexism (170), None (28,603)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50,746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Severity of Hate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Severe (7,340), Mild (9,763), Little to None (33,643)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50,746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of Hate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Individual (7,972), Organization (5,582), Community (3,732), Society (3,113), None (30,347)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50,746</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distribution underscores the rarity of specific hate vectors, such as Sexism, which accounts for a fractional percentage of the data, thereby requiring specialized loss functions and data augmentation strategies during model training to prevent majority-class bias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BanHADEX Corpus and Explainability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Parallel to the development of discriminative multi-task datasets, the imperative for model transparency drove the creation of BanHADEX, the first Bengali dataset to include human-annotated, free-text explanations alongside hate classifications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Encompassing 19,203 comments spanning April 2024 to June 2025, BanHADEX captures discourse surrounding major real-world incidents, such as the Quota Reform Movement and geopolitical tensions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BanHADEX provides specific natural language justifications for why a text was flagged, creating a direct supervisory signal for generative models to learn human-aligned interpretability. The dataset includes annotations for binary classification, seven fine-grained hate categories, and seven target groups, supplemented by a unique explanation for each sample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a structural divergence exists in the current ecosystem: BanHADEX utilizes a different taxonomic structure than BanglaMultiHate and notably omits the critical "Severity" dimension, preventing a seamless out-of-the-box merging of the two corpora for unified multi-task and generative training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Innovations in State-of-the-Art Bengali Classification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Recent evaluations, particularly those culminating in advanced shared tasks like BLP-2025, have showcased a diverse array of methodologies aimed at solving the multi-task Bengali hate speech problem. An analysis of the leading systems reveals the efficacy of distinct architectural choices, ranging from adversarial training to hierarchical ensemble structures and generative LLM integration.</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Token-Aware Adversarial Contrastive Training and Learning Rate Decay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approaches to Bengali multi-task classification leverage embedding-level perturbations to enhance model robustness against the noisy, orthographically inconsistent nature of social media text. The Token-Aware Adversarial Contrastive Training (TACT) mechanism applies the Fast Gradient Method (FGM) directly to the input embeddings of transformer architectures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paradigm, a clean loss (</w:t>
      </w:r>
      <w:r w:rsidDel="00000000" w:rsidR="00000000" w:rsidRPr="00000000">
        <w:rPr>
          <w:rFonts w:ascii="Google Sans" w:cs="Google Sans" w:eastAsia="Google Sans" w:hAnsi="Google Sans"/>
          <w:color w:val="1f1f1f"/>
        </w:rPr>
        <w:drawing>
          <wp:inline distB="19050" distT="19050" distL="19050" distR="19050">
            <wp:extent cx="464939" cy="243902"/>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64939" cy="2439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computed as the negative log-likelihood of the true label given the predicted probability distribution. Subsequently, the gradient (</w:t>
      </w:r>
      <w:r w:rsidDel="00000000" w:rsidR="00000000" w:rsidRPr="00000000">
        <w:rPr>
          <w:rFonts w:ascii="Google Sans" w:cs="Google Sans" w:eastAsia="Google Sans" w:hAnsi="Google Sans"/>
          <w:color w:val="1f1f1f"/>
        </w:rPr>
        <w:drawing>
          <wp:inline distB="19050" distT="19050" distL="19050" distR="19050">
            <wp:extent cx="154067" cy="246507"/>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4067" cy="2465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clean loss with respect to the input embeddings is computed. A norm-bounded perturbation (</w:t>
      </w:r>
      <w:r w:rsidDel="00000000" w:rsidR="00000000" w:rsidRPr="00000000">
        <w:rPr>
          <w:rFonts w:ascii="Google Sans" w:cs="Google Sans" w:eastAsia="Google Sans" w:hAnsi="Google Sans"/>
          <w:color w:val="1f1f1f"/>
        </w:rPr>
        <w:drawing>
          <wp:inline distB="19050" distT="19050" distL="19050" distR="19050">
            <wp:extent cx="150138" cy="240220"/>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50138" cy="240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calculated by scaling the gradient: </w:t>
      </w:r>
      <w:r w:rsidDel="00000000" w:rsidR="00000000" w:rsidRPr="00000000">
        <w:rPr>
          <w:rFonts w:ascii="Google Sans" w:cs="Google Sans" w:eastAsia="Google Sans" w:hAnsi="Google Sans"/>
          <w:color w:val="1f1f1f"/>
        </w:rPr>
        <w:drawing>
          <wp:inline distB="19050" distT="19050" distL="19050" distR="19050">
            <wp:extent cx="1232411" cy="244951"/>
            <wp:effectExtent b="0" l="0" r="0" t="0"/>
            <wp:docPr id="1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232411" cy="2449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79653" cy="254889"/>
            <wp:effectExtent b="0" l="0" r="0" t="0"/>
            <wp:docPr id="1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79653" cy="2548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controls the magnitude of the perturbation and </w:t>
      </w:r>
      <w:r w:rsidDel="00000000" w:rsidR="00000000" w:rsidRPr="00000000">
        <w:rPr>
          <w:rFonts w:ascii="Google Sans" w:cs="Google Sans" w:eastAsia="Google Sans" w:hAnsi="Google Sans"/>
          <w:color w:val="1f1f1f"/>
        </w:rPr>
        <w:drawing>
          <wp:inline distB="19050" distT="19050" distL="19050" distR="19050">
            <wp:extent cx="489228" cy="248497"/>
            <wp:effectExtent b="0" l="0" r="0" t="0"/>
            <wp:docPr id="14"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89228" cy="2484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Frobenius norm. This perturbation is added to the original embeddings to create an adversarial embedding (</w:t>
      </w:r>
      <w:r w:rsidDel="00000000" w:rsidR="00000000" w:rsidRPr="00000000">
        <w:rPr>
          <w:rFonts w:ascii="Google Sans" w:cs="Google Sans" w:eastAsia="Google Sans" w:hAnsi="Google Sans"/>
          <w:color w:val="1f1f1f"/>
        </w:rPr>
        <w:drawing>
          <wp:inline distB="19050" distT="19050" distL="19050" distR="19050">
            <wp:extent cx="369808" cy="246539"/>
            <wp:effectExtent b="0" l="0" r="0" t="0"/>
            <wp:docPr id="1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69808" cy="2465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total objective function balances the clean loss with the adversarial loss (</w:t>
      </w:r>
      <w:r w:rsidDel="00000000" w:rsidR="00000000" w:rsidRPr="00000000">
        <w:rPr>
          <w:rFonts w:ascii="Google Sans" w:cs="Google Sans" w:eastAsia="Google Sans" w:hAnsi="Google Sans"/>
          <w:color w:val="1f1f1f"/>
        </w:rPr>
        <w:drawing>
          <wp:inline distB="19050" distT="19050" distL="19050" distR="19050">
            <wp:extent cx="1572101" cy="244210"/>
            <wp:effectExtent b="0" l="0" r="0" t="0"/>
            <wp:docPr id="16"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1572101" cy="2442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forcing the transformer encoder to learn robust linguistic features that remain mathematically stable despite dialectal variations, slang, or intentional obfuscation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adversarial training is frequently paired with Layer-wise Learning Rate Decay (LLRD). LLRD stabilizes the fine-tuning of deep transformer models (e.g., BanglaBERT, MuRIL, multilingual E5) by assigning smaller learning rates to the lower layers and progressively larger rates to the upper layers. The learning rate for each encoder layer </w:t>
      </w:r>
      <w:r w:rsidDel="00000000" w:rsidR="00000000" w:rsidRPr="00000000">
        <w:rPr>
          <w:rFonts w:ascii="Google Sans" w:cs="Google Sans" w:eastAsia="Google Sans" w:hAnsi="Google Sans"/>
          <w:color w:val="1f1f1f"/>
        </w:rPr>
        <w:drawing>
          <wp:inline distB="19050" distT="19050" distL="19050" distR="19050">
            <wp:extent cx="62270" cy="249079"/>
            <wp:effectExtent b="0" l="0" r="0" t="0"/>
            <wp:docPr id="1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2270" cy="2490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calculated as </w:t>
      </w:r>
      <w:r w:rsidDel="00000000" w:rsidR="00000000" w:rsidRPr="00000000">
        <w:rPr>
          <w:rFonts w:ascii="Google Sans" w:cs="Google Sans" w:eastAsia="Google Sans" w:hAnsi="Google Sans"/>
          <w:color w:val="1f1f1f"/>
        </w:rPr>
        <w:drawing>
          <wp:inline distB="19050" distT="19050" distL="19050" distR="19050">
            <wp:extent cx="1142762" cy="243789"/>
            <wp:effectExtent b="0" l="0" r="0" t="0"/>
            <wp:docPr id="19"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1142762" cy="2437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801529" cy="244275"/>
            <wp:effectExtent b="0" l="0" r="0" t="0"/>
            <wp:docPr id="1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801529" cy="2442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decay factor and </w:t>
      </w:r>
      <w:r w:rsidDel="00000000" w:rsidR="00000000" w:rsidRPr="00000000">
        <w:rPr>
          <w:rFonts w:ascii="Google Sans" w:cs="Google Sans" w:eastAsia="Google Sans" w:hAnsi="Google Sans"/>
          <w:color w:val="1f1f1f"/>
        </w:rPr>
        <w:drawing>
          <wp:inline distB="19050" distT="19050" distL="19050" distR="19050">
            <wp:extent cx="133469" cy="251236"/>
            <wp:effectExtent b="0" l="0" r="0" t="0"/>
            <wp:docPr id="18"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133469" cy="2512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total number of layers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specialized optimization prevents catastrophic forgetting of the foundational Bengali representations learned during pretraining, while allowing the upper classification heads to rapidly adapt to the highly specific, imbalanced distributions of hate speech taxonomies.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Hierarchical Versus Single-Shot Topologies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architectural debate in multi-task hate speech detection centers on the structural sequence of classification. Hierarchical classification frameworks operate on the premise that separating "Hate" from "None" (or "Little to None") at a primary level simplifies the decision boundary for subsequent fine-grained classification. In such systems, an initial binary classifier filters the input; only if an instance is flagged as "Hate" is it passed to secondary classifiers to determine the specific Type, Target, and Severity. Mathematically, the final prediction is defined conditionally: </w:t>
      </w:r>
      <w:r w:rsidDel="00000000" w:rsidR="00000000" w:rsidRPr="00000000">
        <w:rPr>
          <w:rFonts w:ascii="Google Sans" w:cs="Google Sans" w:eastAsia="Google Sans" w:hAnsi="Google Sans"/>
          <w:color w:val="1f1f1f"/>
        </w:rPr>
        <w:drawing>
          <wp:inline distB="19050" distT="19050" distL="19050" distR="19050">
            <wp:extent cx="1162174" cy="244668"/>
            <wp:effectExtent b="0" l="0" r="0" t="0"/>
            <wp:docPr id="20"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1162174" cy="2446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color w:val="1f1f1f"/>
        </w:rPr>
        <w:drawing>
          <wp:inline distB="19050" distT="19050" distL="19050" distR="19050">
            <wp:extent cx="1183367" cy="244308"/>
            <wp:effectExtent b="0" l="0" r="0" t="0"/>
            <wp:docPr id="21"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1183367" cy="2443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118597" cy="245172"/>
            <wp:effectExtent b="0" l="0" r="0" t="0"/>
            <wp:docPr id="22"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1118597" cy="2451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color w:val="1f1f1f"/>
        </w:rPr>
        <w:drawing>
          <wp:inline distB="19050" distT="19050" distL="19050" distR="19050">
            <wp:extent cx="1145143" cy="244297"/>
            <wp:effectExtent b="0" l="0" r="0" t="0"/>
            <wp:docPr id="23"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1145143" cy="244297"/>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approach theoretically shields the fine-grained heads from the overwhelming class imbalance introduced by the majority "None" class.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single-shot multiclass architectures process the input end-to-end, utilizing a shared encoder that branches into parallel classification heads, each computing independent cross-entropy or focal losses. Extensive empirical evaluations demonstrate that, counter-intuitively, domain-adapted single-shot architectures frequently outperform hierarchical setups in low-resource environments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vulnerability of the hierarchical model lies in terminal error propagation: a false negative at the initial binary stage acts as an unrecoverable bottleneck, preventing the secondary heads from ever evaluating the text. When pre-trained models are subjected to rigorous Domain-Adaptive Pretraining (DAPT) on massive, unannotated social media corpora (e.g., training a Masked Language Model over 315,000 informal comments with a 15% masking probability), the resulting single-shot models develop sufficient representational capacity to resolve complex decision boundaries simultaneously, mitigating the need for structural decomposition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Ensemble Mechanisms and Logit Aggregation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overcome the limitations of individual architectures, leading systems heavily employ ensemble learning. Weighted and soft voting ensembles aggregate the predictive capabilities of diverse transformer backbones. In a soft-voting ensemble comprising BanglaBERT, MuRIL, and IndicBERTv2, the final prediction is obtained by averaging the probability distributions from all models: </w:t>
      </w:r>
      <w:r w:rsidDel="00000000" w:rsidR="00000000" w:rsidRPr="00000000">
        <w:rPr>
          <w:rFonts w:ascii="Google Sans" w:cs="Google Sans" w:eastAsia="Google Sans" w:hAnsi="Google Sans"/>
          <w:color w:val="1f1f1f"/>
        </w:rPr>
        <w:drawing>
          <wp:inline distB="19050" distT="19050" distL="19050" distR="19050">
            <wp:extent cx="2373630" cy="244232"/>
            <wp:effectExtent b="0" l="0" r="0" t="0"/>
            <wp:docPr id="24"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2373630" cy="244232"/>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More sophisticated logit ensembling techniques extract the raw output scores (logits) from each model prior to softmax activation. The logits are aggregated using a weighted sum </w:t>
      </w:r>
      <w:r w:rsidDel="00000000" w:rsidR="00000000" w:rsidRPr="00000000">
        <w:rPr>
          <w:rFonts w:ascii="Google Sans" w:cs="Google Sans" w:eastAsia="Google Sans" w:hAnsi="Google Sans"/>
          <w:color w:val="1f1f1f"/>
        </w:rPr>
        <w:drawing>
          <wp:inline distB="19050" distT="19050" distL="19050" distR="19050">
            <wp:extent cx="1876425" cy="244088"/>
            <wp:effectExtent b="0" l="0" r="0" t="0"/>
            <wp:docPr id="25"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1876425" cy="2440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final multi-task predictions are generated by applying an argmax function to the ensembled logits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aggregation effectively smooths out the idiosyncratic weaknesses of individual pre-trained models, yielding highly robust systems capable of achieving superior exact-match joint accuracy across all three classification axes.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Generative LLM Integration and Deductive Prompting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generative LLMs into classification pipelines represents a fundamental shift away from traditional encoder-only architectures. Systems utilizing models like GPT-4o, Llama-3.1, and Qwen2.5 leverage sequential deductive prompting—often formulated as Chain-of-Thought (CoT) or step-by-step inferential logic—to improve zero-shot and few-shot accuracy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explicitly instructing the LLM to internally translate the Bengali text, identify hostile phrases, map them against a predefined taxonomy, and output a structured JSON response, these systems force the model to compute intermediate semantic states before finalizing a label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computationally expensive compared to fine-tuned BERT variants, LLMs instructed via sequential deductive prompting excel at identifying subtle, context-heavy categories like political hate or implicit sexism</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However, open-source LLMs frequently struggle to surpass the accuracy of domain-adapted encoders without parameter-efficient fine-tuning (PEFT) techniques like Low-Rank Adaptation (LoRA), which update only a fractional subset of the model's matrices while keeping the foundational weights frozen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Gap 1 (G1): The Imperative for Cross-Task Consistency in Multi-Task Learning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 success of shared-encoder architectures in predicting Type, Target, and Severity, a fundamental structural flaw persists in current Bengali multi-task systems: the absence of model-level cross-task consistency constraints.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Mechanism of Contradiction in Independent Heads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standard multi-task topology, a shared transformer backbone generates a unified contextual representation of the input sequence. This representation is routed into multiple, distinct fully connected layers (heads), each culminating in a softmax activation to predict a specific dimension. The total loss is simply computed as a weighted sum of the individual task losses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these heads operate entirely independently during the inference phase, the model is fully capable of generating logically contradictory label combinations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For example, based on standard annotation guidelines, if a model classifies a comment as having a Hate Type of "None," foundational logic dictates that the Target must be "None" and the Severity must be "Little to None." Yet, without an explicit mathematical penalty enforcing this logic, an unconstrained model might predict Type: None, Target: Individual, and Severity: Severe due to disparate confidence thresholds across the independent classification heads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contradiction rate—defined as the percentage of inference predictions that violate axiomatic label compatibility rules—remains unmeasured and unaddressed in state-of-the-art Bengali systems.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Frameworks for Consistency Enforcement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Addressing this gap requires moving beyond independent softmax evaluations toward mechanisms that penalize incompatible joint distributions. Literature on cross-task consistency provides several translatable mathematical paradigms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Compatibility Matrix Penalties:</w:t>
      </w:r>
      <w:r w:rsidDel="00000000" w:rsidR="00000000" w:rsidRPr="00000000">
        <w:rPr>
          <w:rFonts w:ascii="Google Sans" w:cs="Google Sans" w:eastAsia="Google Sans" w:hAnsi="Google Sans"/>
          <w:color w:val="1f1f1f"/>
          <w:rtl w:val="0"/>
        </w:rPr>
        <w:t xml:space="preserve"> The most direct approach involves constructing a probabilistically weighted compatibility matrix derived from the co-occurrence statistics of the training labels. A consistency loss term (</w:t>
      </w:r>
      <w:r w:rsidDel="00000000" w:rsidR="00000000" w:rsidRPr="00000000">
        <w:rPr>
          <w:rFonts w:ascii="Google Sans" w:cs="Google Sans" w:eastAsia="Google Sans" w:hAnsi="Google Sans"/>
          <w:color w:val="1f1f1f"/>
        </w:rPr>
        <w:drawing>
          <wp:inline distB="19050" distT="19050" distL="19050" distR="19050">
            <wp:extent cx="968816" cy="244111"/>
            <wp:effectExtent b="0" l="0" r="0" t="0"/>
            <wp:docPr id="26"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968816" cy="2441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added to the objective function, calculated by taking the dot product of the predicted probability distributions across tasks and applying a penalty mask for invalid combinations. This acts as a soft logical constraint during gradient descent, explicitly discouraging the network from exploring parameter spaces that yield incompatible joint probabilities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Cross-Task KL Divergence:</w:t>
      </w:r>
      <w:r w:rsidDel="00000000" w:rsidR="00000000" w:rsidRPr="00000000">
        <w:rPr>
          <w:rFonts w:ascii="Google Sans" w:cs="Google Sans" w:eastAsia="Google Sans" w:hAnsi="Google Sans"/>
          <w:color w:val="1f1f1f"/>
          <w:rtl w:val="0"/>
        </w:rPr>
        <w:t xml:space="preserve"> Alternatively, cross-task alignment can be enforced by minimizing the Kullback-Leibler (KL) divergence between the latent probability distributions of related branches. If the "Type" branch expresses a high probability of "None," a collaborative consistency module forces the "Severity" branch's distribution to align closely with the "Little to None" distribution, promoting unified representation learning</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Rank Correlation and Contrast Sets:</w:t>
      </w:r>
      <w:r w:rsidDel="00000000" w:rsidR="00000000" w:rsidRPr="00000000">
        <w:rPr>
          <w:rFonts w:ascii="Google Sans" w:cs="Google Sans" w:eastAsia="Google Sans" w:hAnsi="Google Sans"/>
          <w:color w:val="1f1f1f"/>
          <w:rtl w:val="0"/>
        </w:rPr>
        <w:t xml:space="preserve"> More advanced methodologies utilize soft ranking via regularization or graph-based consistency constraints. By computing Spearman's rank correlation across large, automatically generated cross-task contrast sets, the model learns to maintain consistent relative predictions even when the input text is subjected to adversarial perturbations or domain shifts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these mathematical constraints in Bengali multi-task hate speech detection would drastically reduce the contradiction rate, ensuring that moderation actions triggered by the system are logically sound, interpretably coherent, and robust against adversarial manipulation.</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Gap 2 (G2): Establishing Faithfulness Evaluation for Generative Explanations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desire for algorithmic transparency and human-interpretable moderation has driven the evolution of Explainable AI (XAI) in hate speech detection. Initially, explainability was achieved through post-hoc, token-level attribution methods. Frameworks like DeepHateExplainer utilized Layer-wise Relevance Propagation (LRP) and sensitivity analysis to map the final classification decision backward through the network, assigning a continuous relevance score to each input token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While effective at identifying which specific lexical items (e.g., a localized slur) triggered a flag, token attribution inherently fails to provide semantic context. It cannot explain </w:t>
      </w:r>
      <w:r w:rsidDel="00000000" w:rsidR="00000000" w:rsidRPr="00000000">
        <w:rPr>
          <w:rFonts w:ascii="Google Sans" w:cs="Google Sans" w:eastAsia="Google Sans" w:hAnsi="Google Sans"/>
          <w:i w:val="1"/>
          <w:iCs w:val="1"/>
          <w:color w:val="1f1f1f"/>
          <w:rtl w:val="0"/>
        </w:rPr>
        <w:t xml:space="preserve">why</w:t>
      </w:r>
      <w:r w:rsidDel="00000000" w:rsidR="00000000" w:rsidRPr="00000000">
        <w:rPr>
          <w:rFonts w:ascii="Google Sans" w:cs="Google Sans" w:eastAsia="Google Sans" w:hAnsi="Google Sans"/>
          <w:color w:val="1f1f1f"/>
          <w:rtl w:val="0"/>
        </w:rPr>
        <w:t xml:space="preserve"> a word is offensive within a specific sociocultural dynamic, nor can it articulate the complex social hierarchies underlying implicit hate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limitation fueled the transition toward generative explainability, wherein a sequence-to-sequence model or LLM produces a free-text, natural language rationale justifying its classification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BanHADEX dataset exemplifies this, providing human-authored supervised targets for explanation generation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the deployment of generative rationales introduces a severe analytical vulnerability: the divergence between linguistic plausibility and algorithmic faithfulness.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Plausibility Versus Faithfulness Divergence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LLM trained to generate rationales operates primarily to maximize the fluency and semantic likelihood of the output text sequence. Consequently, a model can easily produce an explanation that sounds highly convincing, culturally aware, and grammatically flawless (highly </w:t>
      </w:r>
      <w:r w:rsidDel="00000000" w:rsidR="00000000" w:rsidRPr="00000000">
        <w:rPr>
          <w:rFonts w:ascii="Google Sans" w:cs="Google Sans" w:eastAsia="Google Sans" w:hAnsi="Google Sans"/>
          <w:i w:val="1"/>
          <w:iCs w:val="1"/>
          <w:color w:val="1f1f1f"/>
          <w:rtl w:val="0"/>
        </w:rPr>
        <w:t xml:space="preserve">plausible</w:t>
      </w:r>
      <w:r w:rsidDel="00000000" w:rsidR="00000000" w:rsidRPr="00000000">
        <w:rPr>
          <w:rFonts w:ascii="Google Sans" w:cs="Google Sans" w:eastAsia="Google Sans" w:hAnsi="Google Sans"/>
          <w:color w:val="1f1f1f"/>
          <w:rtl w:val="0"/>
        </w:rPr>
        <w:t xml:space="preserve">) to a human auditor, even if that explanation has absolutely no causal relationship to the mathematical computations that actually produced the classification label (highly </w:t>
      </w:r>
      <w:r w:rsidDel="00000000" w:rsidR="00000000" w:rsidRPr="00000000">
        <w:rPr>
          <w:rFonts w:ascii="Google Sans" w:cs="Google Sans" w:eastAsia="Google Sans" w:hAnsi="Google Sans"/>
          <w:i w:val="1"/>
          <w:iCs w:val="1"/>
          <w:color w:val="1f1f1f"/>
          <w:rtl w:val="0"/>
        </w:rPr>
        <w:t xml:space="preserve">unfaithful</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Generative models frequently hallucinate justifications, anchoring their rationales in syntactic artifacts or pre-trained biases rather than the actual feature representations used by the classification head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Currently, there is a total absence of formal faithfulness evaluation for generative Bengali hate speech explanations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evaluation of generated text predominantly relies on text-similarity metrics such as BLEU, ROUGE, or BERTScore, which measure surface-level overlap with human ground truth but offer zero visibility into the internal integrity of the model's logic</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Formulations of Faithfulness Metrics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that generated Bengali rationales are not merely fluent hallucinations, systems must implement rigorous perturbation-based faithfulness metrics: Comprehensiveness, Sufficiency, and Area Over the Perturbation Curve (AOPC)</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Comprehensiveness:</w:t>
      </w:r>
      <w:r w:rsidDel="00000000" w:rsidR="00000000" w:rsidRPr="00000000">
        <w:rPr>
          <w:rFonts w:ascii="Google Sans" w:cs="Google Sans" w:eastAsia="Google Sans" w:hAnsi="Google Sans"/>
          <w:color w:val="1f1f1f"/>
          <w:rtl w:val="0"/>
        </w:rPr>
        <w:t xml:space="preserve"> This metric assesses whether the tokens identified by the generative rationale are truly the driving force behind the model's prediction. It is calculated by identifying the specific tokens highlighted in the generated rationale, removing those tokens from the original input text, and passing the truncated text back through the classifier. If the rationale is faithful, removing those "critical" tokens should result in a massive drop in the predicted probability of the original class. A high comprehensiveness score indicates that the rationale accurately captured the features essential to the model's algorithmic decision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Sufficiency:</w:t>
      </w:r>
      <w:r w:rsidDel="00000000" w:rsidR="00000000" w:rsidRPr="00000000">
        <w:rPr>
          <w:rFonts w:ascii="Google Sans" w:cs="Google Sans" w:eastAsia="Google Sans" w:hAnsi="Google Sans"/>
          <w:color w:val="1f1f1f"/>
          <w:rtl w:val="0"/>
        </w:rPr>
        <w:t xml:space="preserve"> Conversely, sufficiency evaluates whether the information contained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within the rationale is adequate for the model to make its prediction. Here, all tokens </w:t>
      </w:r>
      <w:r w:rsidDel="00000000" w:rsidR="00000000" w:rsidRPr="00000000">
        <w:rPr>
          <w:rFonts w:ascii="Google Sans" w:cs="Google Sans" w:eastAsia="Google Sans" w:hAnsi="Google Sans"/>
          <w:i w:val="1"/>
          <w:iCs w:val="1"/>
          <w:color w:val="1f1f1f"/>
          <w:rtl w:val="0"/>
        </w:rPr>
        <w:t xml:space="preserve">except</w:t>
      </w:r>
      <w:r w:rsidDel="00000000" w:rsidR="00000000" w:rsidRPr="00000000">
        <w:rPr>
          <w:rFonts w:ascii="Google Sans" w:cs="Google Sans" w:eastAsia="Google Sans" w:hAnsi="Google Sans"/>
          <w:color w:val="1f1f1f"/>
          <w:rtl w:val="0"/>
        </w:rPr>
        <w:t xml:space="preserve"> those highlighted in the rationale are stripped from the input. If the model can still predict the original label with high confidence using only the isolated rationale tokens, the rationale is deemed mathematically sufficient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Area Over the Perturbation Curve (AOPC):</w:t>
      </w:r>
      <w:r w:rsidDel="00000000" w:rsidR="00000000" w:rsidRPr="00000000">
        <w:rPr>
          <w:rFonts w:ascii="Google Sans" w:cs="Google Sans" w:eastAsia="Google Sans" w:hAnsi="Google Sans"/>
          <w:color w:val="1f1f1f"/>
          <w:rtl w:val="0"/>
        </w:rPr>
        <w:t xml:space="preserve"> Because evaluating exact rationale tokens can be highly sensitive to sequence length, AOPC offers a robust aggregate measure. It defines bins of salient tokens (e.g., top 1%, 5%, 10%, 20%, 50%) to be sequentially erased from the input based on their relevance scoring, computing the average degradation in predictive confidence across all deletion steps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Step-by-Step Reasoning Frameworks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integrating these metrics into the evaluation pipeline, researchers can quantify the "faithfulness-plausibility gap" in Bengali models. A system must not only achieve high ROUGE scores against BanHADEX ground truths but must also demonstrate high AOPC to be considered truly interpretable. Frameworks such as HARE (Explainable Hate Speech Detection with Step-by-Step Reasoning) offer structural templates for aligning the generative pathway tightly with the classification pathway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HARE methodology employs a two-stage extraction process: in the first stage, the model extracts both the class (</w:t>
      </w:r>
      <w:r w:rsidDel="00000000" w:rsidR="00000000" w:rsidRPr="00000000">
        <w:rPr>
          <w:rFonts w:ascii="Google Sans" w:cs="Google Sans" w:eastAsia="Google Sans" w:hAnsi="Google Sans"/>
          <w:color w:val="1f1f1f"/>
        </w:rPr>
        <w:drawing>
          <wp:inline distB="19050" distT="19050" distL="19050" distR="19050">
            <wp:extent cx="154067" cy="246507"/>
            <wp:effectExtent b="0" l="0" r="0" t="0"/>
            <wp:docPr id="27"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154067" cy="2465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rationale (</w:t>
      </w:r>
      <w:r w:rsidDel="00000000" w:rsidR="00000000" w:rsidRPr="00000000">
        <w:rPr>
          <w:rFonts w:ascii="Google Sans" w:cs="Google Sans" w:eastAsia="Google Sans" w:hAnsi="Google Sans"/>
          <w:color w:val="1f1f1f"/>
        </w:rPr>
        <w:drawing>
          <wp:inline distB="19050" distT="19050" distL="19050" distR="19050">
            <wp:extent cx="150138" cy="24022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50138" cy="240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from the post (</w:t>
      </w:r>
      <w:r w:rsidDel="00000000" w:rsidR="00000000" w:rsidRPr="00000000">
        <w:rPr>
          <w:rFonts w:ascii="Google Sans" w:cs="Google Sans" w:eastAsia="Google Sans" w:hAnsi="Google Sans"/>
          <w:color w:val="1f1f1f"/>
        </w:rPr>
        <w:drawing>
          <wp:inline distB="19050" distT="19050" distL="19050" distR="19050">
            <wp:extent cx="152995" cy="244792"/>
            <wp:effectExtent b="0" l="0" r="0" t="0"/>
            <wp:docPr id="2"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152995" cy="2447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represented as </w:t>
      </w:r>
      <w:r w:rsidDel="00000000" w:rsidR="00000000" w:rsidRPr="00000000">
        <w:rPr>
          <w:rFonts w:ascii="Google Sans" w:cs="Google Sans" w:eastAsia="Google Sans" w:hAnsi="Google Sans"/>
          <w:color w:val="1f1f1f"/>
        </w:rPr>
        <w:drawing>
          <wp:inline distB="19050" distT="19050" distL="19050" distR="19050">
            <wp:extent cx="959053" cy="243569"/>
            <wp:effectExtent b="0" l="0" r="0" t="0"/>
            <wp:docPr id="3"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959053" cy="2435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the second stage, the model is prompted to predict the class given only the extracted rationale and the post, denoted as </w:t>
      </w:r>
      <w:r w:rsidDel="00000000" w:rsidR="00000000" w:rsidRPr="00000000">
        <w:rPr>
          <w:rFonts w:ascii="Google Sans" w:cs="Google Sans" w:eastAsia="Google Sans" w:hAnsi="Google Sans"/>
          <w:color w:val="1f1f1f"/>
        </w:rPr>
        <w:drawing>
          <wp:inline distB="19050" distT="19050" distL="19050" distR="19050">
            <wp:extent cx="850106" cy="245076"/>
            <wp:effectExtent b="0" l="0" r="0" t="0"/>
            <wp:docPr id="4"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850106" cy="245076"/>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dual-stage methodology explicitly forces the classification outcome to be logically dependent on the generated reasoning, thereby mathematically guaranteeing faithfulness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Gap 3 (G3): Unifying Multi-Task Topologies with Generative Rationales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objective of automated content moderation is a unified system that comprehensively labels an infraction across all relevant axes (Type, Target, Severity) while simultaneously generating a faithful, human-readable justification suitable for audit by human reviewers. Currently, a structural impasse exists in Bengali NLP research: no single system successfully combines comprehensive multi-task prediction with generative explanation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Taxonomic Misalignment Between Corpora</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barrier to this unification is the disjoint nature of available supervisory data. The BanglaMultiHate dataset provides the necessary labels for robust MTL (comprising ~51,000 instances with Type, Target, and Severity labels) but completely lacks explanatory text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Conversely, the BanHADEX dataset provides high-quality human explanations for ~19,000 instances but utilizes a different hate-type taxonomy and, crucially, lacks Severity annotations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Consequently, training a model to perform all four tasks simultaneously requires either prohibitively expensive manual re-annotation or advanced cross-dataset alignment techniques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Proposals for Joint Optimization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bridge this gap, an integrated architecture must be constructed that fuses a shared encoder with both discriminative multi-task heads and a dedicated sequence-to-sequence generation head.</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 highly viable approach is to rely on </w:t>
      </w:r>
      <w:r w:rsidDel="00000000" w:rsidR="00000000" w:rsidRPr="00000000">
        <w:rPr>
          <w:rFonts w:ascii="Google Sans" w:cs="Google Sans" w:eastAsia="Google Sans" w:hAnsi="Google Sans"/>
          <w:b w:val="1"/>
          <w:bCs w:val="1"/>
          <w:color w:val="1f1f1f"/>
          <w:rtl w:val="0"/>
        </w:rPr>
        <w:t xml:space="preserve">Silver-Standard Rationalization</w:t>
      </w:r>
      <w:r w:rsidDel="00000000" w:rsidR="00000000" w:rsidRPr="00000000">
        <w:rPr>
          <w:rFonts w:ascii="Google Sans" w:cs="Google Sans" w:eastAsia="Google Sans" w:hAnsi="Google Sans"/>
          <w:color w:val="1f1f1f"/>
          <w:rtl w:val="0"/>
        </w:rPr>
        <w:t xml:space="preserve">. Under this paradigm, a frontier LLM (e.g., GPT-4o or Gemini 2.5 Flash) is deployed in a few-shot capacity to generate synthetic, structured explanations for the entirety of the BanglaMultiHate dataset. These synthetic explanations are explicitly conditioned on the existing ground-truth labels for Type, Target, and Severity. A subset of these synthetic rationales is manually validated by expert annotators to ensure quality, effectively converting BanglaMultiHate into a pseudo-complete, four-dimensional dataset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aligned data, the model architecture can adopt an </w:t>
      </w:r>
      <w:r w:rsidDel="00000000" w:rsidR="00000000" w:rsidRPr="00000000">
        <w:rPr>
          <w:rFonts w:ascii="Google Sans" w:cs="Google Sans" w:eastAsia="Google Sans" w:hAnsi="Google Sans"/>
          <w:b w:val="1"/>
          <w:bCs w:val="1"/>
          <w:color w:val="1f1f1f"/>
          <w:rtl w:val="0"/>
        </w:rPr>
        <w:t xml:space="preserve">Explanation-Guided LoRA Fine-Tuning</w:t>
      </w:r>
      <w:r w:rsidDel="00000000" w:rsidR="00000000" w:rsidRPr="00000000">
        <w:rPr>
          <w:rFonts w:ascii="Google Sans" w:cs="Google Sans" w:eastAsia="Google Sans" w:hAnsi="Google Sans"/>
          <w:color w:val="1f1f1f"/>
          <w:rtl w:val="0"/>
        </w:rPr>
        <w:t xml:space="preserve"> strategy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Using a lightweight open-weight LLM (such as LLaMA-3 8B or Qwen 7B) adapted for Bengali via LoRA, the training objective jointly optimizes the cross-entropy losses of the multi-task classification heads alongside the autoregressive next-token prediction loss of the explanation generation.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unified loss function would be formulated as: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037296" cy="243863"/>
            <wp:effectExtent b="0" l="0" r="0" t="0"/>
            <wp:docPr id="5"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037296" cy="243863"/>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the discriminative heads utilize focal loss to manage extreme class imbalances (such as the scarcity of "Sexism" or "Severe" labels), while </w:t>
      </w:r>
      <w:r w:rsidDel="00000000" w:rsidR="00000000" w:rsidRPr="00000000">
        <w:rPr>
          <w:rFonts w:ascii="Google Sans" w:cs="Google Sans" w:eastAsia="Google Sans" w:hAnsi="Google Sans"/>
          <w:color w:val="1f1f1f"/>
        </w:rPr>
        <w:drawing>
          <wp:inline distB="19050" distT="19050" distL="19050" distR="19050">
            <wp:extent cx="707350" cy="246035"/>
            <wp:effectExtent b="0" l="0" r="0" t="0"/>
            <wp:docPr id="6"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707350" cy="2460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applies a standard causal language modeling loss over the explanation tokens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inclusion of the </w:t>
      </w:r>
      <w:r w:rsidDel="00000000" w:rsidR="00000000" w:rsidRPr="00000000">
        <w:rPr>
          <w:rFonts w:ascii="Google Sans" w:cs="Google Sans" w:eastAsia="Google Sans" w:hAnsi="Google Sans"/>
          <w:color w:val="1f1f1f"/>
        </w:rPr>
        <w:drawing>
          <wp:inline distB="19050" distT="19050" distL="19050" distR="19050">
            <wp:extent cx="854512" cy="244146"/>
            <wp:effectExtent b="0" l="0" r="0" t="0"/>
            <wp:docPr id="7"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854512" cy="2441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penalty guarantees that the discriminative heads do not output logically contradictory parameters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coupling this joint optimization with the rigorous Comprehensiveness and Sufficiency evaluation protocols previously discussed, researchers can ensure that the generated text is mathematically anchored to the multi-task predictions. This creates a closed-loop system where the generative rationale serves as an interpretable, faithful window directly into the latent feature space that determined the severity and target of the hate speech</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Literature Matrix: Downloadable Resources for Gaps 1, 2, and 3</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facilitate the immediate development of systems addressing these critical vulnerabilities, the following matrix catalogs seminal research papers corresponding directly to the identified gaps (G1: Cross-Task Consistency, G2: Faithfulness Evaluation, G3: Unified Multi-Task/XAI). Each entry provides the specific relevance to Bengali NLP and the direct URL for download.</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Gap Addressed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Research Paper / Methodology Focus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Relevance to Bengali NLP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Downloadable Link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G1</w:t>
            </w:r>
            <w:r w:rsidDel="00000000" w:rsidR="00000000" w:rsidRPr="00000000">
              <w:rPr>
                <w:rFonts w:ascii="Google Sans" w:cs="Google Sans" w:eastAsia="Google Sans" w:hAnsi="Google Sans"/>
                <w:color w:val="1f1f1f"/>
                <w:rtl w:val="0"/>
              </w:rPr>
              <w:t xml:space="preserve"> (Cross-Task Consistency)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Robust learning through cross-task consistency</w:t>
            </w:r>
            <w:r w:rsidDel="00000000" w:rsidR="00000000" w:rsidRPr="00000000">
              <w:rPr>
                <w:rFonts w:ascii="Google Sans" w:cs="Google Sans" w:eastAsia="Google Sans" w:hAnsi="Google Sans"/>
                <w:color w:val="1f1f1f"/>
                <w:rtl w:val="0"/>
              </w:rPr>
              <w:t xml:space="preserve"> (Zamir et al., 2020)</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Provides the foundational mathematics for enforcing cross-task consistency constraints over arbitrary tasks, applicable to preventing contradiction between Type/Severity heads in Bengali.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u w:val="single"/>
              </w:rPr>
            </w:pPr>
            <w:hyperlink r:id="rId32">
              <w:r w:rsidDel="00000000" w:rsidR="00000000" w:rsidRPr="00000000">
                <w:rPr>
                  <w:rFonts w:ascii="Google Sans" w:cs="Google Sans" w:eastAsia="Google Sans" w:hAnsi="Google Sans"/>
                  <w:color w:val="000000"/>
                  <w:u w:val="single"/>
                  <w:rtl w:val="0"/>
                </w:rPr>
                <w:t xml:space="preserve">https://arxiv.org/abs/2006.04096</w:t>
              </w:r>
            </w:hyperlink>
            <w:r w:rsidDel="00000000" w:rsidR="00000000" w:rsidRPr="00000000">
              <w:rPr>
                <w:rFonts w:ascii="Google Sans" w:cs="Google Sans" w:eastAsia="Google Sans" w:hAnsi="Google Sans"/>
                <w:color w:val="1f1f1f"/>
                <w:rtl w:val="0"/>
              </w:rPr>
              <w:t xml:space="preserve"> or </w:t>
            </w:r>
            <w:hyperlink r:id="rId33">
              <w:r w:rsidDel="00000000" w:rsidR="00000000" w:rsidRPr="00000000">
                <w:rPr>
                  <w:rFonts w:ascii="Google Sans" w:cs="Google Sans" w:eastAsia="Google Sans" w:hAnsi="Google Sans"/>
                  <w:color w:val="000000"/>
                  <w:u w:val="single"/>
                  <w:rtl w:val="0"/>
                </w:rPr>
                <w:t xml:space="preserve">https://proceedings.mlr.press/v119/standley20a/standley20a.pdf</w:t>
              </w:r>
            </w:hyperlink>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G1</w:t>
            </w:r>
            <w:r w:rsidDel="00000000" w:rsidR="00000000" w:rsidRPr="00000000">
              <w:rPr>
                <w:rFonts w:ascii="Google Sans" w:cs="Google Sans" w:eastAsia="Google Sans" w:hAnsi="Google Sans"/>
                <w:color w:val="1f1f1f"/>
                <w:rtl w:val="0"/>
              </w:rPr>
              <w:t xml:space="preserve"> (Cross-Task Consistency)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Cross-Task Consistency Learning Framework for Multi-Task Learning</w:t>
            </w:r>
            <w:r w:rsidDel="00000000" w:rsidR="00000000" w:rsidRPr="00000000">
              <w:rPr>
                <w:rFonts w:ascii="Google Sans" w:cs="Google Sans" w:eastAsia="Google Sans" w:hAnsi="Google Sans"/>
                <w:color w:val="1f1f1f"/>
                <w:rtl w:val="0"/>
              </w:rPr>
              <w:t xml:space="preserve"> (Nakano et al., 2021)</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Proposes alignment and cross-task consistency losses inspired by contrastive learning to enforce consistent predictions across multi-task networks.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u w:val="single"/>
              </w:rPr>
            </w:pPr>
            <w:hyperlink r:id="rId34">
              <w:r w:rsidDel="00000000" w:rsidR="00000000" w:rsidRPr="00000000">
                <w:rPr>
                  <w:rFonts w:ascii="Google Sans" w:cs="Google Sans" w:eastAsia="Google Sans" w:hAnsi="Google Sans"/>
                  <w:color w:val="000000"/>
                  <w:u w:val="single"/>
                  <w:rtl w:val="0"/>
                </w:rPr>
                <w:t xml:space="preserve">https://arxiv.org/abs/2111.14122</w:t>
              </w:r>
            </w:hyperlink>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G1</w:t>
            </w:r>
            <w:r w:rsidDel="00000000" w:rsidR="00000000" w:rsidRPr="00000000">
              <w:rPr>
                <w:rFonts w:ascii="Google Sans" w:cs="Google Sans" w:eastAsia="Google Sans" w:hAnsi="Google Sans"/>
                <w:color w:val="1f1f1f"/>
                <w:rtl w:val="0"/>
              </w:rPr>
              <w:t xml:space="preserve"> (Cross-Task Consistency)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Constrained multi-task learning for bridging resolution</w:t>
            </w:r>
            <w:r w:rsidDel="00000000" w:rsidR="00000000" w:rsidRPr="00000000">
              <w:rPr>
                <w:rFonts w:ascii="Google Sans" w:cs="Google Sans" w:eastAsia="Google Sans" w:hAnsi="Google Sans"/>
                <w:color w:val="1f1f1f"/>
                <w:rtl w:val="0"/>
              </w:rPr>
              <w:t xml:space="preserve"> (NLP focus)</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Examines soft cross-task consistency constraints specifically within Natural Language Processing, guiding the learning process across related linguistic outputs.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u w:val="single"/>
              </w:rPr>
            </w:pPr>
            <w:hyperlink r:id="rId35">
              <w:r w:rsidDel="00000000" w:rsidR="00000000" w:rsidRPr="00000000">
                <w:rPr>
                  <w:rFonts w:ascii="Google Sans" w:cs="Google Sans" w:eastAsia="Google Sans" w:hAnsi="Google Sans"/>
                  <w:color w:val="000000"/>
                  <w:u w:val="single"/>
                  <w:rtl w:val="0"/>
                </w:rPr>
                <w:t xml:space="preserve">https://aclanthology.org/2022.acl-long.56.pdf</w:t>
              </w:r>
            </w:hyperlink>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G2</w:t>
            </w:r>
            <w:r w:rsidDel="00000000" w:rsidR="00000000" w:rsidRPr="00000000">
              <w:rPr>
                <w:rFonts w:ascii="Google Sans" w:cs="Google Sans" w:eastAsia="Google Sans" w:hAnsi="Google Sans"/>
                <w:color w:val="1f1f1f"/>
                <w:rtl w:val="0"/>
              </w:rPr>
              <w:t xml:space="preserve"> (Faithfulness Evaluation)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HARE: Explainable Hate Speech Detection with Step-by-Step Reasoning</w:t>
            </w:r>
            <w:r w:rsidDel="00000000" w:rsidR="00000000" w:rsidRPr="00000000">
              <w:rPr>
                <w:rFonts w:ascii="Google Sans" w:cs="Google Sans" w:eastAsia="Google Sans" w:hAnsi="Google Sans"/>
                <w:color w:val="1f1f1f"/>
                <w:rtl w:val="0"/>
              </w:rPr>
              <w:t xml:space="preserve"> (Yang et al., 2023)</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Demonstrates how LLM-generated free-text rationales can be forced into a causal dependency with classification outputs, verifying faithfulness.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u w:val="single"/>
              </w:rPr>
            </w:pPr>
            <w:hyperlink r:id="rId36">
              <w:r w:rsidDel="00000000" w:rsidR="00000000" w:rsidRPr="00000000">
                <w:rPr>
                  <w:rFonts w:ascii="Google Sans" w:cs="Google Sans" w:eastAsia="Google Sans" w:hAnsi="Google Sans"/>
                  <w:color w:val="000000"/>
                  <w:u w:val="single"/>
                  <w:rtl w:val="0"/>
                </w:rPr>
                <w:t xml:space="preserve">https://aclanthology.org/2023.findings-emnlp.365.pdf</w:t>
              </w:r>
            </w:hyperlink>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G2</w:t>
            </w:r>
            <w:r w:rsidDel="00000000" w:rsidR="00000000" w:rsidRPr="00000000">
              <w:rPr>
                <w:rFonts w:ascii="Google Sans" w:cs="Google Sans" w:eastAsia="Google Sans" w:hAnsi="Google Sans"/>
                <w:color w:val="1f1f1f"/>
                <w:rtl w:val="0"/>
              </w:rPr>
              <w:t xml:space="preserve"> (Faithfulness Evaluation)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Evaluating Faithfulness in Free-Text Rationale Generation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22, 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Explores the divergence between fluency (plausibility) and mathematical anchoring (faithfulness) in LLM rationale generation.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u w:val="single"/>
              </w:rPr>
            </w:pPr>
            <w:hyperlink r:id="rId37">
              <w:r w:rsidDel="00000000" w:rsidR="00000000" w:rsidRPr="00000000">
                <w:rPr>
                  <w:rFonts w:ascii="Google Sans" w:cs="Google Sans" w:eastAsia="Google Sans" w:hAnsi="Google Sans"/>
                  <w:color w:val="000000"/>
                  <w:u w:val="single"/>
                  <w:rtl w:val="0"/>
                </w:rPr>
                <w:t xml:space="preserve">https://arxiv.org/pdf/2409.17774</w:t>
              </w:r>
            </w:hyperlink>
            <w:r w:rsidDel="00000000" w:rsidR="00000000" w:rsidRPr="00000000">
              <w:rPr>
                <w:rFonts w:ascii="Google Sans" w:cs="Google Sans" w:eastAsia="Google Sans" w:hAnsi="Google Sans"/>
                <w:color w:val="1f1f1f"/>
                <w:rtl w:val="0"/>
              </w:rPr>
              <w:t xml:space="preserve"> and </w:t>
            </w:r>
            <w:hyperlink r:id="rId38">
              <w:r w:rsidDel="00000000" w:rsidR="00000000" w:rsidRPr="00000000">
                <w:rPr>
                  <w:rFonts w:ascii="Google Sans" w:cs="Google Sans" w:eastAsia="Google Sans" w:hAnsi="Google Sans"/>
                  <w:color w:val="000000"/>
                  <w:u w:val="single"/>
                  <w:rtl w:val="0"/>
                </w:rPr>
                <w:t xml:space="preserve">https://arxiv.org/html/2605.19274v1</w:t>
              </w:r>
            </w:hyperlink>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G2</w:t>
            </w:r>
            <w:r w:rsidDel="00000000" w:rsidR="00000000" w:rsidRPr="00000000">
              <w:rPr>
                <w:rFonts w:ascii="Google Sans" w:cs="Google Sans" w:eastAsia="Google Sans" w:hAnsi="Google Sans"/>
                <w:color w:val="1f1f1f"/>
                <w:rtl w:val="0"/>
              </w:rPr>
              <w:t xml:space="preserve"> (Faithfulness Evaluation)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AOPC, Comprehensiveness, and Sufficiency Metrics for Feature Attribution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24, 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Defines the rigorous perturbation-based equations required to calculate AOPC and verify whether generated text truly drove the model's decision.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u w:val="single"/>
              </w:rPr>
            </w:pPr>
            <w:hyperlink r:id="rId39">
              <w:r w:rsidDel="00000000" w:rsidR="00000000" w:rsidRPr="00000000">
                <w:rPr>
                  <w:rFonts w:ascii="Google Sans" w:cs="Google Sans" w:eastAsia="Google Sans" w:hAnsi="Google Sans"/>
                  <w:color w:val="000000"/>
                  <w:u w:val="single"/>
                  <w:rtl w:val="0"/>
                </w:rPr>
                <w:t xml:space="preserve">https://arxiv.org/pdf/2203.00056</w:t>
              </w:r>
            </w:hyperlink>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G3</w:t>
            </w:r>
            <w:r w:rsidDel="00000000" w:rsidR="00000000" w:rsidRPr="00000000">
              <w:rPr>
                <w:rFonts w:ascii="Google Sans" w:cs="Google Sans" w:eastAsia="Google Sans" w:hAnsi="Google Sans"/>
                <w:color w:val="1f1f1f"/>
                <w:rtl w:val="0"/>
              </w:rPr>
              <w:t xml:space="preserve"> (Unified Topologies)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LLM-Based Multi-Task Bangla Hate Speech Detection: Type, Severity, and Target</w:t>
            </w:r>
            <w:r w:rsidDel="00000000" w:rsidR="00000000" w:rsidRPr="00000000">
              <w:rPr>
                <w:rFonts w:ascii="Google Sans" w:cs="Google Sans" w:eastAsia="Google Sans" w:hAnsi="Google Sans"/>
                <w:color w:val="1f1f1f"/>
                <w:rtl w:val="0"/>
              </w:rPr>
              <w:t xml:space="preserve"> (Hasan et al., 2025/2026)</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Introduces the BanglaMultiHate dataset, establishing the 3D multi-task baseline that must be merged with generative XAI capabilities.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u w:val="single"/>
              </w:rPr>
            </w:pPr>
            <w:hyperlink r:id="rId40">
              <w:r w:rsidDel="00000000" w:rsidR="00000000" w:rsidRPr="00000000">
                <w:rPr>
                  <w:rFonts w:ascii="Google Sans" w:cs="Google Sans" w:eastAsia="Google Sans" w:hAnsi="Google Sans"/>
                  <w:color w:val="000000"/>
                  <w:u w:val="single"/>
                  <w:rtl w:val="0"/>
                </w:rPr>
                <w:t xml:space="preserve">https://arxiv.org/pdf/2510.01995</w:t>
              </w:r>
            </w:hyperlink>
            <w:r w:rsidDel="00000000" w:rsidR="00000000" w:rsidRPr="00000000">
              <w:rPr>
                <w:rFonts w:ascii="Google Sans" w:cs="Google Sans" w:eastAsia="Google Sans" w:hAnsi="Google Sans"/>
                <w:color w:val="1f1f1f"/>
                <w:rtl w:val="0"/>
              </w:rPr>
              <w:t xml:space="preserve"> and </w:t>
            </w:r>
            <w:hyperlink r:id="rId41">
              <w:r w:rsidDel="00000000" w:rsidR="00000000" w:rsidRPr="00000000">
                <w:rPr>
                  <w:rFonts w:ascii="Google Sans" w:cs="Google Sans" w:eastAsia="Google Sans" w:hAnsi="Google Sans"/>
                  <w:color w:val="000000"/>
                  <w:u w:val="single"/>
                  <w:rtl w:val="0"/>
                </w:rPr>
                <w:t xml:space="preserve">https://aclanthology.org/2026.acl-long.1565.pdf</w:t>
              </w:r>
            </w:hyperlink>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G3</w:t>
            </w:r>
            <w:r w:rsidDel="00000000" w:rsidR="00000000" w:rsidRPr="00000000">
              <w:rPr>
                <w:rFonts w:ascii="Google Sans" w:cs="Google Sans" w:eastAsia="Google Sans" w:hAnsi="Google Sans"/>
                <w:color w:val="1f1f1f"/>
                <w:rtl w:val="0"/>
              </w:rPr>
              <w:t xml:space="preserve"> (Unified Topologies)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BANHADEX: Towards Explainable Hate Speech Detection in Bangla using Human Annotated Explanation</w:t>
            </w:r>
            <w:r w:rsidDel="00000000" w:rsidR="00000000" w:rsidRPr="00000000">
              <w:rPr>
                <w:rFonts w:ascii="Google Sans" w:cs="Google Sans" w:eastAsia="Google Sans" w:hAnsi="Google Sans"/>
                <w:color w:val="1f1f1f"/>
                <w:rtl w:val="0"/>
              </w:rPr>
              <w:t xml:space="preserve"> (Raquib et al., 2026)</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Provides the premier Bengali dataset for explanation-guided LoRA fine-tuning, demonstrating the feasibility of joint generative/discriminative optimization.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u w:val="single"/>
              </w:rPr>
            </w:pPr>
            <w:hyperlink r:id="rId42">
              <w:r w:rsidDel="00000000" w:rsidR="00000000" w:rsidRPr="00000000">
                <w:rPr>
                  <w:rFonts w:ascii="Google Sans" w:cs="Google Sans" w:eastAsia="Google Sans" w:hAnsi="Google Sans"/>
                  <w:color w:val="000000"/>
                  <w:u w:val="single"/>
                  <w:rtl w:val="0"/>
                </w:rPr>
                <w:t xml:space="preserve">https://aclanthology.org/2026.acl-long.2022.pdf</w:t>
              </w:r>
            </w:hyperlink>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G3</w:t>
            </w:r>
            <w:r w:rsidDel="00000000" w:rsidR="00000000" w:rsidRPr="00000000">
              <w:rPr>
                <w:rFonts w:ascii="Google Sans" w:cs="Google Sans" w:eastAsia="Google Sans" w:hAnsi="Google Sans"/>
                <w:color w:val="1f1f1f"/>
                <w:rtl w:val="0"/>
              </w:rPr>
              <w:t xml:space="preserve"> (Unified Topologies)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AngryBERT: Joint Learning Target and Emotion for Hate Speech Detection</w:t>
            </w:r>
            <w:r w:rsidDel="00000000" w:rsidR="00000000" w:rsidRPr="00000000">
              <w:rPr>
                <w:rFonts w:ascii="Google Sans" w:cs="Google Sans" w:eastAsia="Google Sans" w:hAnsi="Google Sans"/>
                <w:color w:val="1f1f1f"/>
                <w:rtl w:val="0"/>
              </w:rPr>
              <w:t xml:space="preserve"> (Awal et al., 2021)</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Illustrates the joint optimization of multi-task targets (hate, target, emotion), providing an architectural template for adding rationale generation.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u w:val="single"/>
              </w:rPr>
            </w:pPr>
            <w:hyperlink r:id="rId43">
              <w:r w:rsidDel="00000000" w:rsidR="00000000" w:rsidRPr="00000000">
                <w:rPr>
                  <w:rFonts w:ascii="Google Sans" w:cs="Google Sans" w:eastAsia="Google Sans" w:hAnsi="Google Sans"/>
                  <w:color w:val="000000"/>
                  <w:u w:val="single"/>
                  <w:rtl w:val="0"/>
                </w:rPr>
                <w:t xml:space="preserve">http://arxiv.org/pdf/2103.11800</w:t>
              </w:r>
            </w:hyperlink>
            <w:r w:rsidDel="00000000" w:rsidR="00000000" w:rsidRPr="00000000">
              <w:rPr>
                <w:rtl w:val="0"/>
              </w:rPr>
            </w:r>
          </w:p>
        </w:tc>
      </w:tr>
    </w:tbl>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automated moderation of Bengali online platforms has advanced significantly, moving from rudimentary binary filters to highly sophisticated multi-task learning frameworks driven by deep transformer networks and Large Language Models. Datasets like BanglaMultiHate and BanHADEX have pushed the boundaries of what models are expected to understand, demanding simultaneous classification across type, target, and severity alongside natural language rationales. However, the integrity and algorithmic transparency of these systems remain compromised by isolated developmental silos and a lack of rigorous internal consistency constraints.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state-of-the-art robustness, regulatory compliance, and true interpretability, future architectures must synthesize three distinct operational paradigms. First, cross-task consistency constraints—such as probabilistic compatibility matrices or KL-divergence penalties—must be natively embedded into objective functions to eradicate logically contradictory multi-task predictions. Second, the field must aggressively adopt perturbation-based metrics, primarily Comprehensiveness, Sufficiency, and Area Over the Perturbation Curve (AOPC), to mathematically verify that generative explanations are faithful reflections of internal decision processes, rather than mere fluent hallucinations optimized for plausibility. Third, researchers must bridge the taxonomic misalignment between massive multi-task datasets and rationale-annotated corpora, pursuing explanation-guided joint optimization strategies.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unifying multi-dimensional classification with rigorously verified, mathematically faithful generative explainability, the computational linguistics community can deploy Bengali moderation systems that are not only highly accurate across complex dialectal variations but also inherently transparent and socially accountable.</w:t>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BIDWESH_A_Bangla_Regional_Based_Hate_Speech_Detect.pdf</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2026.acl-long.2022.pdf</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CUET_Sntx_Srfrs at BLP-2025 Task 1: Combining Hierarchical Classification and Ensemble Learning for Bengali Hate Speech Detection - ACL Anthology, </w:t>
      </w:r>
      <w:hyperlink r:id="rId44">
        <w:r w:rsidDel="00000000" w:rsidR="00000000" w:rsidRPr="00000000">
          <w:rPr>
            <w:rFonts w:ascii="Google Sans" w:cs="Google Sans" w:eastAsia="Google Sans" w:hAnsi="Google Sans"/>
            <w:color w:val="0000ee"/>
            <w:sz w:val="24"/>
            <w:szCs w:val="24"/>
            <w:u w:val="single"/>
            <w:rtl w:val="0"/>
          </w:rPr>
          <w:t xml:space="preserve">https://aclanthology.org/2025.banglalp-1.48.pdf</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LLM-Based Multi-Task Bangla Hate Speech Detection: Type, Severity, and Target - ACL Anthology, </w:t>
      </w:r>
      <w:hyperlink r:id="rId45">
        <w:r w:rsidDel="00000000" w:rsidR="00000000" w:rsidRPr="00000000">
          <w:rPr>
            <w:rFonts w:ascii="Google Sans" w:cs="Google Sans" w:eastAsia="Google Sans" w:hAnsi="Google Sans"/>
            <w:color w:val="0000ee"/>
            <w:sz w:val="24"/>
            <w:szCs w:val="24"/>
            <w:u w:val="single"/>
            <w:rtl w:val="0"/>
          </w:rPr>
          <w:t xml:space="preserve">https://aclanthology.org/2026.acl-long.1565.pdf</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research_analysis.md</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2025.banglalp-1.45.pdf</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DeepHateExplainer_Explainable_Hate_Speech_Detectio.pdf</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of BLP-2025 Task 1: Bangla Hate Speech Identification - ACL Anthology, </w:t>
      </w:r>
      <w:hyperlink r:id="rId46">
        <w:r w:rsidDel="00000000" w:rsidR="00000000" w:rsidRPr="00000000">
          <w:rPr>
            <w:rFonts w:ascii="Google Sans" w:cs="Google Sans" w:eastAsia="Google Sans" w:hAnsi="Google Sans"/>
            <w:color w:val="0000ee"/>
            <w:sz w:val="24"/>
            <w:szCs w:val="24"/>
            <w:u w:val="single"/>
            <w:rtl w:val="0"/>
          </w:rPr>
          <w:t xml:space="preserve">https://aclanthology.org/2025.banglalp-1.32.pdf</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BanHADEX: Towards Explainable HAte Speech Detection in Bangla Using Human Annotated EXplanation | Request PDF - ResearchGate, </w:t>
      </w:r>
      <w:hyperlink r:id="rId47">
        <w:r w:rsidDel="00000000" w:rsidR="00000000" w:rsidRPr="00000000">
          <w:rPr>
            <w:rFonts w:ascii="Google Sans" w:cs="Google Sans" w:eastAsia="Google Sans" w:hAnsi="Google Sans"/>
            <w:color w:val="0000ee"/>
            <w:sz w:val="24"/>
            <w:szCs w:val="24"/>
            <w:u w:val="single"/>
            <w:rtl w:val="0"/>
          </w:rPr>
          <w:t xml:space="preserve">https://www.researchgate.net/publication/408366520_BanHADEX_Towards_Explainable_HAte_Speech_Detection_in_Bangla_Using_Human_Annotated_EXplanation</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2025.banglalp-1.47.pdf</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Multi-Task Learning Meets Partial Supervision: A Computer Vision Review - ORBilu, </w:t>
      </w:r>
      <w:hyperlink r:id="rId48">
        <w:r w:rsidDel="00000000" w:rsidR="00000000" w:rsidRPr="00000000">
          <w:rPr>
            <w:rFonts w:ascii="Google Sans" w:cs="Google Sans" w:eastAsia="Google Sans" w:hAnsi="Google Sans"/>
            <w:color w:val="0000ee"/>
            <w:sz w:val="24"/>
            <w:szCs w:val="24"/>
            <w:u w:val="single"/>
            <w:rtl w:val="0"/>
          </w:rPr>
          <w:t xml:space="preserve">https://orbilu.uni.lu/bitstream/10993/61913/1/2307.14382v2.pdf</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2025.banglalp-1.48.pdf</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2025.banglalp-1.43.pdf</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2025.banglalp-1.37.pdf</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2025.banglalp-1.31.pdf</w:t>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LLM-Based Multi-Task Bangla Hate Speech Detection: Type, Severity, and Target - arXiv, </w:t>
      </w:r>
      <w:hyperlink r:id="rId49">
        <w:r w:rsidDel="00000000" w:rsidR="00000000" w:rsidRPr="00000000">
          <w:rPr>
            <w:rFonts w:ascii="Google Sans" w:cs="Google Sans" w:eastAsia="Google Sans" w:hAnsi="Google Sans"/>
            <w:color w:val="0000ee"/>
            <w:sz w:val="24"/>
            <w:szCs w:val="24"/>
            <w:u w:val="single"/>
            <w:rtl w:val="0"/>
          </w:rPr>
          <w:t xml:space="preserve">https://arxiv.org/pdf/2510.01995</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arXiv:2308.12372v1 [cs.CV] 23 Aug 2023, </w:t>
      </w:r>
      <w:hyperlink r:id="rId50">
        <w:r w:rsidDel="00000000" w:rsidR="00000000" w:rsidRPr="00000000">
          <w:rPr>
            <w:rFonts w:ascii="Google Sans" w:cs="Google Sans" w:eastAsia="Google Sans" w:hAnsi="Google Sans"/>
            <w:color w:val="0000ee"/>
            <w:sz w:val="24"/>
            <w:szCs w:val="24"/>
            <w:u w:val="single"/>
            <w:rtl w:val="0"/>
          </w:rPr>
          <w:t xml:space="preserve">https://arxiv.org/pdf/2308.12372</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Exposing and Addressing Cross-Task Inconsistency in Unified Vision-Language Models - OpenReview, </w:t>
      </w:r>
      <w:hyperlink r:id="rId51">
        <w:r w:rsidDel="00000000" w:rsidR="00000000" w:rsidRPr="00000000">
          <w:rPr>
            <w:rFonts w:ascii="Google Sans" w:cs="Google Sans" w:eastAsia="Google Sans" w:hAnsi="Google Sans"/>
            <w:color w:val="0000ee"/>
            <w:sz w:val="24"/>
            <w:szCs w:val="24"/>
            <w:u w:val="single"/>
            <w:rtl w:val="0"/>
          </w:rPr>
          <w:t xml:space="preserve">https://openreview.net/pdf/666fc7209bb34f615daf9b97315c13dd5cc9f41b.pdf</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Constrained Multi-Task Learning for Bridging Resolution - ACL Anthology, </w:t>
      </w:r>
      <w:hyperlink r:id="rId52">
        <w:r w:rsidDel="00000000" w:rsidR="00000000" w:rsidRPr="00000000">
          <w:rPr>
            <w:rFonts w:ascii="Google Sans" w:cs="Google Sans" w:eastAsia="Google Sans" w:hAnsi="Google Sans"/>
            <w:color w:val="0000ee"/>
            <w:sz w:val="24"/>
            <w:szCs w:val="24"/>
            <w:u w:val="single"/>
            <w:rtl w:val="0"/>
          </w:rPr>
          <w:t xml:space="preserve">https://aclanthology.org/2022.acl-long.56.pdf</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Magellan: Guided MCTS for Latent Space Exploration and Novelty Generation - arXiv, </w:t>
      </w:r>
      <w:hyperlink r:id="rId53">
        <w:r w:rsidDel="00000000" w:rsidR="00000000" w:rsidRPr="00000000">
          <w:rPr>
            <w:rFonts w:ascii="Google Sans" w:cs="Google Sans" w:eastAsia="Google Sans" w:hAnsi="Google Sans"/>
            <w:color w:val="0000ee"/>
            <w:sz w:val="24"/>
            <w:szCs w:val="24"/>
            <w:u w:val="single"/>
            <w:rtl w:val="0"/>
          </w:rPr>
          <w:t xml:space="preserve">https://arxiv.org/pdf/2510.21341</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HARE: Explainable Hate Speech Detection with Step-by-Step Reasoning - ACL Anthology, </w:t>
      </w:r>
      <w:hyperlink r:id="rId54">
        <w:r w:rsidDel="00000000" w:rsidR="00000000" w:rsidRPr="00000000">
          <w:rPr>
            <w:rFonts w:ascii="Google Sans" w:cs="Google Sans" w:eastAsia="Google Sans" w:hAnsi="Google Sans"/>
            <w:color w:val="0000ee"/>
            <w:sz w:val="24"/>
            <w:szCs w:val="24"/>
            <w:u w:val="single"/>
            <w:rtl w:val="0"/>
          </w:rPr>
          <w:t xml:space="preserve">https://aclanthology.org/2023.findings-emnlp.365.pdf</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Faithfulness and the Notion of Adversarial Sensitivity in NLP Explanations - arXiv, </w:t>
      </w:r>
      <w:hyperlink r:id="rId55">
        <w:r w:rsidDel="00000000" w:rsidR="00000000" w:rsidRPr="00000000">
          <w:rPr>
            <w:rFonts w:ascii="Google Sans" w:cs="Google Sans" w:eastAsia="Google Sans" w:hAnsi="Google Sans"/>
            <w:color w:val="0000ee"/>
            <w:sz w:val="24"/>
            <w:szCs w:val="24"/>
            <w:u w:val="single"/>
            <w:rtl w:val="0"/>
          </w:rPr>
          <w:t xml:space="preserve">https://arxiv.org/html/2409.17774v2</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Lost in Interpretation: The Plausibility-Faithfulness Trade-off in Cross-Lingual Explanations, </w:t>
      </w:r>
      <w:hyperlink r:id="rId56">
        <w:r w:rsidDel="00000000" w:rsidR="00000000" w:rsidRPr="00000000">
          <w:rPr>
            <w:rFonts w:ascii="Google Sans" w:cs="Google Sans" w:eastAsia="Google Sans" w:hAnsi="Google Sans"/>
            <w:color w:val="0000ee"/>
            <w:sz w:val="24"/>
            <w:szCs w:val="24"/>
            <w:u w:val="single"/>
            <w:rtl w:val="0"/>
          </w:rPr>
          <w:t xml:space="preserve">https://arxiv.org/html/2605.19274v1</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arXiv:2203.00056v1 [cs.CL] 28 Feb 2022, </w:t>
      </w:r>
      <w:hyperlink r:id="rId57">
        <w:r w:rsidDel="00000000" w:rsidR="00000000" w:rsidRPr="00000000">
          <w:rPr>
            <w:rFonts w:ascii="Google Sans" w:cs="Google Sans" w:eastAsia="Google Sans" w:hAnsi="Google Sans"/>
            <w:color w:val="0000ee"/>
            <w:sz w:val="24"/>
            <w:szCs w:val="24"/>
            <w:u w:val="single"/>
            <w:rtl w:val="0"/>
          </w:rPr>
          <w:t xml:space="preserve">https://arxiv.org/pdf/2203.00056</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arXiv:2312.17591v1 [cs.CL] 29 Dec 2023, </w:t>
      </w:r>
      <w:hyperlink r:id="rId58">
        <w:r w:rsidDel="00000000" w:rsidR="00000000" w:rsidRPr="00000000">
          <w:rPr>
            <w:rFonts w:ascii="Google Sans" w:cs="Google Sans" w:eastAsia="Google Sans" w:hAnsi="Google Sans"/>
            <w:color w:val="0000ee"/>
            <w:sz w:val="24"/>
            <w:szCs w:val="24"/>
            <w:u w:val="single"/>
            <w:rtl w:val="0"/>
          </w:rPr>
          <w:t xml:space="preserve">https://arxiv.org/pdf/2312.17591</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UNIREX: A Unified Learning Framework for Language Model, </w:t>
      </w:r>
      <w:hyperlink r:id="rId59">
        <w:r w:rsidDel="00000000" w:rsidR="00000000" w:rsidRPr="00000000">
          <w:rPr>
            <w:rFonts w:ascii="Google Sans" w:cs="Google Sans" w:eastAsia="Google Sans" w:hAnsi="Google Sans"/>
            <w:color w:val="0000ee"/>
            <w:sz w:val="24"/>
            <w:szCs w:val="24"/>
            <w:u w:val="single"/>
            <w:rtl w:val="0"/>
          </w:rPr>
          <w:t xml:space="preserve">https://arxiv.org/pdf/2112.08802</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Tasks Should Be Learned Together in Multi-task Learning? - Proceedings of Machine Learning Research, </w:t>
      </w:r>
      <w:hyperlink r:id="rId60">
        <w:r w:rsidDel="00000000" w:rsidR="00000000" w:rsidRPr="00000000">
          <w:rPr>
            <w:rFonts w:ascii="Google Sans" w:cs="Google Sans" w:eastAsia="Google Sans" w:hAnsi="Google Sans"/>
            <w:color w:val="0000ee"/>
            <w:sz w:val="24"/>
            <w:szCs w:val="24"/>
            <w:u w:val="single"/>
            <w:rtl w:val="0"/>
          </w:rPr>
          <w:t xml:space="preserve">https://proceedings.mlr.press/v119/standley20a/standley20a.pdf</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[2111.14122] Cross-Task Consistency Learning Framework for Multi-Task Learning - arXiv, </w:t>
      </w:r>
      <w:hyperlink r:id="rId61">
        <w:r w:rsidDel="00000000" w:rsidR="00000000" w:rsidRPr="00000000">
          <w:rPr>
            <w:rFonts w:ascii="Google Sans" w:cs="Google Sans" w:eastAsia="Google Sans" w:hAnsi="Google Sans"/>
            <w:color w:val="0000ee"/>
            <w:sz w:val="24"/>
            <w:szCs w:val="24"/>
            <w:u w:val="single"/>
            <w:rtl w:val="0"/>
          </w:rPr>
          <w:t xml:space="preserve">https://arxiv.org/abs/2111.14122</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HARE: Explainable Hate Speech Detection with Step-by-Step Reasoning - ACL Anthology, </w:t>
      </w:r>
      <w:hyperlink r:id="rId62">
        <w:r w:rsidDel="00000000" w:rsidR="00000000" w:rsidRPr="00000000">
          <w:rPr>
            <w:rFonts w:ascii="Google Sans" w:cs="Google Sans" w:eastAsia="Google Sans" w:hAnsi="Google Sans"/>
            <w:color w:val="0000ee"/>
            <w:sz w:val="24"/>
            <w:szCs w:val="24"/>
            <w:u w:val="single"/>
            <w:rtl w:val="0"/>
          </w:rPr>
          <w:t xml:space="preserve">https://aclanthology.org/2023.findings-emnlp.365/</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Responsible NLP Checklist - ACL Anthology, </w:t>
      </w:r>
      <w:hyperlink r:id="rId63">
        <w:r w:rsidDel="00000000" w:rsidR="00000000" w:rsidRPr="00000000">
          <w:rPr>
            <w:rFonts w:ascii="Google Sans" w:cs="Google Sans" w:eastAsia="Google Sans" w:hAnsi="Google Sans"/>
            <w:color w:val="0000ee"/>
            <w:sz w:val="24"/>
            <w:szCs w:val="24"/>
            <w:u w:val="single"/>
            <w:rtl w:val="0"/>
          </w:rPr>
          <w:t xml:space="preserve">https://aclanthology.org/attachments/2026.acl-long.2022.checklist.pdf</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Social Media Hate Speech Detection Using Explainable Artificial Intelligence (XAI) - MDPI, </w:t>
      </w:r>
      <w:hyperlink r:id="rId64">
        <w:r w:rsidDel="00000000" w:rsidR="00000000" w:rsidRPr="00000000">
          <w:rPr>
            <w:rFonts w:ascii="Google Sans" w:cs="Google Sans" w:eastAsia="Google Sans" w:hAnsi="Google Sans"/>
            <w:color w:val="0000ee"/>
            <w:sz w:val="24"/>
            <w:szCs w:val="24"/>
            <w:u w:val="single"/>
            <w:rtl w:val="0"/>
          </w:rPr>
          <w:t xml:space="preserve">https://www.mdpi.com/1999-4893/15/8/291</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 Science Mar 2021 - arXiv, </w:t>
      </w:r>
      <w:hyperlink r:id="rId65">
        <w:r w:rsidDel="00000000" w:rsidR="00000000" w:rsidRPr="00000000">
          <w:rPr>
            <w:rFonts w:ascii="Google Sans" w:cs="Google Sans" w:eastAsia="Google Sans" w:hAnsi="Google Sans"/>
            <w:color w:val="0000ee"/>
            <w:sz w:val="24"/>
            <w:szCs w:val="24"/>
            <w:u w:val="single"/>
            <w:rtl w:val="0"/>
          </w:rPr>
          <w:t xml:space="preserve">http://arxiv.org/list/cs/2021-03?skip=4360&amp;show=1000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pdf/2510.01995" TargetMode="External"/><Relationship Id="rId42" Type="http://schemas.openxmlformats.org/officeDocument/2006/relationships/hyperlink" Target="https://aclanthology.org/2026.acl-long.2022.pdf" TargetMode="External"/><Relationship Id="rId41" Type="http://schemas.openxmlformats.org/officeDocument/2006/relationships/hyperlink" Target="https://aclanthology.org/2026.acl-long.1565.pdf" TargetMode="External"/><Relationship Id="rId44" Type="http://schemas.openxmlformats.org/officeDocument/2006/relationships/hyperlink" Target="https://aclanthology.org/2025.banglalp-1.48.pdf" TargetMode="External"/><Relationship Id="rId43" Type="http://schemas.openxmlformats.org/officeDocument/2006/relationships/hyperlink" Target="http://arxiv.org/pdf/2103.11800" TargetMode="External"/><Relationship Id="rId46" Type="http://schemas.openxmlformats.org/officeDocument/2006/relationships/hyperlink" Target="https://aclanthology.org/2025.banglalp-1.32.pdf" TargetMode="External"/><Relationship Id="rId45" Type="http://schemas.openxmlformats.org/officeDocument/2006/relationships/hyperlink" Target="https://aclanthology.org/2026.acl-long.1565.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48" Type="http://schemas.openxmlformats.org/officeDocument/2006/relationships/hyperlink" Target="https://orbilu.uni.lu/bitstream/10993/61913/1/2307.14382v2.pdf" TargetMode="External"/><Relationship Id="rId47" Type="http://schemas.openxmlformats.org/officeDocument/2006/relationships/hyperlink" Target="https://www.researchgate.net/publication/408366520_BanHADEX_Towards_Explainable_HAte_Speech_Detection_in_Bangla_Using_Human_Annotated_EXplanation" TargetMode="External"/><Relationship Id="rId49" Type="http://schemas.openxmlformats.org/officeDocument/2006/relationships/hyperlink" Target="https://arxiv.org/pdf/2510.01995" TargetMode="Externa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image" Target="media/image2.png"/><Relationship Id="rId31" Type="http://schemas.openxmlformats.org/officeDocument/2006/relationships/image" Target="media/image4.png"/><Relationship Id="rId30" Type="http://schemas.openxmlformats.org/officeDocument/2006/relationships/image" Target="media/image11.png"/><Relationship Id="rId33" Type="http://schemas.openxmlformats.org/officeDocument/2006/relationships/hyperlink" Target="https://proceedings.mlr.press/v119/standley20a/standley20a.pdf" TargetMode="External"/><Relationship Id="rId32" Type="http://schemas.openxmlformats.org/officeDocument/2006/relationships/hyperlink" Target="https://arxiv.org/abs/2006.04096" TargetMode="External"/><Relationship Id="rId35" Type="http://schemas.openxmlformats.org/officeDocument/2006/relationships/hyperlink" Target="https://aclanthology.org/2022.acl-long.56.pdf" TargetMode="External"/><Relationship Id="rId34" Type="http://schemas.openxmlformats.org/officeDocument/2006/relationships/hyperlink" Target="https://arxiv.org/abs/2111.14122" TargetMode="External"/><Relationship Id="rId37" Type="http://schemas.openxmlformats.org/officeDocument/2006/relationships/hyperlink" Target="https://arxiv.org/pdf/2409.17774" TargetMode="External"/><Relationship Id="rId36" Type="http://schemas.openxmlformats.org/officeDocument/2006/relationships/hyperlink" Target="https://aclanthology.org/2023.findings-emnlp.365.pdf" TargetMode="External"/><Relationship Id="rId39" Type="http://schemas.openxmlformats.org/officeDocument/2006/relationships/hyperlink" Target="https://arxiv.org/pdf/2203.00056" TargetMode="External"/><Relationship Id="rId38" Type="http://schemas.openxmlformats.org/officeDocument/2006/relationships/hyperlink" Target="https://arxiv.org/html/2605.19274v1" TargetMode="External"/><Relationship Id="rId62" Type="http://schemas.openxmlformats.org/officeDocument/2006/relationships/hyperlink" Target="https://aclanthology.org/2023.findings-emnlp.365/" TargetMode="External"/><Relationship Id="rId61" Type="http://schemas.openxmlformats.org/officeDocument/2006/relationships/hyperlink" Target="https://arxiv.org/abs/2111.14122" TargetMode="External"/><Relationship Id="rId20" Type="http://schemas.openxmlformats.org/officeDocument/2006/relationships/image" Target="media/image26.png"/><Relationship Id="rId64" Type="http://schemas.openxmlformats.org/officeDocument/2006/relationships/hyperlink" Target="https://www.mdpi.com/1999-4893/15/8/291" TargetMode="External"/><Relationship Id="rId63" Type="http://schemas.openxmlformats.org/officeDocument/2006/relationships/hyperlink" Target="https://aclanthology.org/attachments/2026.acl-long.2022.checklist.pdf" TargetMode="External"/><Relationship Id="rId22" Type="http://schemas.openxmlformats.org/officeDocument/2006/relationships/image" Target="media/image23.png"/><Relationship Id="rId21" Type="http://schemas.openxmlformats.org/officeDocument/2006/relationships/image" Target="media/image21.png"/><Relationship Id="rId65" Type="http://schemas.openxmlformats.org/officeDocument/2006/relationships/hyperlink" Target="http://arxiv.org/list/cs/2021-03?skip=4360&amp;show=1000" TargetMode="External"/><Relationship Id="rId24" Type="http://schemas.openxmlformats.org/officeDocument/2006/relationships/image" Target="media/image22.png"/><Relationship Id="rId23" Type="http://schemas.openxmlformats.org/officeDocument/2006/relationships/image" Target="media/image25.png"/><Relationship Id="rId60" Type="http://schemas.openxmlformats.org/officeDocument/2006/relationships/hyperlink" Target="https://proceedings.mlr.press/v119/standley20a/standley20a.pdf" TargetMode="External"/><Relationship Id="rId26" Type="http://schemas.openxmlformats.org/officeDocument/2006/relationships/image" Target="media/image16.png"/><Relationship Id="rId25" Type="http://schemas.openxmlformats.org/officeDocument/2006/relationships/image" Target="media/image24.png"/><Relationship Id="rId28" Type="http://schemas.openxmlformats.org/officeDocument/2006/relationships/image" Target="media/image18.png"/><Relationship Id="rId27" Type="http://schemas.openxmlformats.org/officeDocument/2006/relationships/image" Target="media/image19.png"/><Relationship Id="rId29" Type="http://schemas.openxmlformats.org/officeDocument/2006/relationships/image" Target="media/image12.png"/><Relationship Id="rId51" Type="http://schemas.openxmlformats.org/officeDocument/2006/relationships/hyperlink" Target="https://openreview.net/pdf/666fc7209bb34f615daf9b97315c13dd5cc9f41b.pdf" TargetMode="External"/><Relationship Id="rId50" Type="http://schemas.openxmlformats.org/officeDocument/2006/relationships/hyperlink" Target="https://arxiv.org/pdf/2308.12372" TargetMode="External"/><Relationship Id="rId53" Type="http://schemas.openxmlformats.org/officeDocument/2006/relationships/hyperlink" Target="https://arxiv.org/pdf/2510.21341" TargetMode="External"/><Relationship Id="rId52" Type="http://schemas.openxmlformats.org/officeDocument/2006/relationships/hyperlink" Target="https://aclanthology.org/2022.acl-long.56.pdf" TargetMode="External"/><Relationship Id="rId11" Type="http://schemas.openxmlformats.org/officeDocument/2006/relationships/image" Target="media/image10.png"/><Relationship Id="rId55" Type="http://schemas.openxmlformats.org/officeDocument/2006/relationships/hyperlink" Target="https://arxiv.org/html/2409.17774v2" TargetMode="External"/><Relationship Id="rId10" Type="http://schemas.openxmlformats.org/officeDocument/2006/relationships/image" Target="media/image6.png"/><Relationship Id="rId54" Type="http://schemas.openxmlformats.org/officeDocument/2006/relationships/hyperlink" Target="https://aclanthology.org/2023.findings-emnlp.365.pdf" TargetMode="External"/><Relationship Id="rId13" Type="http://schemas.openxmlformats.org/officeDocument/2006/relationships/image" Target="media/image13.png"/><Relationship Id="rId57" Type="http://schemas.openxmlformats.org/officeDocument/2006/relationships/hyperlink" Target="https://arxiv.org/pdf/2203.00056" TargetMode="External"/><Relationship Id="rId12" Type="http://schemas.openxmlformats.org/officeDocument/2006/relationships/image" Target="media/image9.png"/><Relationship Id="rId56" Type="http://schemas.openxmlformats.org/officeDocument/2006/relationships/hyperlink" Target="https://arxiv.org/html/2605.19274v1" TargetMode="External"/><Relationship Id="rId15" Type="http://schemas.openxmlformats.org/officeDocument/2006/relationships/image" Target="media/image15.png"/><Relationship Id="rId59" Type="http://schemas.openxmlformats.org/officeDocument/2006/relationships/hyperlink" Target="https://arxiv.org/pdf/2112.08802" TargetMode="External"/><Relationship Id="rId14" Type="http://schemas.openxmlformats.org/officeDocument/2006/relationships/image" Target="media/image3.png"/><Relationship Id="rId58" Type="http://schemas.openxmlformats.org/officeDocument/2006/relationships/hyperlink" Target="https://arxiv.org/pdf/2312.17591" TargetMode="External"/><Relationship Id="rId17" Type="http://schemas.openxmlformats.org/officeDocument/2006/relationships/image" Target="media/image14.png"/><Relationship Id="rId16" Type="http://schemas.openxmlformats.org/officeDocument/2006/relationships/image" Target="media/image5.png"/><Relationship Id="rId19" Type="http://schemas.openxmlformats.org/officeDocument/2006/relationships/image" Target="media/image20.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