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FUTURE SCOPE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color w:val="1f1f1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Note that the tools summarized in this review are from the 263 application articles and that many IE tools, such as TextHunter </w:t>
      </w:r>
      <w:hyperlink r:id="rId6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[85]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Patrick et al’s cascaded IE tool </w:t>
      </w:r>
      <w:hyperlink r:id="rId7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[86]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KneeTex </w:t>
      </w:r>
      <w:hyperlink r:id="rId8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[87]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Textractor </w:t>
      </w:r>
      <w:hyperlink r:id="rId9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[88]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and NOBLE </w:t>
      </w:r>
      <w:hyperlink r:id="rId10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[89]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in the 27 tool articles and the 125 methodology articles (many of them are participant systems in shared tasks) are not included in this review and subject to a future study.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color w:val="1f1f1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Fourth, the articles utilizing clinical narratives from non-EHR systems, such as </w:t>
      </w:r>
      <w:hyperlink r:id="rId11">
        <w:r w:rsidDel="00000000" w:rsidR="00000000" w:rsidRPr="00000000">
          <w:rPr>
            <w:rFonts w:ascii="Georgia" w:cs="Georgia" w:eastAsia="Georgia" w:hAnsi="Georgia"/>
            <w:color w:val="1f1f1f"/>
            <w:sz w:val="24"/>
            <w:szCs w:val="24"/>
            <w:u w:val="single"/>
            <w:rtl w:val="0"/>
          </w:rPr>
          <w:t xml:space="preserve">clinical trials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Georgia" w:cs="Georgia" w:eastAsia="Georgia" w:hAnsi="Georgia"/>
            <w:color w:val="0272b1"/>
            <w:sz w:val="24"/>
            <w:szCs w:val="24"/>
            <w:rtl w:val="0"/>
          </w:rPr>
          <w:t xml:space="preserve">[184]</w:t>
        </w:r>
      </w:hyperlink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rtl w:val="0"/>
        </w:rPr>
        <w:t xml:space="preserve">, are not considered in this review.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topics/medicine-and-dentistry/clinical-trial" TargetMode="External"/><Relationship Id="rId10" Type="http://schemas.openxmlformats.org/officeDocument/2006/relationships/hyperlink" Target="https://www.sciencedirect.com/science/article/pii/S1532046417302563#b0445" TargetMode="External"/><Relationship Id="rId12" Type="http://schemas.openxmlformats.org/officeDocument/2006/relationships/hyperlink" Target="https://www.sciencedirect.com/science/article/pii/S1532046417302563#b0920" TargetMode="External"/><Relationship Id="rId9" Type="http://schemas.openxmlformats.org/officeDocument/2006/relationships/hyperlink" Target="https://www.sciencedirect.com/science/article/pii/S1532046417302563#b044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1532046417302563#b0425" TargetMode="External"/><Relationship Id="rId7" Type="http://schemas.openxmlformats.org/officeDocument/2006/relationships/hyperlink" Target="https://www.sciencedirect.com/science/article/pii/S1532046417302563#b0430" TargetMode="External"/><Relationship Id="rId8" Type="http://schemas.openxmlformats.org/officeDocument/2006/relationships/hyperlink" Target="https://www.sciencedirect.com/science/article/pii/S1532046417302563#b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