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Case Study: Loan Default / Credit Risk Prediction</w:t>
      </w:r>
    </w:p>
    <w:p>
      <w:r>
        <w:rPr>
          <w:b/>
          <w:sz w:val="24"/>
        </w:rPr>
        <w:t>1. Background</w:t>
      </w:r>
    </w:p>
    <w:p>
      <w:pPr>
        <w:spacing w:after="120"/>
      </w:pPr>
      <w:r>
        <w:rPr>
          <w:sz w:val="21"/>
        </w:rPr>
        <w:t>Lenders need to identify applicants who may default on their loans so that credit risk can be assessed consistently. This case study uses machine learning to predict whether a loan applicant is likely to default.</w:t>
      </w:r>
    </w:p>
    <w:p>
      <w:r>
        <w:rPr>
          <w:b/>
          <w:sz w:val="24"/>
        </w:rPr>
        <w:t>2. Dataset</w:t>
      </w:r>
    </w:p>
    <w:p>
      <w:pPr>
        <w:spacing w:after="120"/>
      </w:pPr>
      <w:r>
        <w:rPr>
          <w:sz w:val="21"/>
        </w:rPr>
        <w:t>The project uses one real, publicly available Kaggle loan dataset (Loan_Default_csv.xlsx), containing approximately 148,670 mortgage/loan applicants and 34 original columns. Relevant variables include age, income, loan amount, interest rate, credit score, debt-to-income ratio, and default status.</w:t>
      </w:r>
    </w:p>
    <w:p>
      <w:r>
        <w:rPr>
          <w:b/>
          <w:sz w:val="24"/>
        </w:rPr>
        <w:t>3. Methodology</w:t>
      </w:r>
    </w:p>
    <w:p>
      <w:pPr>
        <w:spacing w:after="120"/>
      </w:pPr>
      <w:r>
        <w:rPr>
          <w:sz w:val="21"/>
        </w:rPr>
        <w:t>The data was filtered to retain relevant credit-risk variables and remove invalid records such as applicants with non-positive income. Age bands were converted to numeric midpoints and monthly income was annualized. Missing numeric values were filled using medians, and extreme values were clipped at the 1st and 99th percentiles.</w:t>
      </w:r>
    </w:p>
    <w:p>
      <w:pPr>
        <w:spacing w:after="120"/>
      </w:pPr>
      <w:r>
        <w:rPr>
          <w:sz w:val="21"/>
        </w:rPr>
        <w:t>Additional features were created, including loan-to-income ratio, normalized credit score, a high-DTI indicator, and age groups. Feature selection used correlation with the target and Random Forest feature importance. The data was then divided into 70% training and 30% testing sets.</w:t>
      </w:r>
    </w:p>
    <w:p>
      <w:r>
        <w:rPr>
          <w:b/>
          <w:sz w:val="24"/>
        </w:rPr>
        <w:t>4. Machine Learning Models</w:t>
      </w:r>
    </w:p>
    <w:p>
      <w:pPr>
        <w:spacing w:after="120"/>
      </w:pPr>
      <w:r>
        <w:rPr>
          <w:sz w:val="21"/>
        </w:rPr>
        <w:t>Three binary-classification models were trained: Logistic Regression, Decision Tree, and Random Forest. Their performance was evaluated using accuracy, precision, recall, F1-score, ROC-AUC, confusion matrices, and ROC curves. Five-fold cross-validation was also used to check performance stability.</w:t>
      </w:r>
    </w:p>
    <w:p>
      <w:r>
        <w:rPr>
          <w:b/>
          <w:sz w:val="24"/>
        </w:rPr>
        <w:t>5. Class Imbalance and Business Impact</w:t>
      </w:r>
    </w:p>
    <w:p>
      <w:pPr>
        <w:spacing w:after="120"/>
      </w:pPr>
      <w:r>
        <w:rPr>
          <w:sz w:val="21"/>
        </w:rPr>
        <w:t>Because loan defaults are a minority outcome, balanced class weights were tested to give greater importance to correctly identifying defaulters. The project also considers the different costs of false predictions: missing an actual defaulter can expose the lender to the loan principal, while wrongly rejecting a creditworthy applicant mainly represents lost interest income.</w:t>
      </w:r>
    </w:p>
    <w:p>
      <w:r>
        <w:rPr>
          <w:b/>
          <w:sz w:val="24"/>
        </w:rPr>
        <w:t>6. Practical Application</w:t>
      </w:r>
    </w:p>
    <w:p>
      <w:pPr>
        <w:spacing w:after="120"/>
      </w:pPr>
      <w:r>
        <w:rPr>
          <w:sz w:val="21"/>
        </w:rPr>
        <w:t>The model can accept raw applicant information such as age, annual income, loan amount, interest rate, credit score, and debt-to-income percentage. It calculates the engineered features automatically and produces predictions and estimated default probabilities. The project also demonstrates simple risk tiers based on predicted probability of default.</w:t>
      </w:r>
    </w:p>
    <w:p>
      <w:r>
        <w:rPr>
          <w:b/>
          <w:sz w:val="24"/>
        </w:rPr>
        <w:t>7. Conclusion</w:t>
      </w:r>
    </w:p>
    <w:p>
      <w:pPr>
        <w:spacing w:after="120"/>
      </w:pPr>
      <w:r>
        <w:rPr>
          <w:sz w:val="21"/>
        </w:rPr>
        <w:t>This case study demonstrates how machine learning can support loan default and credit-risk analysis using real-world financial data. Comparing multiple models, addressing class imbalance, validating performance, and considering business costs provides a more complete approach than relying on accuracy alone. The resulting system can be used as a decision-support tool for further credit assessment and manual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