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Vendor: Northstar Analytics Pvt. Ltd.</w:t>
        <w:br/>
        <w:t>Buyer: Cedar Retail Ltd.</w:t>
        <w:br/>
        <w:t>Effective Date: 1 August 2026</w:t>
      </w:r>
    </w:p>
    <w:p>
      <w:pPr>
        <w:pStyle w:val="Heading1"/>
      </w:pPr>
      <w:r>
        <w:t>1. Payment Terms</w:t>
      </w:r>
    </w:p>
    <w:p>
      <w:r>
        <w:t>Buyer shall pay all undisputed invoices within thirty (30) calendar days after receipt of a valid invoice.</w:t>
      </w:r>
    </w:p>
    <w:p>
      <w:pPr>
        <w:pStyle w:val="Heading1"/>
      </w:pPr>
      <w:r>
        <w:t>2. Liability</w:t>
      </w:r>
    </w:p>
    <w:p>
      <w:r>
        <w:t>The aggregate liability of either party shall not exceed USD 250,000.</w:t>
      </w:r>
    </w:p>
    <w:p>
      <w:pPr>
        <w:pStyle w:val="Heading1"/>
      </w:pPr>
      <w:r>
        <w:t>3. Termination Notice</w:t>
      </w:r>
    </w:p>
    <w:p>
      <w:r>
        <w:t>Either party may terminate for convenience upon sixty (60) days written notice.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Test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